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21.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Abstract, Methods, Results and Discussion (draft)</w:t>
      </w:r>
    </w:p>
    <w:p>
      <w:pPr>
        <w:pStyle w:val="Author"/>
      </w:pPr>
      <w:r>
        <w:t xml:space="preserve">Diogo B. Provete</w:t>
      </w:r>
    </w:p>
    <w:p>
      <w:pPr>
        <w:pStyle w:val="Date"/>
      </w:pPr>
      <w:r>
        <w:t xml:space="preserve">2026-10-20</w:t>
      </w:r>
    </w:p>
    <w:bookmarkStart w:id="20" w:name="abstract"/>
    <w:p>
      <w:pPr>
        <w:pStyle w:val="Heading1"/>
      </w:pPr>
      <w:r>
        <w:t xml:space="preserve">Abstract</w:t>
      </w:r>
    </w:p>
    <w:p>
      <w:pPr>
        <w:numPr>
          <w:ilvl w:val="0"/>
          <w:numId w:val="1001"/>
        </w:numPr>
      </w:pPr>
      <w:r>
        <w:t xml:space="preserve">Methods that relate the phylogenetic structure of metacommunities to environmental gradients, like the principal coordinates of phylogenetic structure (PCPS) and the phylogenetic community composition approach (PCC), were validated with static simulations on trees close to the Yule model. However, real phylogenies vary in topological imbalance and in the distribution of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that reproduces the original validations and in a process-based layer with species sorting, mass effects and phylogenetic competition. We estimated the type I error and power of six tests, and how often four ordination and factorization methods recovered a clade planted along the gradient, with beta-binomial models of these rates.</w:t>
      </w:r>
    </w:p>
    <w:p>
      <w:pPr>
        <w:numPr>
          <w:ilvl w:val="0"/>
          <w:numId w:val="1001"/>
        </w:numPr>
      </w:pPr>
      <w:r>
        <w:t xml:space="preserve">Tree imbalance did not affect the type I error of any test. Phylogenetic signal in niche breadth inflated the type I error of the linear model on the second PCPS axis, up to 0.36 in trees with low γ, and of the PCC, up to 0.22. Low γ reduced the power of the linear model on the first PCPS axis by 0.40 and that of the PCC by 0.25, whereas PERMANOVA was almost insensitive to tree shape. Mass effects reduced power more than tree shape and almost abolished that of the PCC. The evoPCA and phylofactorization recovered the planted clade in 0.44–0.88 of the replicates in every tree shape, whereas PCPS depended strongly on γ and PCC rarely found the clade.</w:t>
      </w:r>
    </w:p>
    <w:p>
      <w:pPr>
        <w:numPr>
          <w:ilvl w:val="0"/>
          <w:numId w:val="1001"/>
        </w:numPr>
      </w:pPr>
      <w:r>
        <w:t xml:space="preserve">The performance of these methods seems to depend on the distribution of branching times and on the assembly process rather than on tree imbalance. Three regional anuran pools fell inside the simulated grid, so these results seem to apply to real metacommunities. We therefore recommend reporting γ of the analysed tree, caution with the second PCPS axis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provided as an anonymized zip file with this submission;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36" w:name="methods"/>
    <w:p>
      <w:pPr>
        <w:pStyle w:val="Heading1"/>
      </w:pPr>
      <w:r>
        <w:t xml:space="preserve">Methods</w:t>
      </w:r>
    </w:p>
    <w:bookmarkStart w:id="25"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4" w:name="fig-design"/>
          <w:p>
            <w:pPr>
              <w:pStyle w:val="Compact"/>
              <w:jc w:val="center"/>
            </w:pPr>
            <w:r>
              <w:drawing>
                <wp:inline>
                  <wp:extent cx="5753100" cy="2622454"/>
                  <wp:effectExtent b="0" l="0" r="0" t="0"/>
                  <wp:docPr descr="" title="" id="22" name="Picture"/>
                  <a:graphic>
                    <a:graphicData uri="http://schemas.openxmlformats.org/drawingml/2006/picture">
                      <pic:pic>
                        <pic:nvPicPr>
                          <pic:cNvPr descr="figures/fig1_schematic.png" id="23" name="Picture"/>
                          <pic:cNvPicPr>
                            <a:picLocks noChangeArrowheads="1" noChangeAspect="1"/>
                          </pic:cNvPicPr>
                        </pic:nvPicPr>
                        <pic:blipFill>
                          <a:blip r:embed="rId21"/>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4"/>
        </w:tc>
      </w:tr>
    </w:tbl>
    <w:bookmarkEnd w:id="25"/>
    <w:bookmarkStart w:id="26"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6"/>
    <w:bookmarkStart w:id="27"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7"/>
    <w:bookmarkStart w:id="28"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8"/>
    <w:bookmarkStart w:id="30"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9"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9"/>
          <w:p/>
        </w:tc>
      </w:tr>
    </w:tbl>
    <w:bookmarkEnd w:id="30"/>
    <w:bookmarkStart w:id="31"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1"/>
    <w:bookmarkStart w:id="32"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2"/>
    <w:bookmarkStart w:id="33"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w:t>
      </w:r>
      <w:r>
        <w:t xml:space="preserve">and at most 0.016 at</w:t>
      </w:r>
      <w:r>
        <w:t xml:space="preserve"> </w:t>
      </w:r>
      <m:oMath>
        <m:r>
          <m:t>p</m:t>
        </m:r>
        <m:r>
          <m:rPr>
            <m:sty m:val="p"/>
          </m:rPr>
          <m:t>=</m:t>
        </m:r>
        <m:r>
          <m:t>0.5</m:t>
        </m:r>
      </m:oMath>
      <w:r>
        <w:t xml:space="preserve">, so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We report every rate with its Monte Carlo standard error in Table S2, and the credible intervals of the formal models below include the binomial variation among replicates.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3"/>
    <w:bookmarkStart w:id="34"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5"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in the anonymized archive that accompanies this submission (Data Availability Statement), together with the rates aggregated by condition and the scripts that compute the performance measures and the models from them, which reproduce every table and figure without rerunning the simulations.</w:t>
      </w:r>
    </w:p>
    <w:bookmarkEnd w:id="35"/>
    <w:bookmarkEnd w:id="36"/>
    <w:bookmarkStart w:id="53"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0" w:name="fig-type1"/>
          <w:p>
            <w:pPr>
              <w:pStyle w:val="Compact"/>
              <w:jc w:val="center"/>
            </w:pPr>
            <w:r>
              <w:drawing>
                <wp:inline>
                  <wp:extent cx="5753100" cy="4738352"/>
                  <wp:effectExtent b="0" l="0" r="0" t="0"/>
                  <wp:docPr descr="" title="" id="38" name="Picture"/>
                  <a:graphic>
                    <a:graphicData uri="http://schemas.openxmlformats.org/drawingml/2006/picture">
                      <pic:pic>
                        <pic:nvPicPr>
                          <pic:cNvPr descr="figures/fig2_type1.png" id="39" name="Picture"/>
                          <pic:cNvPicPr>
                            <a:picLocks noChangeArrowheads="1" noChangeAspect="1"/>
                          </pic:cNvPicPr>
                        </pic:nvPicPr>
                        <pic:blipFill>
                          <a:blip r:embed="rId37"/>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0"/>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4" w:name="fig-power"/>
          <w:p>
            <w:pPr>
              <w:pStyle w:val="Compact"/>
              <w:jc w:val="center"/>
            </w:pPr>
            <w:r>
              <w:drawing>
                <wp:inline>
                  <wp:extent cx="5753100" cy="3044241"/>
                  <wp:effectExtent b="0" l="0" r="0" t="0"/>
                  <wp:docPr descr="" title="" id="42" name="Picture"/>
                  <a:graphic>
                    <a:graphicData uri="http://schemas.openxmlformats.org/drawingml/2006/picture">
                      <pic:pic>
                        <pic:nvPicPr>
                          <pic:cNvPr descr="figures/fig3_power.png" id="43" name="Picture"/>
                          <pic:cNvPicPr>
                            <a:picLocks noChangeArrowheads="1" noChangeAspect="1"/>
                          </pic:cNvPicPr>
                        </pic:nvPicPr>
                        <pic:blipFill>
                          <a:blip r:embed="rId41"/>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4"/>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8" w:name="fig-layerB"/>
          <w:p>
            <w:pPr>
              <w:pStyle w:val="Compact"/>
              <w:jc w:val="center"/>
            </w:pPr>
            <w:r>
              <w:drawing>
                <wp:inline>
                  <wp:extent cx="5753100" cy="3723605"/>
                  <wp:effectExtent b="0" l="0" r="0" t="0"/>
                  <wp:docPr descr="" title="" id="46" name="Picture"/>
                  <a:graphic>
                    <a:graphicData uri="http://schemas.openxmlformats.org/drawingml/2006/picture">
                      <pic:pic>
                        <pic:nvPicPr>
                          <pic:cNvPr descr="figures/fig4_layerB_power.png" id="47" name="Picture"/>
                          <pic:cNvPicPr>
                            <a:picLocks noChangeArrowheads="1" noChangeAspect="1"/>
                          </pic:cNvPicPr>
                        </pic:nvPicPr>
                        <pic:blipFill>
                          <a:blip r:embed="rId45"/>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8"/>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2" w:name="fig-clade"/>
          <w:p>
            <w:pPr>
              <w:pStyle w:val="Compact"/>
              <w:jc w:val="center"/>
            </w:pPr>
            <w:r>
              <w:drawing>
                <wp:inline>
                  <wp:extent cx="5416061" cy="2886935"/>
                  <wp:effectExtent b="0" l="0" r="0" t="0"/>
                  <wp:docPr descr="" title="" id="50" name="Picture"/>
                  <a:graphic>
                    <a:graphicData uri="http://schemas.openxmlformats.org/drawingml/2006/picture">
                      <pic:pic>
                        <pic:nvPicPr>
                          <pic:cNvPr descr="figures/fig5_clade.png" id="51" name="Picture"/>
                          <pic:cNvPicPr>
                            <a:picLocks noChangeArrowheads="1" noChangeAspect="1"/>
                          </pic:cNvPicPr>
                        </pic:nvPicPr>
                        <pic:blipFill>
                          <a:blip r:embed="rId49"/>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2"/>
        </w:tc>
      </w:tr>
    </w:tbl>
    <w:bookmarkEnd w:id="53"/>
    <w:bookmarkStart w:id="58"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7" w:name="fig-box1"/>
          <w:p>
            <w:pPr>
              <w:pStyle w:val="Compact"/>
              <w:jc w:val="center"/>
            </w:pPr>
            <w:r>
              <w:drawing>
                <wp:inline>
                  <wp:extent cx="4890135" cy="3261010"/>
                  <wp:effectExtent b="0" l="0" r="0" t="0"/>
                  <wp:docPr descr="" title="" id="55" name="Picture"/>
                  <a:graphic>
                    <a:graphicData uri="http://schemas.openxmlformats.org/drawingml/2006/picture">
                      <pic:pic>
                        <pic:nvPicPr>
                          <pic:cNvPr descr="figures/box1_pools.png" id="56" name="Picture"/>
                          <pic:cNvPicPr>
                            <a:picLocks noChangeArrowheads="1" noChangeAspect="1"/>
                          </pic:cNvPicPr>
                        </pic:nvPicPr>
                        <pic:blipFill>
                          <a:blip r:embed="rId54"/>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7"/>
        </w:tc>
      </w:tr>
    </w:tbl>
    <w:bookmarkEnd w:id="58"/>
    <w:bookmarkStart w:id="59" w:name="discussion"/>
    <w:p>
      <w:pPr>
        <w:pStyle w:val="Heading1"/>
      </w:pPr>
      <w:r>
        <w:t xml:space="preserve">Discussion</w:t>
      </w:r>
    </w:p>
    <w:p>
      <w:pPr>
        <w:pStyle w:val="FirstParagraph"/>
      </w:pPr>
      <w:r>
        <w:t xml:space="preserve">The shape of the phylogenetic tree and the process that assembles a metacommunity changed the performance of every method we evaluated, but not in the way we expected. The distribution of branching times, rather than the imbalance of the topology, governed the power of most tests and the clade recovery of PCPS and PCC, and a phylogenetically conserved niche breadth inflated the type I error of only the two methods that rely on the second PCPS axis or on phylogenetic eigenvectors. Mass effects reduced the power of every test except GLM PCPS2 more than any tree shape did.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their ability to locate the clade associated with an environmental gradient. In the following paragraphs, we discuss each of these results and their consequences for empirical studies.</w:t>
      </w:r>
    </w:p>
    <w:p>
      <w:pPr>
        <w:pStyle w:val="BodyText"/>
      </w:pPr>
      <w:r>
        <w:t xml:space="preserve">Tree imbalance did not affect the type I error of any test, whereas very negative γ reduced the power of the GLM on the first PCPS axis and of the PCC. This agrees with comparative methods, in which randomization tests of phylogenetic signal keep the nominal level (Blomberg et al., 2003), whereas the size and topology of the tree change the expected values and the power of the statistics (Münkemüller et al., 2012). Accordingly, in an empirical case study, the bias of the net relatedness index caused by poor phylogenetic resolution depended on tree shape and consisted mostly of type II errors (Molina-Venegas &amp; Roquet, 2014), and metrics such as the mean pairwise distance, which weight deep branches, respond to the stemminess of the tree (Mazel et al., 2016). The loss of power with low γ seems to follow from how phylogenetic eigenvectors summarize trees with long internal branches near the root. The eigenstructure of a phylogenetic matrix is set by the tree (Diniz-Filho et al., 1998), and in such trees a few deep splits probably dominate it, so the first PCPS axis and the leading eigenvectors of the PCC probably capture the deepest dichotomy even when the gradient sorts species along another one. In contrast, PERMANOVA was less sensitive to γ (no change at N = 100 and a loss of 0.03–0.17 at N = 50), although the Mantel test, which also uses the whole matrix</w:t>
      </w:r>
      <w:r>
        <w:t xml:space="preserve"> </w:t>
      </w:r>
      <m:oMath>
        <m:sSub>
          <m:e>
            <m:r>
              <m:t>D</m:t>
            </m:r>
          </m:e>
          <m:sub>
            <m:r>
              <m:t>P</m:t>
            </m:r>
          </m:sub>
        </m:sSub>
      </m:oMath>
      <w:r>
        <w:t xml:space="preserve">, lost up to 0.23, so the use of the whole matrix does not seem to protect a test by itself. However, we did not record the eigenvalue spectra or the axis loadings of each replicate, so we cannot confirm this mechanism with our data. Taken together, single-axis tests on phylogenetic eigenvectors seem to be fragile whenever the phylogenetic structure is spread over several axes, as already argued for the selection of eigenvectors in comparative analyses (Diniz-Filho et al., 2012).</w:t>
      </w:r>
    </w:p>
    <w:p>
      <w:pPr>
        <w:pStyle w:val="BodyText"/>
      </w:pPr>
      <w:r>
        <w:t xml:space="preserve">Phylogenetic signal in niche breadth created false positives that previous evaluations could not detect. The simulations of Duarte et al. (2016, 2018) and Peres-Neto et al. (2017) drew niche breadth independently of the phylogeny, and those of Duarte et al. (2016) and Peres-Neto et al. (2017) also drew maximum abundance in this way, so their type I errors refer to a null hypothesis in which these nuisance parameters carry no phylogenetic signal. When σ is conserved, clades differ in how widely they spread along the gradient, which is a phylogenetic pattern in composition that is unrelated to the association between optima and environment. Permutation tests become liberal when the randomization breaks down a structure of the data that is unrelated to the null hypothesis (Hardy, 2008), and species-level variation in the response to the environment that is ignored by the test inflates the type I error of site-based tests of trait–environment association (ter Braak et al., 2017). This seems to explain why the second PCPS axis, which is orthogonal to the basal contrast captured by the first one, and the PCC were inflated, whereas PERMANOVA and the Mantel test, which average over all axes of</w:t>
      </w:r>
      <w:r>
        <w:t xml:space="preserve"> </w:t>
      </w:r>
      <m:oMath>
        <m:sSub>
          <m:e>
            <m:r>
              <m:t>D</m:t>
            </m:r>
          </m:e>
          <m:sub>
            <m:r>
              <m:t>P</m:t>
            </m:r>
          </m:sub>
        </m:sSub>
      </m:oMath>
      <w:r>
        <w:t xml:space="preserve">, were not. Interestingly, the largest inflation of GLM PCPS2 occurred in trees with low γ and at N = 200, which suggests that both the depth of the conserved structure and the number of species determine how much of it reaches a single axis. In addition, the more conservative behaviour of the other tests under signal in σ agrees with the conservative max test already reported for phylogenetic fuzzy weighting (Duarte et al., 2016). Unfortunately, the empirical distribution of phylogenetic signal in niche breadth is unknown for most groups, so we cannot say how often this situation arises in real metacommunities. Constrained randomizations that preserve phylogenetic structure, such as Moran spectral randomization (Braga et al., 2018), and model-based tests with phylogenetic random effects (Li &amp; Ives, 2017; Tsang &amp; Cadotte, 2025) seem to be promising alternatives to the taxa shuffle in this case.</w:t>
      </w:r>
    </w:p>
    <w:p>
      <w:pPr>
        <w:pStyle w:val="BodyText"/>
      </w:pPr>
      <w:r>
        <w:t xml:space="preserve">The assembly process mattered more than tree shape. Mass effects reduced the power of every test except GLM PCPS2 and almost abolished that of the PCC. This is expected from the theory of source–sink metacommunities, in which high dispersal homogenizes composition among sites and erodes β-diversity (Mouquet &amp; Loreau, 2003; Thompson et al., 2020), and it agrees with the low power of phylogenetic diversity indices under mass and priority effects even when traits were strongly conserved (Mason &amp; Pavoine, 2013). Our design probably represents the most extreme case, because the dispersal kernel was uniform and the sites had no spatial structure; in spatially explicit landscapes, mass effects allow species to dominate subregions instead of homogenizing the whole metacommunity (Thompson et al., 2020), which would leave more signal for the tests. Surprisingly, phylogenetic competition partly restored the power lost under mass effects for every test except the PCC. However, competition also pruned close relatives, and under mass effects it reduced the Colless index of the analysed tree by about 75% relative to the pool, so the effect of the process cannot be separated from that of the change in the shape of the analysed tree. Moreover, our competition kernel assumed that close relatives compete more strongly, an assumption that is weakly supported empirically (Cahill et al., 2008; Godoy et al., 2014; Gerhold et al., 2015), and competition can also exclude distant relatives when fitness differences are phylogenetically conserved (Mayfield &amp; Levine, 2010). Therefore, this result should be read as an upper bound for a particular competition structure rather than as a general effect of competition. Taken together,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The methods that treat branches as units recovered the planted clade far more often than those based on phylogenetic eigenvectors. evoPCA ordinates the abundances of evolutionary units, so the stem branch of a clade enters the ordination as a variable (Pavoine, 2016), and phylofactorization searches explicitly for the edge that best separates clades with contrasting responses (Washburne et al., 2017, 2019). As a result, phylofactorization evaluates every edge and evoPCA treats every branch as a variable, and their recovery did not depend on γ. In contrast, PCPS probably recovers a clade only when its stem node is among those weighted by the leading axes, which depends on the distribution of node depths and seems to explain why low γ improved its recovery of both basal and recent clades. Thus, H3 was only partly supported, since the advantage of basal clades under PCPS seems to be a matter of degree. Empirical applications of PCPS have also found that environmental effects concentrate on a few nodes (Duarte et al., 2012), which agrees with this interpretation. The PCC was not designed to locate clades, since it tests a global association between phylogenetic eigenvectors, composition and environment (Peres-Neto &amp; Kembel, 2015), and our results confirm that its leading eigenvectors rarely isolate the clade of interest. Node-based analyses of species distributions (Borregaard et al., 2014) follow a similar node-by-node logic and could be added to future comparisons.</w:t>
      </w:r>
    </w:p>
    <w:p>
      <w:pPr>
        <w:pStyle w:val="BodyText"/>
      </w:pPr>
      <w:r>
        <w:t xml:space="preserve">Our grid spans the tree shapes of anuran clades, although real regional pools seem to occupy its moderate levels. Negative γ is the norm in empirical phylogenies, with slowdowns in diversification in most clades of several groups (McPeek, 2008; Phillimore &amp; Price, 2008), and the major clades of frogs diversified rapidly at the Cretaceous–Paleogene boundary (Feng et al., 2017). The three regional pools of anurans fell inside our grid, between its Yule and median levels of γ (Box 1), so the low-γ cells, where the effects of tree shape were largest, are more extreme than these pools. However, γ is sensitive to incomplete and nonrandom sampling of lineages (Cusimano &amp; Renner, 2010; Brock et al., 2011), so we used it only as a descriptor of the shape of the analysed tree, not as evidence of a diversification process. Our study also has limitations. First, the grid had no level with γ &gt; 0, which one of the three metacommunities of the case study had. Second, Layer B had no spatial structure and used only incidence data and five cells of the grid. Third, every metacommunity had 100 sites, and we did not vary the length of the gradient or the number of sites, which also change power. Finally, the case study had 13–40 ponds and no significant association, so it illustrates how the methods behave with real data rather than validating them.</w:t>
      </w:r>
    </w:p>
    <w:p>
      <w:pPr>
        <w:pStyle w:val="BodyText"/>
      </w:pPr>
      <w:r>
        <w:t xml:space="preserve">In summary, we recommend that empirical studies (i) report γ and the normalized Colless index of the analysed tree, since tree shape changes the power and the ranking of the tests;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 These recommendations seem to hold across the range of tree shapes found in anuran clades with negative γ, but they remain to be tested in trees with γ &gt; 0 and in spatially structured metacommunities.</w:t>
      </w:r>
    </w:p>
    <w:bookmarkEnd w:id="59"/>
    <w:bookmarkStart w:id="60" w:name="references-verified"/>
    <w:p>
      <w:pPr>
        <w:pStyle w:val="Heading1"/>
      </w:pPr>
      <w:r>
        <w:t xml:space="preserve">References (verified)</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Debastiani, V. J. (2026). PCPS: principal coordinates of phylogenetic structure. R package version 1.0.9. doi:10.32614/CRAN.package.PCPS.</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bookmarkEnd w:id="60"/>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2026-10-20T13:28:54Z</dcterms:created>
  <dcterms:modified xsi:type="dcterms:W3CDTF">2026-10-20T13:28:54Z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2026-10-20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Abstract, Methods, Results and Discussion (draft)</vt:lpwstr>
  </property>
  <property fmtid="{D5CDD505-2E9C-101B-9397-08002B2CF9AE}" pid="12" name="toc-title">
    <vt:lpwstr>Table of contents</vt:lpwstr>
  </property>
</Properties>
</file>