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reproducing the original validations and a process-based layer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on average,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 In both layers,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Because γ scales with the number of tips, the low level of γ became more negative with N (Table S1), so part of any change with N may reflect a more extreme low level.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Layer B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 We also evaluated a variant of the GLM on PCPS axes with symmetric Procrustes of the null axes onto the observed ones, as in the R package PCPS (Appendix S2).</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 (no planted effect, which gives the chance level of each method),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We also recorded the rank of the planted node among all nodes and the Jaccard similarity between the best-scoring and the planted clades, which give partial credit to nested or slightly larger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weakly informative and centred on a rate of 0.05 for the intercepts of the type I models (Appendix S1). We assessed the sensitivity of the posteriors to the priors by power-scaling with the R package priorsense v. 1.4.0 (Kallioinen et al., 2024), for the coefficients and for the predicted rate of every condition.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layer reproduced the published validations, since 66 of 72 rejection rates of Duarte et al. (2016) fell within the 95% binomial interval of our estimates and the PCC matched the rates of Peres-Neto and Kembel (2015) where they do not depend on the tree (Appendix S2). All formal models converged (</w:t>
      </w:r>
      <m:oMath>
        <m:acc>
          <m:accPr>
            <m:chr m:val="̂"/>
          </m:accPr>
          <m:e>
            <m:r>
              <m:t>R</m:t>
            </m:r>
          </m:e>
        </m:acc>
      </m:oMath>
      <w:r>
        <w:t xml:space="preserve"> </w:t>
      </w:r>
      <w:r>
        <w:t xml:space="preserve">≤ 1.01, no divergent transitions), and their posterior predictive intervals covered the observed rates (Appendix S2, Table S3). The predicted rates were insensitive to the priors (Appendix S2).</w:t>
      </w:r>
    </w:p>
    <w:p>
      <w:pPr>
        <w:pStyle w:val="BodyText"/>
      </w:pPr>
      <w:r>
        <w:t xml:space="preserve">Tree imbalance did not affect the type I error of any test (</w:t>
      </w:r>
      <w:hyperlink w:anchor="fig-type1">
        <w:r>
          <w:rPr>
            <w:rStyle w:val="Hyperlink"/>
          </w:rPr>
          <w:t xml:space="preserve">Fig. 2</w:t>
        </w:r>
      </w:hyperlink>
      <w:r>
        <w:t xml:space="preserve">). In all 75 combinations of test, null scenario and N, the difference in the distance of the type I error from the nominal level between highly imbalanced and Yule trees was within ±0.012, and no 95% CI excluded zero, with incidence or abundance data; the same held for the taxa shuffle alone (Appendix S2).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w:t>
      </w:r>
      <w:hyperlink w:anchor="fig-type1">
        <w:r>
          <w:rPr>
            <w:rStyle w:val="Hyperlink"/>
          </w:rPr>
          <w:t xml:space="preserve">Fig. 2</w:t>
        </w:r>
      </w:hyperlink>
      <w:r>
        <w:t xml:space="preserve">). Compared with the same scenario without signal (S2), signal in σ (S2σ) increased the rejection rate of GLM PCPS2 by 0.02 (95% CI 0.01–0.03) in Yule trees at N = 100, and by 0.05 (0.04–0.06), 0.10 (0.08–0.12) and 0.21 (0.19–0.23) with low γ at N = 50, 100 and 200, with raw rates of up to 0.36, although the low level of γ was also more extreme at N = 200. The PCC was inflated by 0.05 (0.03–0.06) in Yule trees and by 0.02 (0.01–0.03) with low γ at N = 100, with raw rates of up to 0.22. In contrast, PERMANOVA, GLM PCPS1 and the Mantel test became more conservative under signal in σ (by 0.005–0.030), and signal in maximum abundance (S2h) did not change the rejection rate of any test. With symmetric Procrustes of the null axes, the inflation of GLM PCPS2 disappeared, but this variant was conservative even without nuisance structure (Appendix S2). As a result, H2 was rejected as stated.</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in S3b, low γ reduced the power of GLM PCPS1 from 0.74 to 0.34 (contrast −0.40, 95% CI −0.45 to −0.34) and that of the PCC from 0.98 to 0.73 (−0.25, −0.30 to −0.21), whereas the power of PERMANOVA did not change (0.01, −0.02 to 0.05), and high imbalance reduced power by at most 0.09. Consequently, the ranking of the tests changed with tree shape, since in S3b the PCC was the most powerful test in Yule trees and the third with low γ.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Mass effects reduced the power of every test except GLM PCPS2, by 0.55 (GLM PCPS1) to 0.93 (PCC; 95% CI 0.92–0.94) in Yule pool trees, so that the PCC detected the phylogenetic signal in almost no replicates. Surprisingly, adding phylogenetic competition to mass effects partly restored the power of every test except the PCC; for instance, PERMANOVA lost 0.46 (0.42–0.50) instead of 0.62 (0.58–0.65). However, competition pruned close relatives, which made the γ of the analysed tree more negative and its Colless index lower than those of the pool, especially under mass effects (Appendix S2). Under the null hypothesis, no lower CI bound exceeded 0.075 at N = 100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and averaged over the cells of the grid, evoPCA and phylofactorization identified the planted node in 0.44–0.88 of the replicates, depending on N and depth, PCPS in 0.12–0.42 (0.02–0.71 in single cells) and PCC in only 0.08–0.12, and the rank of the planted node and the Jaccard similarity between the chosen and the planted clades agreed with this ranking (Appendix S2). Without a planted effect, recovery was 0.003–0.021 for evoPCA and phylofactorization and 0.018–0.050 for PCPS and PCC, so the PCC recovered the planted clade only two to three times more often than by chance even with the largest shift; with a shift of 0.5, mean recovery was 0.07–0.11 and did not exceed 0.30 in any condition (Appendix S2).</w:t>
      </w:r>
    </w:p>
    <w:p>
      <w:pPr>
        <w:pStyle w:val="BodyText"/>
      </w:pPr>
      <w:r>
        <w:t xml:space="preserve">Tree shape changed recovery only for PCPS and PCC. With low γ, PCPS recovered basal clades in 0.58 of the replicates against 0.21 in Yule trees, and recent clades in 0.35 against 0.04 (N = 100), whereas the recovery of evoPCA and phylofactorization did not change with γ (all 95% CI included zero), and high imbalance reduced recovery by 0.01–0.10 in all methods. Since low γ improved PCPS for recent as well as for basal clades, H3 was only partly supported, and H4 was supported for clade recovery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eigenstructure of a phylogenetic matrix is set by the tree (Diniz-Filho et al., 1998), and in trees with long internal branches near the root a few deep splits probably dominate it, so the first PCPS axis and the leading eigenvectors of the PCC probably capture the deepest dichotomy even when the gradient sorts species along another one. This parallels the finding that a small number of phylogenetic eigenvectors may be insufficient to control phylogenetic autocorrelation in ecological analyses (Diniz-Filho et al., 2012). However, the Mantel test, which also uses the whole matrix</w:t>
      </w:r>
      <w:r>
        <w:t xml:space="preserve"> </w:t>
      </w:r>
      <m:oMath>
        <m:sSub>
          <m:e>
            <m:r>
              <m:t>D</m:t>
            </m:r>
          </m:e>
          <m:sub>
            <m:r>
              <m:t>P</m:t>
            </m:r>
          </m:sub>
        </m:sSub>
      </m:oMath>
      <w:r>
        <w:t xml:space="preserve">, lost up to 0.23 (Appendix S2), and we did not record the eigenvalue spectra of each replicate, so we cannot confirm this mechanism with our data.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although the low level of γ was also more extreme at N = 200. Rotating the null axes by Procrustes removed this inflation but made the test conservative and less powerful (Appendix S2). Unfortunately, the empirical distribution of phylogenetic signal in niche breadth is unknown for most groups.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contrast, in spatially explicit landscapes mass effects let species dominate subregions instead of homogenizing the whole metacommunity (Thompson et al., 2020), and a spatially implicit resource-competition model failed to predict spatially explicit metacommunities at high dispersal (Ai &amp; Ellwood, 2022). Our uniform dispersal kernel therefore probably represents the most extreme case.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Competition pruned close relatives, so that the analysed tree had a more negative γ and a lower Colless index than the pool, especially under mass effects, and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Accordingly, the competition–relatedness relationship was weak in vascular plants (Cahill et al., 2008), average fitness, but not stabilizing niche differences, showed phylogenetic structure in annual plants (Godoy et al., 2014), and competition can exclude distant relatives when fitness differences are phylogenetically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Node-based analyses of species distributions (Borregaard et al., 2014) follow a similar node-by-node logic and could be added to future comparisons. Thus, branch-wise methods seem to be the appropriate choice when the aim is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In addition, the share of variation on the first PCPS axis decreased rather than increased with low γ (Appendix S2),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First, the grid had no level with γ &gt; 0. Second, Layer B had no spatial structure and used only incidence data and five cells of the grid. Third, we did not vary the number of sites or the length of the gradient, which also change power. Fourth, because optima evolved on the tree, tree shape changed both the distribution of the optima and the tree used in the analysis, and the ages of basal and recent clades also depend on γ, so these effects cannot be separated in our design. Finally, the case study had 13–40 ponds and no significant association, so it illustrates how the methods behave with real data rather than validating them. To the best of our knowledge, and based on searches of the literature, this is the first simulation study to evaluate tests on phylogeny-weighted composition across controlled gradients of tree shape and under process-based metacommunity assembly. In summary, we recommend that empirical studies (i) report γ and the normalized Colless index of the analysed tree; (ii) not rely on a single test, and prefer PERMANOVA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2026-10-20T17:01:14Z</dcterms:created>
  <dcterms:modified xsi:type="dcterms:W3CDTF">2026-10-20T17:01:14Z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