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Branching times and dispersal, not tree imbalance, govern the performance of phylogenetic community–environment methods</w:t>
      </w:r>
    </w:p>
    <w:p>
      <w:pPr>
        <w:pStyle w:val="FirstParagraph"/>
      </w:pPr>
      <w:r>
        <w:t xml:space="preserve">Diogo B. Provete</w:t>
      </w:r>
      <w:r>
        <w:rPr>
          <w:vertAlign w:val="superscript"/>
        </w:rPr>
        <w:t xml:space="preserve">1,2</w:t>
      </w:r>
    </w:p>
    <w:p>
      <w:pPr>
        <w:pStyle w:val="BodyText"/>
      </w:pPr>
      <w:r>
        <w:rPr>
          <w:vertAlign w:val="superscript"/>
        </w:rPr>
        <w:t xml:space="preserve">1</w:t>
      </w:r>
      <w:r>
        <w:t xml:space="preserve"> </w:t>
      </w:r>
      <w:r>
        <w:t xml:space="preserve">Instituto de Biociências, Universidade Federal de Mato Grosso do Sul, Campo Grande, Mato Grosso do Sul, Brazil</w:t>
      </w:r>
    </w:p>
    <w:p>
      <w:pPr>
        <w:pStyle w:val="BodyText"/>
      </w:pPr>
      <w:r>
        <w:rPr>
          <w:vertAlign w:val="superscript"/>
        </w:rPr>
        <w:t xml:space="preserve">2</w:t>
      </w:r>
      <w:r>
        <w:t xml:space="preserve"> </w:t>
      </w:r>
      <w:r>
        <w:t xml:space="preserve">Gothenburg Global Biodiversity Centre, University of Gothenburg, Gothenburg, Sweden</w:t>
      </w:r>
    </w:p>
    <w:p>
      <w:pPr>
        <w:pStyle w:val="BodyText"/>
      </w:pPr>
      <w:r>
        <w:t xml:space="preserve">Correspondence: Diogo B. Provete, dbprovete@gmail.com</w:t>
      </w:r>
    </w:p>
    <w:p>
      <w:pPr>
        <w:pStyle w:val="BodyText"/>
      </w:pPr>
      <w:r>
        <w:t xml:space="preserve">ORCID: https://orcid.org/0000-0002-0097-0651</w:t>
      </w:r>
    </w:p>
    <w:p>
      <w:pPr>
        <w:pStyle w:val="BodyText"/>
      </w:pPr>
      <w:r>
        <w:t xml:space="preserve">Running title: Tree shape and phylogenetic community tests</w:t>
      </w:r>
    </w:p>
    <w:p>
      <w:pPr>
        <w:pStyle w:val="BodyText"/>
      </w:pPr>
      <w:r>
        <w:t xml:space="preserve">Article type: Research Article</w:t>
      </w:r>
    </w:p>
    <w:p>
      <w:pPr>
        <w:pStyle w:val="BodyText"/>
      </w:pPr>
      <w:r>
        <w:t xml:space="preserve">Word count: 7,866 (abstract, main text and references); 8,267 including the table and figure legends</w:t>
      </w:r>
    </w:p>
    <w:bookmarkStart w:id="20" w:name="acknowledgements"/>
    <w:p>
      <w:pPr>
        <w:pStyle w:val="Heading1"/>
      </w:pPr>
      <w:r>
        <w:t xml:space="preserve">Acknowledgements</w:t>
      </w:r>
    </w:p>
    <w:p>
      <w:pPr>
        <w:pStyle w:val="FirstParagraph"/>
      </w:pPr>
      <w:r>
        <w:t xml:space="preserve">I thank V. J. Debastiani for help with the implementation of the first version of this simulation, L. D. S. Duarte and A. S. Melo for discussions during my PhD, and M. V. Cianciaruso, T. F. Rangel and T. B. Quental for comments as members of the thesis committee. I also thank the authors who shared the tadpole metacommunity data used in Appendix S3. I received a PhD fellowship and a sandwich PhD fellowship (PDSE, process 18641-12-1) from the Coordenação de Aperfeiçoamento de Pessoal de Nível Superior (CAPES), and this study was supported by the Fundação de Apoio ao Desenvolvimento do Ensino, Ciência e Tecnologia do Estado de Mato Grosso do Sul (FUNDECT; grant 83/027.032/2024).</w:t>
      </w:r>
    </w:p>
    <w:bookmarkEnd w:id="20"/>
    <w:bookmarkStart w:id="21" w:name="conflict-of-interest-statement"/>
    <w:p>
      <w:pPr>
        <w:pStyle w:val="Heading1"/>
      </w:pPr>
      <w:r>
        <w:t xml:space="preserve">Conflict of interest statement</w:t>
      </w:r>
    </w:p>
    <w:p>
      <w:pPr>
        <w:pStyle w:val="FirstParagraph"/>
      </w:pPr>
      <w:r>
        <w:t xml:space="preserve">The author declares no conflict of interest.</w:t>
      </w:r>
    </w:p>
    <w:bookmarkEnd w:id="21"/>
    <w:bookmarkStart w:id="22" w:name="author-contributions"/>
    <w:p>
      <w:pPr>
        <w:pStyle w:val="Heading1"/>
      </w:pPr>
      <w:r>
        <w:t xml:space="preserve">Author contributions</w:t>
      </w:r>
    </w:p>
    <w:p>
      <w:pPr>
        <w:pStyle w:val="FirstParagraph"/>
      </w:pPr>
      <w:r>
        <w:t xml:space="preserve">Diogo B. Provete conceived the study, designed and ran the simulations, analysed the results and wrote the manuscript.</w:t>
      </w:r>
    </w:p>
    <w:bookmarkEnd w:id="22"/>
    <w:bookmarkStart w:id="23" w:name="data-availability-statement"/>
    <w:p>
      <w:pPr>
        <w:pStyle w:val="Heading1"/>
      </w:pPr>
      <w:r>
        <w:t xml:space="preserve">Data availability statement</w:t>
      </w:r>
    </w:p>
    <w:p>
      <w:pPr>
        <w:pStyle w:val="FirstParagraph"/>
      </w:pPr>
      <w:r>
        <w:t xml:space="preserve">The code of the simulations, the rates aggregated by condition, the outputs of the formal models and the scripts that reproduce every table and figure are available at https://github.com/diogoprov/pcps-sim and archived at Zenodo (https://doi.org/10.5281/zenodo.23500104, all versions; v0.1.0, https://doi.org/10.5281/zenodo.23500105). For peer review, an anonymized copy is available at https://doi.org/10.5281/zenodo.23500661. The tadpole metacommunity data of Appendix S3 come from published studies (Both et al., 2011; Prado &amp; Rossa-Feres, 2014; Provete et al., 2014) and from unpublished data shared with the author, which cannot be redistributed; the repository holds only the tree shapes of the regional pools derived from them and the results of the case study.</w:t>
      </w:r>
    </w:p>
    <w:bookmarkEnd w:id="23"/>
    <w:bookmarkStart w:id="24" w:name="use-of-artificial-intelligence"/>
    <w:p>
      <w:pPr>
        <w:pStyle w:val="Heading1"/>
      </w:pPr>
      <w:r>
        <w:t xml:space="preserve">Use of artificial intelligence</w:t>
      </w:r>
    </w:p>
    <w:p>
      <w:pPr>
        <w:pStyle w:val="FirstParagraph"/>
      </w:pPr>
      <w:r>
        <w:t xml:space="preserve">The code and the drafts of the Methods and Results were written with the assistance of an AI model (Claude, Anthropic) under the direction of the author, who made every design decision and checked every result; the interactions are logged in docs/AI_INTERACTION_LOG.md of the code repository.</w:t>
      </w:r>
    </w:p>
    <w:bookmarkEnd w:id="24"/>
    <w:sectPr>
      <w:footerReference r:id="rId9" w:type="default"/>
      <w:footnotePr>
        <w:numRestart w:val="eachSect"/>
      </w:footnotePr>
      <w:pgSz w:h="16838" w:w="11906"/>
      <w:pgMar w:bottom="1418" w:footer="709" w:gutter="0" w:header="709" w:left="1418" w:right="1418" w:top="1418"/>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Branching times and dispersal, not tree imbalance, govern the performance of phylogenetic community–environment methods</dc:title>
  <dc:creator/>
  <cp:keywords/>
  <dcterms:created xsi:type="dcterms:W3CDTF">2026-10-20T17:01:16Z</dcterms:created>
  <dcterms:modified xsi:type="dcterms:W3CDTF">2026-10-20T17:01:16Z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