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9"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process-based-simulations"/>
    <w:p>
      <w:pPr>
        <w:pStyle w:val="Heading2"/>
      </w:pPr>
      <w:r>
        <w:t xml:space="preserve">Process-based simulations</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the static simulations,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Xc5b1b5043575397a44c3703076288e3c6919eac"/>
    <w:p>
      <w:pPr>
        <w:pStyle w:val="Heading2"/>
      </w:pPr>
      <w:r>
        <w:t xml:space="preserve">Optima with a fixed marginal distribution</w:t>
      </w:r>
    </w:p>
    <w:p>
      <w:pPr>
        <w:pStyle w:val="FirstParagraph"/>
      </w:pPr>
      <w:r>
        <w:t xml:space="preserve">Because the optima evolve on the tree, the shape of the tree changes both their marginal distribution along the gradient (for instance, clusters of similar optima in trees with long internal branches) and the tree used in the analysis. To separate the two, we repeated the power scenarios of the static simulations (S3a, S3b and S3σ) in all cells, N and data types with the optima of each replicate replaced, by ranks, by evenly spaced values on [−1, 101]. The arrangement of the optima on the tree is the same as under Brownian motion, but their marginal distribution is identical in every tree, so differences among levels of γ in this run reflect only how the tree enters the analysis. This run used the same trees as the static simulations but not the same random draws of the other species traits and of the gradient, so its rates are compared among levels of γ within the run and not replicate by replicate with the main run. It included the RDA PCPS and the GLM with Procrustes.</w:t>
      </w:r>
    </w:p>
    <w:bookmarkEnd w:id="23"/>
    <w:bookmarkStart w:id="24" w:name="X44068f899328eab8149379cdc9c93274e4b7163"/>
    <w:p>
      <w:pPr>
        <w:pStyle w:val="Heading2"/>
      </w:pPr>
      <w:r>
        <w:t xml:space="preserve">Spatial version of the process-based simulations</w:t>
      </w:r>
    </w:p>
    <w:p>
      <w:pPr>
        <w:pStyle w:val="FirstParagraph"/>
      </w:pPr>
      <w:r>
        <w:t xml:space="preserve">To relax the absence of spatial structure in the process-based simulations, we placed the 100 sites on a 10 × 10 grid wrapped as a torus, so that there are no edges. The gradient was spatially autocorrelated: independent standard normal deviates were smoothed with a Gaussian kernel with a standard deviation of two cells and given the U(0, 100) marginal distribution of the non-spatial version by ranks; the independent gradient of S0 and S1 was drawn in the same way. Emigrants reached the other sites with a probability proportional to exp(−d/2), with d the toroidal distance in cells. As an approximation, the immigrants of each species to each site were drawn from a Poisson distribution with the expected flow as mean, instead of the multinomial redistribution of the non-spatial version. The expected number of immigrants therefore equals the number of emigrants, but the total is not conserved exactly at each step; since each emigrant can reach 99 sites, each with a small probability, the variance of the Poisson draw is close to that of a multinomial one, so this approximation seems to add little stochasticity. All other settings, including the pool sizes, were those of the process-based simulations, at N = 100 in the five cells, the four archetypes and the eight scenarios, and each metacommunity was analysed with incidence and with abundance data.</w:t>
      </w:r>
    </w:p>
    <w:p>
      <w:pPr>
        <w:pStyle w:val="BodyText"/>
      </w:pPr>
      <w:r>
        <w:t xml:space="preserve">With spatial structure, the site shuffle is no longer a valid null model, since the composition and the gradient are both spatially autocorrelated. We therefore replaced it, in every test, by the 799 rearrangements of the torus that preserve the spatial autocorrelation of the gradient (the 100 translations times the eight symmetries of the square, without the identity), a torus-translation test; the taxa shuffle was unchanged. In a pilot under the null hypothesis (S0, 200 replicates per archetype, script 34_pilot_spatial_null.R), the plain site shuffle rejected in 0.18–0.70 of the replicates, whereas the torus-translation test rejected in 0.03–0.065.</w:t>
      </w:r>
    </w:p>
    <w:bookmarkEnd w:id="24"/>
    <w:bookmarkStart w:id="25"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5"/>
    <w:bookmarkStart w:id="26"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6"/>
    <w:bookmarkStart w:id="27"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the static simulations did not store the shape of every tree, so a continuous term would only interpolate three points. Therefore, we entered the levels of both statistics as factors. In the static simulations,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the process-based simulations,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7"/>
    <w:bookmarkStart w:id="28" w:name="computation"/>
    <w:p>
      <w:pPr>
        <w:pStyle w:val="Heading2"/>
      </w:pPr>
      <w:r>
        <w:t xml:space="preserve">Computation</w:t>
      </w:r>
    </w:p>
    <w:p>
      <w:pPr>
        <w:pStyle w:val="FirstParagraph"/>
      </w:pPr>
      <w:r>
        <w:t xml:space="preserve">The static and process-based simulations ran in a Docker image on spot cloud instances with 192 virtual CPUs (190 workers); the pipeline seed was 20261018, from which the R package targets v. 1.12.0 (Landau, 2021) derives one seed per branch, with workers launched by crew v. 1.3.3 (Landau, 2026). The static simulations took about 8 h for the 432,000 metacommunities of the main run and the process-based simulations about 7.5 h for their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8"/>
    <w:bookmarkEnd w:id="29"/>
    <w:bookmarkStart w:id="43" w:name="appendix-s2.-extended-results"/>
    <w:p>
      <w:pPr>
        <w:pStyle w:val="Heading1"/>
      </w:pPr>
      <w:r>
        <w:t xml:space="preserve">Appendix S2. Extended results</w:t>
      </w:r>
    </w:p>
    <w:bookmarkStart w:id="30" w:name="validation-against-published-results"/>
    <w:p>
      <w:pPr>
        <w:pStyle w:val="Heading2"/>
      </w:pPr>
      <w:r>
        <w:t xml:space="preserve">Validation against published results</w:t>
      </w:r>
    </w:p>
    <w:p>
      <w:pPr>
        <w:pStyle w:val="FirstParagraph"/>
      </w:pPr>
      <w:r>
        <w:t xml:space="preserve">The static simulations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30"/>
    <w:bookmarkStart w:id="31"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the static simulations.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the process-based simulations. Under species sorting without competition, power at N = 100 in S3b in Yule pool trees was 0.78 for GLM PCPS1, 0.83 for RDA PCPS, 0.87 for PERMANOVA, 0.92 for the Mantel test and 0.96 for the PCC, whereas GLM PCPS2 had almost no power (0.03), as in the static simulations.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the static simulations, the share of variation on the first PCPS axis decreased rather than increased with low γ.</w:t>
      </w:r>
    </w:p>
    <w:bookmarkEnd w:id="31"/>
    <w:bookmarkStart w:id="32"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the static simulations with the same design (without the PCC) and in the process-based simulations (file procrustes_rates.csv of the code archive). At N = 100 and 200 with incidence data, and averaged over the Colless levels, the variant removed the inflation of GLM PCPS2 in S2σ (raw rates 0.002–0.009 in the static simulations and 0.008–0.014 in the process-based simulations under species sorting, against 0.096–0.294 and 0.055–0.127 without Procrustes). However, it was conservative even without nuisance structure (0.001–0.004 for GLM PCPS2 and 0.016–0.028 for GLM PCPS1 in S2 in the static simulations, against nominal 0.05), and it reduced the power of GLM PCPS1, especially with low γ (in S3b, from 0.36 to 0.23 at N = 100 and from 0.44 to 0.27 at N = 200 in the static simulations). For a single axis, the symmetric Procrustes is only a change of sign and scale and leaves the test unchanged. In the same run of the static simulations,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748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2"/>
    <w:bookmarkStart w:id="33"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static), 0.009 (type I error, static), 0.014 (type I error, process-based) and 0.015 (power, process-based), and the proportion of conditions above the 0.05 threshold of priorsense was 0.2%, 1.7%, 2.7%, 2.2% and 5.2%, respectively. In the process-based simulations,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3"/>
    <w:bookmarkStart w:id="34" w:name="Xce470afef2c91288a445ed692e3e1d99384c29b"/>
    <w:p>
      <w:pPr>
        <w:pStyle w:val="Heading2"/>
      </w:pPr>
      <w:r>
        <w:t xml:space="preserve">Tree shape of the pool and of the analysed tree in the process-based simulations</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4"/>
    <w:bookmarkStart w:id="35"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5"/>
    <w:bookmarkStart w:id="36"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6"/>
    <w:bookmarkStart w:id="37"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7"/>
    <w:bookmarkStart w:id="38" w:name="clade-age-and-clade-recovery"/>
    <w:p>
      <w:pPr>
        <w:pStyle w:val="Heading2"/>
      </w:pPr>
      <w:r>
        <w:t xml:space="preserve">Clade age and clade recovery</w:t>
      </w:r>
    </w:p>
    <w:p>
      <w:pPr>
        <w:pStyle w:val="FirstParagraph"/>
      </w:pPr>
      <w:r>
        <w:t xml:space="preserve">The relative age of the stem node of the planted clade was recorded in every replicate. Because relative age is tied to the depth class of the planted node (basal or recent), we compared tertiles of relative age within each depth class and level of γ, and fitted binomial GLMs of hit on standardized relative age, γ level, their interaction and depth class (shift 2, incidence data, N = 100; files clade_age.csv and clade_age_glm.csv). Within each depth class and level of γ, older clades were recovered more often by PCPS (e.g. basal clades, from 0.08 in the youngest to 0.34 in the oldest tertile in Yule trees and from 0.42 to 0.69 with low γ), evoPCA (from 0.59–0.75 to 0.71–0.85) and phylofactorization (from 0.60–0.77 to 0.69–0.82), whereas the PCC showed no consistent trend. In the GLMs, the effect of relative age at Yule γ was positive for every method after accounting for depth class (PCPS 1.55 ± 0.07 on the logit scale per standard deviation, PCC 0.96 ± 0.06, evoPCA 0.35 ± 0.05, phylofactorization 0.27 ± 0.05), and stronger with low γ except for the PCC (interaction −1.77 ± 0.11). Thus, the advantage of older clades is not only a consequence of γ or of the depth class, although the three act together.</w:t>
      </w:r>
    </w:p>
    <w:bookmarkEnd w:id="38"/>
    <w:bookmarkStart w:id="39"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1.021, bulk effective sample size ≥ 376), and 13% of the transitions of the power model of the static simulations reached the maximum tree depth, so we used these models only as a check.</w:t>
      </w:r>
    </w:p>
    <w:bookmarkEnd w:id="39"/>
    <w:bookmarkStart w:id="40" w:name="X4f8c845581ce9a85ad0f0f12651c2828c2258f2"/>
    <w:p>
      <w:pPr>
        <w:pStyle w:val="Heading2"/>
      </w:pPr>
      <w:r>
        <w:t xml:space="preserve">Type I error in the process-based simulations</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40"/>
    <w:bookmarkStart w:id="41"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41"/>
    <w:bookmarkStart w:id="42"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2"/>
    <w:bookmarkEnd w:id="43"/>
    <w:bookmarkStart w:id="49" w:name="Xe229b3875b755fa040ccee6a6defa38ba6f6b70"/>
    <w:p>
      <w:pPr>
        <w:pStyle w:val="Heading1"/>
      </w:pPr>
      <w:r>
        <w:t xml:space="preserve">Appendix S3. Real pools and real metacommunities</w:t>
      </w:r>
    </w:p>
    <w:bookmarkStart w:id="44"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4"/>
    <w:bookmarkStart w:id="48"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6" name="Picture"/>
            <a:graphic>
              <a:graphicData uri="http://schemas.openxmlformats.org/drawingml/2006/picture">
                <pic:pic>
                  <pic:nvPicPr>
                    <pic:cNvPr descr="figures/box1_pools.png" id="47" name="Picture"/>
                    <pic:cNvPicPr>
                      <a:picLocks noChangeArrowheads="1" noChangeAspect="1"/>
                    </pic:cNvPicPr>
                  </pic:nvPicPr>
                  <pic:blipFill>
                    <a:blip r:embed="rId45"/>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8"/>
    <w:bookmarkEnd w:id="49"/>
    <w:bookmarkStart w:id="51"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50"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50"/>
          <w:p/>
        </w:tc>
      </w:tr>
    </w:tbl>
    <w:bookmarkEnd w:id="51"/>
    <w:bookmarkStart w:id="53"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2"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2"/>
          <w:p/>
        </w:tc>
      </w:tr>
    </w:tbl>
    <w:bookmarkEnd w:id="53"/>
    <w:bookmarkStart w:id="55"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4"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633"/>
              <w:gridCol w:w="580"/>
              <w:gridCol w:w="739"/>
              <w:gridCol w:w="739"/>
              <w:gridCol w:w="633"/>
              <w:gridCol w:w="844"/>
              <w:gridCol w:w="528"/>
              <w:gridCol w:w="528"/>
              <w:gridCol w:w="1056"/>
              <w:gridCol w:w="1056"/>
              <w:gridCol w:w="580"/>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r>
              <w:tc>
                <w:tcPr/>
                <w:p>
                  <w:pPr>
                    <w:pStyle w:val="Compact"/>
                    <w:jc w:val="left"/>
                    <w:jc w:val="center"/>
                  </w:pPr>
                  <w:r>
                    <w:t xml:space="preserve">type_I_axes</w:t>
                  </w:r>
                </w:p>
              </w:tc>
              <w:tc>
                <w:tcPr/>
                <w:p>
                  <w:pPr>
                    <w:pStyle w:val="Compact"/>
                    <w:jc w:val="right"/>
                    <w:jc w:val="center"/>
                  </w:pPr>
                  <w:r>
                    <w:t xml:space="preserve">1.005</w:t>
                  </w:r>
                </w:p>
              </w:tc>
              <w:tc>
                <w:tcPr/>
                <w:p>
                  <w:pPr>
                    <w:pStyle w:val="Compact"/>
                    <w:jc w:val="right"/>
                    <w:jc w:val="center"/>
                  </w:pPr>
                  <w:r>
                    <w:t xml:space="preserve">749.084</w:t>
                  </w:r>
                </w:p>
              </w:tc>
              <w:tc>
                <w:tcPr/>
                <w:p>
                  <w:pPr>
                    <w:pStyle w:val="Compact"/>
                    <w:jc w:val="right"/>
                    <w:jc w:val="center"/>
                  </w:pPr>
                  <w:r>
                    <w:t xml:space="preserve">1451.114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0.685</w:t>
                  </w:r>
                </w:p>
              </w:tc>
              <w:tc>
                <w:tcPr/>
                <w:p>
                  <w:pPr>
                    <w:pStyle w:val="Compact"/>
                    <w:jc w:val="right"/>
                    <w:jc w:val="center"/>
                  </w:pPr>
                  <w:r>
                    <w:t xml:space="preserve">0.988</w:t>
                  </w:r>
                </w:p>
              </w:tc>
              <w:tc>
                <w:tcPr/>
                <w:p>
                  <w:pPr>
                    <w:pStyle w:val="Compact"/>
                    <w:jc w:val="right"/>
                    <w:jc w:val="center"/>
                  </w:pPr>
                  <w:r>
                    <w:t xml:space="preserve">0.974</w:t>
                  </w:r>
                </w:p>
              </w:tc>
              <w:tc>
                <w:tcPr/>
                <w:p>
                  <w:pPr>
                    <w:pStyle w:val="Compact"/>
                    <w:jc w:val="right"/>
                    <w:jc w:val="center"/>
                  </w:pPr>
                  <w:r>
                    <w:t xml:space="preserve">1</w:t>
                  </w:r>
                </w:p>
              </w:tc>
              <w:tc>
                <w:tcPr/>
                <w:p>
                  <w:pPr>
                    <w:pStyle w:val="Compact"/>
                    <w:jc w:val="right"/>
                    <w:jc w:val="center"/>
                  </w:pPr>
                  <w:r>
                    <w:t xml:space="preserve">1.452</w:t>
                  </w:r>
                </w:p>
              </w:tc>
            </w:tr>
            <w:tr>
              <w:tc>
                <w:tcPr/>
                <w:p>
                  <w:pPr>
                    <w:pStyle w:val="Compact"/>
                    <w:jc w:val="left"/>
                    <w:jc w:val="center"/>
                  </w:pPr>
                  <w:r>
                    <w:t xml:space="preserve">power_axes</w:t>
                  </w:r>
                </w:p>
              </w:tc>
              <w:tc>
                <w:tcPr/>
                <w:p>
                  <w:pPr>
                    <w:pStyle w:val="Compact"/>
                    <w:jc w:val="right"/>
                    <w:jc w:val="center"/>
                  </w:pPr>
                  <w:r>
                    <w:t xml:space="preserve">1.005</w:t>
                  </w:r>
                </w:p>
              </w:tc>
              <w:tc>
                <w:tcPr/>
                <w:p>
                  <w:pPr>
                    <w:pStyle w:val="Compact"/>
                    <w:jc w:val="right"/>
                    <w:jc w:val="center"/>
                  </w:pPr>
                  <w:r>
                    <w:t xml:space="preserve">748.550</w:t>
                  </w:r>
                </w:p>
              </w:tc>
              <w:tc>
                <w:tcPr/>
                <w:p>
                  <w:pPr>
                    <w:pStyle w:val="Compact"/>
                    <w:jc w:val="right"/>
                    <w:jc w:val="center"/>
                  </w:pPr>
                  <w:r>
                    <w:t xml:space="preserve">1489.957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0.704</w:t>
                  </w:r>
                </w:p>
              </w:tc>
              <w:tc>
                <w:tcPr/>
                <w:p>
                  <w:pPr>
                    <w:pStyle w:val="Compact"/>
                    <w:jc w:val="right"/>
                    <w:jc w:val="center"/>
                  </w:pPr>
                  <w:r>
                    <w:t xml:space="preserve">0.967</w:t>
                  </w:r>
                </w:p>
              </w:tc>
              <w:tc>
                <w:tcPr/>
                <w:p>
                  <w:pPr>
                    <w:pStyle w:val="Compact"/>
                    <w:jc w:val="right"/>
                    <w:jc w:val="center"/>
                  </w:pPr>
                  <w:r>
                    <w:t xml:space="preserve">0.947</w:t>
                  </w:r>
                </w:p>
              </w:tc>
              <w:tc>
                <w:tcPr/>
                <w:p>
                  <w:pPr>
                    <w:pStyle w:val="Compact"/>
                    <w:jc w:val="right"/>
                    <w:jc w:val="center"/>
                  </w:pPr>
                  <w:r>
                    <w:t xml:space="preserve">1</w:t>
                  </w:r>
                </w:p>
              </w:tc>
              <w:tc>
                <w:tcPr/>
                <w:p>
                  <w:pPr>
                    <w:pStyle w:val="Compact"/>
                    <w:jc w:val="right"/>
                    <w:jc w:val="center"/>
                  </w:pPr>
                  <w:r>
                    <w:t xml:space="preserve">9.113</w:t>
                  </w:r>
                </w:p>
              </w:tc>
            </w:tr>
          </w:tbl>
          <w:bookmarkEnd w:id="54"/>
          <w:p/>
        </w:tc>
      </w:tr>
    </w:tbl>
    <w:bookmarkEnd w:id="55"/>
    <w:bookmarkStart w:id="56"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2026-10-21T03:26:03Z</dcterms:created>
  <dcterms:modified xsi:type="dcterms:W3CDTF">2026-10-21T03:26:03Z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