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4.png" ContentType="image/png"/>
  <Override PartName="/word/media/rId21.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Abstract, Methods and Results (draft)</w:t>
      </w:r>
    </w:p>
    <w:p>
      <w:pPr>
        <w:pStyle w:val="Author"/>
      </w:pPr>
      <w:r>
        <w:t xml:space="preserve">Diogo B. Provete</w:t>
      </w:r>
    </w:p>
    <w:p>
      <w:pPr>
        <w:pStyle w:val="Date"/>
      </w:pPr>
      <w:r>
        <w:t xml:space="preserve">2026-10-20</w:t>
      </w:r>
    </w:p>
    <w:bookmarkStart w:id="20" w:name="abstract"/>
    <w:p>
      <w:pPr>
        <w:pStyle w:val="Heading1"/>
      </w:pPr>
      <w:r>
        <w:t xml:space="preserve">Abstract</w:t>
      </w:r>
    </w:p>
    <w:p>
      <w:pPr>
        <w:numPr>
          <w:ilvl w:val="0"/>
          <w:numId w:val="1001"/>
        </w:numPr>
      </w:pPr>
      <w:r>
        <w:t xml:space="preserve">Methods that relate the phylogenetic structure of metacommunities to environmental gradients, like the principal coordinates of phylogenetic structure (PCPS) and the phylogenetic community composition approach (PCC), were validated with static simulations on trees close to the Yule model. However, real phylogenies vary in topological imbalance and in the distribution of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that reproduces the original validations and in a process-based layer with species sorting, mass effects and phylogenetic competition. We estimated the type I error and power of six tests, and how often four ordination and factorization methods recovered a clade planted along the gradient, with beta-binomial models of these rates.</w:t>
      </w:r>
    </w:p>
    <w:p>
      <w:pPr>
        <w:numPr>
          <w:ilvl w:val="0"/>
          <w:numId w:val="1001"/>
        </w:numPr>
      </w:pPr>
      <w:r>
        <w:t xml:space="preserve">Tree imbalance did not affect the type I error of any test. Phylogenetic signal in niche breadth inflated the type I error of the linear model on the second PCPS axis, up to 0.36 in trees with low γ, and of the PCC, up to 0.22. Low γ reduced the power of the linear model on the first PCPS axis by 0.40 and that of the PCC by 0.25, whereas PERMANOVA was almost insensitive to tree shape. Mass effects reduced power more than tree shape and almost abolished that of the PCC. The evoPCA and phylofactorization recovered the planted clade in 0.44–0.88 of the replicates in every tree shape, whereas PCPS depended strongly on γ and PCC rarely found the clade.</w:t>
      </w:r>
    </w:p>
    <w:p>
      <w:pPr>
        <w:numPr>
          <w:ilvl w:val="0"/>
          <w:numId w:val="1001"/>
        </w:numPr>
      </w:pPr>
      <w:r>
        <w:t xml:space="preserve">The performance of these methods seems to depend on the distribution of branching times and on the assembly process rather than on tree imbalance. Three regional anuran pools fell inside the simulated grid, so these results seem to apply to real metacommunities. We therefore recommend reporting γ of the analysed tree, caution with the second PCPS axis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provided as an anonymized zip file with this submission;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36" w:name="methods"/>
    <w:p>
      <w:pPr>
        <w:pStyle w:val="Heading1"/>
      </w:pPr>
      <w:r>
        <w:t xml:space="preserve">Methods</w:t>
      </w:r>
    </w:p>
    <w:bookmarkStart w:id="25" w:name="overview-of-the-simulation-study"/>
    <w:p>
      <w:pPr>
        <w:pStyle w:val="Heading2"/>
      </w:pPr>
      <w:r>
        <w:t xml:space="preserve">Overview of the simulation study</w:t>
      </w:r>
    </w:p>
    <w:p>
      <w:pPr>
        <w:pStyle w:val="FirstParagraph"/>
      </w:pPr>
      <w:r>
        <w:t xml:space="preserve">We designed the simulation study following the aims, data-generating mechanisms, estimands, methods and performance measures structure recommended for simulation studies that evaluate statistical methods (DiRenzo et al., 2023; Williams et al., 2024). The study had three aims: (i) to estimate how the shape of the phylogenetic tree, measured as the distribution of branching times (the γ statistic; Pybus &amp; Harvey, 2000) and the imbalance of the topology (the Colless index; Colless, 1982), affects the type I error and the power of tests that relate the phylogenetic structure of metacommunities to an environmental gradient; (ii) to estimate how the same tests perform under different processes of metacommunity assembly, which, to the best of our knowledge, neither the articles that proposed these tests nor later evaluations of them have addressed (Peres-Neto &amp; Kembel, 2015; Duarte et al., 2016); and (iii) to estimate how well ordination and factorization methods recover a clade associated with the gradient. 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w:t>
      </w:r>
    </w:p>
    <w:p>
      <w:pPr>
        <w:pStyle w:val="BodyText"/>
      </w:pPr>
      <w:r>
        <w:t xml:space="preserve">We stated four hypotheses before the main runs.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The study was not registered. However, we wrote the design and the hypotheses down before the main runs (docs/PLANO_SIMULACAO.md, first committed on 16 October 2026 as commit 668fa60 of the code repository),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4" w:name="fig-design"/>
          <w:p>
            <w:pPr>
              <w:pStyle w:val="Compact"/>
              <w:jc w:val="center"/>
            </w:pPr>
            <w:r>
              <w:drawing>
                <wp:inline>
                  <wp:extent cx="5753100" cy="2622454"/>
                  <wp:effectExtent b="0" l="0" r="0" t="0"/>
                  <wp:docPr descr="" title="" id="22" name="Picture"/>
                  <a:graphic>
                    <a:graphicData uri="http://schemas.openxmlformats.org/drawingml/2006/picture">
                      <pic:pic>
                        <pic:nvPicPr>
                          <pic:cNvPr descr="figures/fig1_schematic.png" id="23" name="Picture"/>
                          <pic:cNvPicPr>
                            <a:picLocks noChangeArrowheads="1" noChangeAspect="1"/>
                          </pic:cNvPicPr>
                        </pic:nvPicPr>
                        <pic:blipFill>
                          <a:blip r:embed="rId21"/>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4"/>
        </w:tc>
      </w:tr>
    </w:tbl>
    <w:bookmarkEnd w:id="25"/>
    <w:bookmarkStart w:id="26"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empirical range of anuran tree shapes between the 10% and 90% quantiles, although it has no level with γ &gt; 0, and its Yule × Yule cell approximates the trees used in previous validations (Peres-Neto &amp; Kembel, 2015; Duarte et al., 2016).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6"/>
    <w:bookmarkStart w:id="27"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7"/>
    <w:bookmarkStart w:id="28"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the tree of the analysed metacommunity, and we calibrated the size of the pool so that the mean number of species left after the dynamics was close to N. Mass effects with phylogenetic competition could not reach N = 200, and we dropped this combination. Layer B used five cells of the grid (the four corners and the centre) and 1,000 replicates per combination.</w:t>
      </w:r>
    </w:p>
    <w:bookmarkEnd w:id="28"/>
    <w:bookmarkStart w:id="30"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In S0 and S1, we analysed a gradient independent of the one that generated the data, with species optima without (S0) or with (S1) phylogenetic signal, so any association between phylogenetic structure and the analysed gradient arises by chance. Scenarios S2, S2σ and S2h used the gradient that generated the data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scenarios under the alternative hypothesis had optima with intermediate (S3a, λ = 0.5) or full (S3b, λ = 1) phylogenetic signal, and S3σ added signal in niche breadth. Accordingly,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29"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29"/>
          <w:p/>
        </w:tc>
      </w:tr>
    </w:tbl>
    <w:bookmarkEnd w:id="30"/>
    <w:bookmarkStart w:id="31"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The observed statistics of our permutation code equal those of the R packages vegan v. 2.7-6 (Oksanen et al., 2026) and PCPS v. 1.0.9 (Debastiani, 2026), which we checked in unit tests.</w:t>
      </w:r>
    </w:p>
    <w:bookmarkEnd w:id="31"/>
    <w:bookmarkStart w:id="32"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and the planted clade, the optima and the gradient of a replicate were the same across shifts and data types.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2"/>
    <w:bookmarkStart w:id="33"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w:t>
      </w:r>
      <w:r>
        <w:t xml:space="preserve">and at most 0.016 at</w:t>
      </w:r>
      <w:r>
        <w:t xml:space="preserve"> </w:t>
      </w:r>
      <m:oMath>
        <m:r>
          <m:t>p</m:t>
        </m:r>
        <m:r>
          <m:rPr>
            <m:sty m:val="p"/>
          </m:rPr>
          <m:t>=</m:t>
        </m:r>
        <m:r>
          <m:t>0.5</m:t>
        </m:r>
      </m:oMath>
      <w:r>
        <w:t xml:space="preserve">, so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We report every rate with its Monte Carlo standard error in Table S2, and the credible intervals of the formal models below include the binomial variation among replicates.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3"/>
    <w:bookmarkStart w:id="34" w:name="empirical-reference-and-case-study"/>
    <w:p>
      <w:pPr>
        <w:pStyle w:val="Heading2"/>
      </w:pPr>
      <w:r>
        <w:t xml:space="preserve">Empirical reference and case study</w:t>
      </w:r>
    </w:p>
    <w:p>
      <w:pPr>
        <w:pStyle w:val="FirstParagraph"/>
      </w:pPr>
      <w:r>
        <w:t xml:space="preserve">To show where real regional species pools fall in the grid of tree shapes, and how the methods behave with real data, we used 14 tadpole metacommunities compiled from the literature and from unpublished data (Box 1).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4"/>
    <w:bookmarkStart w:id="35"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We orchestrated the simulations with targets v. 1.12.0 (Landau, 2021) and crew v. 1.3.3 (Landau, 2026) in a Docker image, with seeds derived from a single pipeline seed (Appendix S1). Code is available in the anonymized archive that accompanies this submission (Data Availability Statement), together with the rates aggregated by condition and the scripts that compute the performance measures and the models from them, which reproduce every table and figure without rerunning the simulations.</w:t>
      </w:r>
    </w:p>
    <w:bookmarkEnd w:id="35"/>
    <w:bookmarkEnd w:id="36"/>
    <w:bookmarkStart w:id="53"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0" w:name="fig-type1"/>
          <w:p>
            <w:pPr>
              <w:pStyle w:val="Compact"/>
              <w:jc w:val="center"/>
            </w:pPr>
            <w:r>
              <w:drawing>
                <wp:inline>
                  <wp:extent cx="5753100" cy="4738352"/>
                  <wp:effectExtent b="0" l="0" r="0" t="0"/>
                  <wp:docPr descr="" title="" id="38" name="Picture"/>
                  <a:graphic>
                    <a:graphicData uri="http://schemas.openxmlformats.org/drawingml/2006/picture">
                      <pic:pic>
                        <pic:nvPicPr>
                          <pic:cNvPr descr="figures/fig2_type1.png" id="39" name="Picture"/>
                          <pic:cNvPicPr>
                            <a:picLocks noChangeArrowheads="1" noChangeAspect="1"/>
                          </pic:cNvPicPr>
                        </pic:nvPicPr>
                        <pic:blipFill>
                          <a:blip r:embed="rId37"/>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0"/>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4" w:name="fig-power"/>
          <w:p>
            <w:pPr>
              <w:pStyle w:val="Compact"/>
              <w:jc w:val="center"/>
            </w:pPr>
            <w:r>
              <w:drawing>
                <wp:inline>
                  <wp:extent cx="5753100" cy="3044241"/>
                  <wp:effectExtent b="0" l="0" r="0" t="0"/>
                  <wp:docPr descr="" title="" id="42" name="Picture"/>
                  <a:graphic>
                    <a:graphicData uri="http://schemas.openxmlformats.org/drawingml/2006/picture">
                      <pic:pic>
                        <pic:nvPicPr>
                          <pic:cNvPr descr="figures/fig3_power.png" id="43" name="Picture"/>
                          <pic:cNvPicPr>
                            <a:picLocks noChangeArrowheads="1" noChangeAspect="1"/>
                          </pic:cNvPicPr>
                        </pic:nvPicPr>
                        <pic:blipFill>
                          <a:blip r:embed="rId41"/>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4"/>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although some raw rates of GLM PCPS2 in S2σ and of the PCC in S2h exceeded that limit at N = 100 and, more often, at N = 200 (Appendix S2).</w:t>
      </w:r>
    </w:p>
    <w:tbl>
      <w:tblPr>
        <w:tblStyle w:val="Table"/>
        <w:tblW w:type="pct" w:w="5000"/>
        <w:tblLayout w:type="fixed"/>
        <w:tblLook w:firstRow="0" w:lastRow="0" w:firstColumn="0" w:lastColumn="0" w:noHBand="0" w:noVBand="0" w:val="0000"/>
      </w:tblPr>
      <w:tblGrid>
        <w:gridCol w:w="7920"/>
      </w:tblGrid>
      <w:tr>
        <w:tc>
          <w:tcPr/>
          <w:bookmarkStart w:id="48" w:name="fig-layerB"/>
          <w:p>
            <w:pPr>
              <w:pStyle w:val="Compact"/>
              <w:jc w:val="center"/>
            </w:pPr>
            <w:r>
              <w:drawing>
                <wp:inline>
                  <wp:extent cx="5753100" cy="3723605"/>
                  <wp:effectExtent b="0" l="0" r="0" t="0"/>
                  <wp:docPr descr="" title="" id="46" name="Picture"/>
                  <a:graphic>
                    <a:graphicData uri="http://schemas.openxmlformats.org/drawingml/2006/picture">
                      <pic:pic>
                        <pic:nvPicPr>
                          <pic:cNvPr descr="figures/fig4_layerB_power.png" id="47" name="Picture"/>
                          <pic:cNvPicPr>
                            <a:picLocks noChangeArrowheads="1" noChangeAspect="1"/>
                          </pic:cNvPicPr>
                        </pic:nvPicPr>
                        <pic:blipFill>
                          <a:blip r:embed="rId45"/>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8"/>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(Appendix S2).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2" w:name="fig-clade"/>
          <w:p>
            <w:pPr>
              <w:pStyle w:val="Compact"/>
              <w:jc w:val="center"/>
            </w:pPr>
            <w:r>
              <w:drawing>
                <wp:inline>
                  <wp:extent cx="5416061" cy="2886935"/>
                  <wp:effectExtent b="0" l="0" r="0" t="0"/>
                  <wp:docPr descr="" title="" id="50" name="Picture"/>
                  <a:graphic>
                    <a:graphicData uri="http://schemas.openxmlformats.org/drawingml/2006/picture">
                      <pic:pic>
                        <pic:nvPicPr>
                          <pic:cNvPr descr="figures/fig5_clade.png" id="51" name="Picture"/>
                          <pic:cNvPicPr>
                            <a:picLocks noChangeArrowheads="1" noChangeAspect="1"/>
                          </pic:cNvPicPr>
                        </pic:nvPicPr>
                        <pic:blipFill>
                          <a:blip r:embed="rId49"/>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2"/>
        </w:tc>
      </w:tr>
    </w:tbl>
    <w:bookmarkEnd w:id="53"/>
    <w:bookmarkStart w:id="58" w:name="Xada27c83b7f8db009b1df1795077522469ebf9f"/>
    <w:p>
      <w:pPr>
        <w:pStyle w:val="Heading1"/>
      </w:pPr>
      <w:r>
        <w:t xml:space="preserve">Box 1. Real pools and real metacommunities</w:t>
      </w:r>
    </w:p>
    <w:p>
      <w:pPr>
        <w:pStyle w:val="FirstParagraph"/>
      </w:pPr>
      <w:r>
        <w:t xml:space="preserve">The three regional pools of anurans fell inside the grid of tree shapes (</w:t>
      </w:r>
      <w:hyperlink w:anchor="fig-box1">
        <w:r>
          <w:rPr>
            <w:rStyle w:val="Hyperlink"/>
          </w:rPr>
          <w:t xml:space="preserve">Fig. 6</w:t>
        </w:r>
      </w:hyperlink>
      <w:r>
        <w:t xml:space="preserve">).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tbl>
      <w:tblPr>
        <w:tblStyle w:val="Table"/>
        <w:tblW w:type="pct" w:w="5000"/>
        <w:tblLayout w:type="fixed"/>
        <w:tblLook w:firstRow="0" w:lastRow="0" w:firstColumn="0" w:lastColumn="0" w:noHBand="0" w:noVBand="0" w:val="0000"/>
      </w:tblPr>
      <w:tblGrid>
        <w:gridCol w:w="7920"/>
      </w:tblGrid>
      <w:tr>
        <w:tc>
          <w:tcPr/>
          <w:bookmarkStart w:id="57" w:name="fig-box1"/>
          <w:p>
            <w:pPr>
              <w:pStyle w:val="Compact"/>
              <w:jc w:val="center"/>
            </w:pPr>
            <w:r>
              <w:drawing>
                <wp:inline>
                  <wp:extent cx="4890135" cy="3261010"/>
                  <wp:effectExtent b="0" l="0" r="0" t="0"/>
                  <wp:docPr descr="" title="" id="55" name="Picture"/>
                  <a:graphic>
                    <a:graphicData uri="http://schemas.openxmlformats.org/drawingml/2006/picture">
                      <pic:pic>
                        <pic:nvPicPr>
                          <pic:cNvPr descr="figures/box1_pools.png" id="56" name="Picture"/>
                          <pic:cNvPicPr>
                            <a:picLocks noChangeArrowheads="1" noChangeAspect="1"/>
                          </pic:cNvPicPr>
                        </pic:nvPicPr>
                        <pic:blipFill>
                          <a:blip r:embed="rId54"/>
                          <a:stretch>
                            <a:fillRect/>
                          </a:stretch>
                        </pic:blipFill>
                        <pic:spPr bwMode="auto">
                          <a:xfrm>
                            <a:off x="0" y="0"/>
                            <a:ext cx="4890135" cy="3261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57"/>
        </w:tc>
      </w:tr>
    </w:tbl>
    <w:bookmarkEnd w:id="58"/>
    <w:bookmarkStart w:id="59" w:name="references-verified"/>
    <w:p>
      <w:pPr>
        <w:pStyle w:val="Heading1"/>
      </w:pPr>
      <w:r>
        <w:t xml:space="preserve">References (verified)</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Debastiani, V. J. (2026). PCPS: principal coordinates of phylogenetic structure. R package version 1.0.9. doi:10.32614/CRAN.package.PCPS.</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Gabry, J., Češnovar, R., Johnson, A., &amp; Bronder, S. (2025). cmdstanr: R interface to CmdStan. R package version 0.9.0. https://github.com/stan-dev/cmdstanr.</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bookmarkEnd w:id="59"/>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Diogo B. Provete</dc:creator>
  <cp:keywords/>
  <dcterms:created xsi:type="dcterms:W3CDTF">2026-10-20T13:18:33Z</dcterms:created>
  <dcterms:modified xsi:type="dcterms:W3CDTF">2026-10-20T13:18:33Z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2026-10-20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Abstract, Methods and Results (draft)</vt:lpwstr>
  </property>
  <property fmtid="{D5CDD505-2E9C-101B-9397-08002B2CF9AE}" pid="12" name="toc-title">
    <vt:lpwstr>Table of contents</vt:lpwstr>
  </property>
</Properties>
</file>