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However, real phylogenies vary in imbalance and branching times, and dispersal and competition assemble metacommunities.</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With uniform dispersal, mass effects reduced the power of every test except the second PCPS axis by 0.55–0.93 and almost abolished that of the PCC; with distance-limited dispersal the losses were smaller, and the PCC kept its power with abundance data.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and three regional anuran pools fell at moderate levels of the grid. We recommend reporting γ of the analysed tree, not relying on a single test, interpreting the second PCPS axis and the PCC with caution when niche breadth may be conserved, considering abundance data for the PCC, and using evoPCA or phylofactorization to identify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(https://doi.org/10.5281/zenodo.23500660);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determines how many phylogenetic eigenvectors are retained (Diniz-Filho et al., 1998), which are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et al.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(https://doi.org/10.5281/zenodo.23500660),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largely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with low γ against 0.76 in Yule trees, against 0.34 and 0.74 for GLM PCPS1,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0.25)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100 and 200 (Appendix S2). With spatial structure, more power was retained under mass effects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about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topology of the tree determines how many phylogenetic eigenvectors are needed to describe it (Diniz-Filho et al., 1998), and in trees with long internal branches near the root a few deep splits probably dominate the leading eigenvectors, so the first PCPS axis and the eigenvectors of the PCC may capture the deepest dichotomy even when the gradient sorts species along another one, although the share of variation on the first PCPS axis decreased rather than increased with low γ (Appendix S2).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suggests that γ acts mainly through the analysis rather than through the marginal distribution of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With uniform dispersal, 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in the model of Thompson et al. (2020), and a spatially implicit model failed to predict spatially explicit metacommunities at high dispersal (Ai &amp; Ellwood, 2022). Accordingly, more power was retained under mass effects in our spatial version, which suggests that uniform dispersal is a severe case. The PCC kept almost no power with incidence data even then, but not with abundance data, which suggests that its failure is tied to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average fitness differences, but not stabilising niche differences, showed phylogenetic structure in 18 annual plants (Godoy et al., 2014), and competition can sometimes exclude less related taxa even when traits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consider abundance data for the PCC; and (v) use evoPCA or phylofactorization, rather than PCPS axes, to identify the clades associated with a gradient.</w:t>
      </w:r>
    </w:p>
    <w:bookmarkEnd w:id="55"/>
    <w:bookmarkStart w:id="56" w:name="references"/>
    <w:p>
      <w:pPr>
        <w:pStyle w:val="Heading1"/>
      </w:pPr>
      <w:r>
        <w:t xml:space="preserve">References</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https://doi.org/10.1007/978-94-011-2106-4)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Drobniak, S. M., Cendrowska-Pek, M., Gudowska, A., Janas, K., Podkowa, P., Skorb, K., Gronowska, M., Oleś, W., Bikmurzina, F., Boroń, N., Zagalska-Neubauer, M., Nakagawa, S., Łagisz, M., Arct, A., &amp; Rutkowska, J. (2026). A systematic map of generative AI guidelines and reporting in ecology and evolutionary biology: towards the framework of AI disclosure for Improved Transparency (AIdIT).</w:t>
      </w:r>
      <w:r>
        <w:t xml:space="preserve"> </w:t>
      </w:r>
      <w:r>
        <w:rPr>
          <w:i/>
          <w:iCs/>
        </w:rPr>
        <w:t xml:space="preserve">Research Integrity and Peer Review</w:t>
      </w:r>
      <w:r>
        <w:t xml:space="preserve">, 11, 57. https://doi.org/10.1186/s41073-026-00230-1</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https://doi.org/10.32614/R.manuals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https://doi.org/10.32614/CRAN.package.renv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bookmarkStart w:id="57" w:name="ai-disclosure-statement"/>
    <w:p>
      <w:pPr>
        <w:pStyle w:val="Heading1"/>
      </w:pPr>
      <w:r>
        <w:t xml:space="preserve">AI disclosure statement</w:t>
      </w:r>
    </w:p>
    <w:p>
      <w:pPr>
        <w:pStyle w:val="FirstParagraph"/>
      </w:pPr>
      <w:r>
        <w:t xml:space="preserve">We used the following AI engines in the present study: Claude Opus 5.5 through Claude Code (Anthropic; v. claude-opus-5-5; timestamp: 2026-10-21); Consensus (timestamp: 2026-10-20); Undermind (timestamp: 2026-10-20); Scholar Gateway and Wiley Scholar Gateway (timestamp: 2026-10-20); LeapSpace (Elsevier; timestamp: 2026-10-20). Area(s) of generative AI usage: Claude Opus 5.5 - new code generation, refining existing code, code generation for visuals, statistical model formulation, identifying appropriate methods, error management, data cross-checking, bibliography management, identification of literature to cite, summarising multiple data sources, text generation based on prompts, text editing for style/grammar/spelling; Consensus - identification of literature to cite; Undermind - identification of literature to cite; Scholar Gateway and Wiley Scholar Gateway - identification of literature to cite; LeapSpace - identification of literature to cite, summarising multiple data sources. The authors declare that they have verified and approved all content generated or modified by the AI tools used. The use of AI in this paper was in compliance with the ethical regulations of all funders and host institutions. Representative prompts used in AI content generation are available upon request. AI tools were used between 2026-10-16 and 2026-10-21, following the AIdIT framework (Drobniak et al., 2026); all design decisions were made by the author, all numbers in the text are computed from the archived outputs of the analyses, and every reference was checked against its DOI.</w:t>
      </w:r>
    </w:p>
    <w:bookmarkEnd w:id="57"/>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2026-10-21T19:30:29Z</dcterms:created>
  <dcterms:modified xsi:type="dcterms:W3CDTF">2026-10-21T19:30:29Z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