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However, real phylogenies vary in imbalance and branching times, and dispersal and competition assemble metacommunities.</w:t>
      </w:r>
    </w:p>
    <w:p>
      <w:pPr>
        <w:numPr>
          <w:ilvl w:val="0"/>
          <w:numId w:val="1001"/>
        </w:numPr>
      </w:pPr>
      <w:r>
        <w:t xml:space="preserve">We simulated metacommunities on a grid of tree shapes that crossed the distribution of branching times (γ) with topological imbalance (Colless index), with levels from anuran clades, in static simulations reproducing the original validations and process-based simulations with species sorting, mass effects and phylogenetic competition. We modelled the type I error and power of six tests, and clade recovery by four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With uniform dispersal, mass effects reduced the power of every test except the second PCPS axis by 0.55–0.93 and almost abolished that of the PCC; with distance-limited dispersal the losses were smaller, and the PCC kept its power with abundance data.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and three regional anuran pools fell at moderate levels of the grid. We recommend reporting γ of the analysed tree, not relying on a single test, interpreting the second PCPS axis and the PCC with caution when niche breadth may be conserved, considering abundance data for the PCC, and using evoPCA or phylofactorization to identify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(https://doi.org/10.5281/zenodo.23500660);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determines how many phylogenetic eigenvectors are retained (Diniz-Filho et al., 1998), which are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with two kinds of simulations (</w:t>
      </w:r>
      <w:hyperlink w:anchor="fig-design">
        <w:r>
          <w:rPr>
            <w:rStyle w:val="Hyperlink"/>
          </w:rPr>
          <w:t xml:space="preserve">Fig. 1</w:t>
        </w:r>
      </w:hyperlink>
      <w:r>
        <w:t xml:space="preserve">). The static simulations follow the protocol of Peres-Neto et al. (2012), which was also used to validate the tests we evaluated, so our results can be compared directly with the published ones. The process-based simulations reproduce metacommunity dynamics with the framework of Thompson et al. (2020), in which species sorting, mass effects and competition emerge from local population dynamics and dispersal.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static-simulations"/>
    <w:p>
      <w:pPr>
        <w:pStyle w:val="Heading2"/>
      </w:pPr>
      <w:r>
        <w:t xml:space="preserve">Static simulations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 Since tree shape changes both the optima and the tree analysed, we repeated the power scenarios with the same evenly spaced optima in every tree (Appendix S1).</w:t>
      </w:r>
    </w:p>
    <w:bookmarkEnd w:id="28"/>
    <w:bookmarkStart w:id="29" w:name="process-based-simulations"/>
    <w:p>
      <w:pPr>
        <w:pStyle w:val="Heading2"/>
      </w:pPr>
      <w:r>
        <w:t xml:space="preserve">Process-based simulations</w:t>
      </w:r>
    </w:p>
    <w:p>
      <w:pPr>
        <w:pStyle w:val="FirstParagraph"/>
      </w:pPr>
      <w:r>
        <w:t xml:space="preserve">The process-based simulations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drawn from a Poisson distribution, and a proportion</w:t>
      </w:r>
      <w:r>
        <w:t xml:space="preserve"> </w:t>
      </w:r>
      <m:oMath>
        <m:r>
          <m:t>a</m:t>
        </m:r>
      </m:oMath>
      <w:r>
        <w:t xml:space="preserve"> </w:t>
      </w:r>
      <w:r>
        <w:t xml:space="preserve">of the individuals dispersed uniformly among sites, which keeps sites exchangeable and the site shuffle valid; after 1,000 steps, we analysed the final state as incidence data.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These simulations used five cells of the grid (the four corners and the centre) and 1,000 replicates per combination. We also ran a spatial version at N = 100, with sites on a torus, a spatially autocorrelated gradient, distance-limited dispersal and torus translations instead of the site shuffle, analysed with incidence and abundance data (Appendix S1).</w:t>
      </w:r>
    </w:p>
    <w:bookmarkEnd w:id="29"/>
    <w:bookmarkStart w:id="31" w:name="scenarios-and-estimands"/>
    <w:p>
      <w:pPr>
        <w:pStyle w:val="Heading2"/>
      </w:pPr>
      <w:r>
        <w:t xml:space="preserve">Scenarios and estimands</w:t>
      </w:r>
    </w:p>
    <w:p>
      <w:pPr>
        <w:pStyle w:val="FirstParagraph"/>
      </w:pPr>
      <w:r>
        <w:t xml:space="preserve">The eight trait scenarios were the same in both kinds of simulation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the static and process-based simulations.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the process-based simulations,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the static simulations,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the static simulations.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kind of simulation,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(https://doi.org/10.5281/zenodo.23500660),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simulations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largely insensitive to the priors and to the lack of fit of the fixed structure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The RDA PCPS was not inflated (0.004–0.021 in S2σ) and lost much less power with low γ than GLM PCPS1 (posterior medians 0.65 with low γ against 0.76 in Yule trees, against 0.34 and 0.74 for GLM PCPS1, at N = 100 in S3b), whereas rotating the null axes by Procrustes removed the inflation of GLM PCPS2 but made it conservative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 With the optima given the same distribution in every tree, low γ still reduced the power of GLM PCPS1 (from 0.77 to 0.25) and of the PCC (from 0.99 to 0.80), and not that of PERMANOVA (raw rates at N = 100 in S3b; Appendix S2).</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100 and 200 (Appendix S2). With spatial structure, more power was retained under mass effects (PERMANOVA 0.54 against 0.29 in Yule pool trees), except for the PCC with incidence data (0.02; 0.98 with abundance data), and low γ had the same effect as without it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the process-based simulations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ranks and Jaccard similarities agreed with this ranking (Appendix S2). Without a planted effect, recovery was 0.003–0.021 for evoPCA and phylofactorization and 0.018–0.050 for PCPS and PCC, so the PCC recovered the planted clade only about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topology of the tree determines how many phylogenetic eigenvectors are needed to describe it (Diniz-Filho et al., 1998), and in trees with long internal branches near the root a few deep splits probably dominate the leading eigenvectors, so the first PCPS axis and the eigenvectors of the PCC may capture the deepest dichotomy even when the gradient sorts species along another one, although the share of variation on the first PCPS axis decreased rather than increased with low γ (Appendix S2). This parallels the finding that a small number of phylogenetic eigenvectors may be insufficient to control phylogenetic autocorrelation in ecological analyses (Diniz-Filho et al., 2012). The RDA on the first two PCPS axes lost much less power, and the loss persisted when the optima had the same distribution in every tree, which agrees with this mechanism and suggests that γ acts mainly through the analysis rather than through the marginal distribution of the optima. However, we did not record the eigenvalue spectra of each replicate, so we cannot confirm it.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With uniform dispersal, 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spatially explicit landscapes, however, mass effects let species dominate subregions instead of homogenizing the whole metacommunity in the model of Thompson et al. (2020), and a spatially implicit model failed to predict spatially explicit metacommunities at high dispersal (Ai &amp; Ellwood, 2022). Accordingly, more power was retained under mass effects in our spatial version, which suggests that uniform dispersal is a severe case. The PCC kept almost no power with incidence data even then, but not with abundance data, which suggests that its failure is tied to incidence data, in which widespread species occur almost everywhere.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Indeed, competition was weakly related to relatedness in vascular plants (Cahill et al., 2008), average fitness differences, but not stabilising niche differences, showed phylogenetic structure in 18 annual plants (Godoy et al., 2014), and competition can sometimes exclude less related taxa even when traits are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and depth class,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since (i) the grid had no level with γ &gt; 0; (ii) the spatial version covered only N = 100, with an approximate redistribution of dispersers; (iii) we did not vary the number of sites or the length of the gradient; and (iv) the case study, with 13–40 ponds and no significant association, illustrates rather than validates the methods.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axes or eigenvectors when γ is very negative; (iii) interpret the second PCPS axis and the PCC with caution when niche breadth may be phylogenetically conserved; (iv) not read a lack of power under high dispersal as evidence against niche-based assembly, and consider abundance data for the PCC; and (v) use evoPCA or phylofactorization, rather than PCPS axes, to identify the clades associated with a gradient.</w:t>
      </w:r>
    </w:p>
    <w:bookmarkEnd w:id="55"/>
    <w:bookmarkStart w:id="56" w:name="references"/>
    <w:p>
      <w:pPr>
        <w:pStyle w:val="Heading1"/>
      </w:pPr>
      <w:r>
        <w:t xml:space="preserve">References</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https://doi.org/10.1007/978-94-011-2106-4)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https://doi.org/10.32614/R.manuals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https://doi.org/10.32614/CRAN.package.renv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2026-10-21T15:03:43Z</dcterms:created>
  <dcterms:modified xsi:type="dcterms:W3CDTF">2026-10-21T15:03:43Z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