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Supporting Information</w:t>
      </w:r>
    </w:p>
    <w:p>
      <w:pPr>
        <w:pStyle w:val="Subtitle"/>
      </w:pPr>
      <w:r>
        <w:t xml:space="preserve">Tree shape and metacommunity assembly govern the performance of phylogenetic community–environment methods</w:t>
      </w:r>
    </w:p>
    <w:p>
      <w:pPr>
        <w:pStyle w:val="Author"/>
      </w:pPr>
      <w:r>
        <w:t xml:space="preserve">Diogo B. Provete</w:t>
      </w:r>
    </w:p>
    <w:bookmarkStart w:id="21" w:name="table-s1"/>
    <w:p>
      <w:pPr>
        <w:pStyle w:val="Heading1"/>
      </w:pPr>
      <w:r>
        <w:t xml:space="preserve">Table S1</w:t>
      </w:r>
    </w:p>
    <w:p>
      <w:pPr>
        <w:pStyle w:val="FirstParagraph"/>
      </w:pPr>
      <w:r>
        <w:t xml:space="preserve">Targets of the tree-shape grid for each pool size N. Levels of γ are zero (Yule), the median and the 10% quantile of the anuran clades with 40–250 tips of Portik et al. (2023); levels of the Colless index (normalized against its Yule expectation) are zero, the median and the 90% quantile. c and β are the calibrated parameters of the generator, and acceptance is the proportion of simulated trees that fell within 0.5 units of both targets.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7"/>
              <w:gridCol w:w="1225"/>
              <w:gridCol w:w="1319"/>
              <w:gridCol w:w="1225"/>
              <w:gridCol w:w="1414"/>
              <w:gridCol w:w="659"/>
              <w:gridCol w:w="659"/>
              <w:gridCol w:w="10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gamma_level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colless_level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gamma_target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colless_target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acceptance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 quantile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90% 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0.186</w:t>
                  </w:r>
                </w:p>
              </w:tc>
            </w:tr>
          </w:tbl>
          <w:bookmarkEnd w:id="20"/>
          <w:p/>
        </w:tc>
      </w:tr>
    </w:tbl>
    <w:bookmarkEnd w:id="21"/>
    <w:bookmarkStart w:id="23" w:name="table-s2"/>
    <w:p>
      <w:pPr>
        <w:pStyle w:val="Heading1"/>
      </w:pPr>
      <w:r>
        <w:t xml:space="preserve">Table S2</w:t>
      </w:r>
    </w:p>
    <w:p>
      <w:pPr>
        <w:pStyle w:val="FirstParagraph"/>
      </w:pPr>
      <w:r>
        <w:t xml:space="preserve">Every rate of the study (rejection rate of each test, or hit rate of each clade-recovery method) by condition, with its Monte Carlo standard error, MCSE = [p(1 − p)/K]^½ with K = 1,000 replicates, and the 95% Monte Carlo interval. The full table (file table_S2_rates_mcse.csv) has one row per condition; below we summarize the range of the MCSE by group of conditions.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262"/>
              <w:gridCol w:w="1033"/>
              <w:gridCol w:w="1033"/>
              <w:gridCol w:w="1033"/>
              <w:gridCol w:w="10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rate_min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rate_max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mcse_min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mcse_max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Clade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A, 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A, type I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B, 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 B, type I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</w:tr>
          </w:tbl>
          <w:bookmarkEnd w:id="22"/>
          <w:p/>
        </w:tc>
      </w:tr>
    </w:tbl>
    <w:bookmarkEnd w:id="23"/>
    <w:bookmarkStart w:id="25" w:name="table-s3"/>
    <w:p>
      <w:pPr>
        <w:pStyle w:val="Heading1"/>
      </w:pPr>
      <w:r>
        <w:t xml:space="preserve">Table S3</w:t>
      </w:r>
    </w:p>
    <w:p>
      <w:pPr>
        <w:pStyle w:val="FirstParagraph"/>
      </w:pPr>
      <w:r>
        <w:t xml:space="preserve">Convergence and posterior predictive diagnostics of the beta-binomial models: maximum rank-normalized R̂, minimum bulk and tail effective sample sizes, numbers of divergent transitions and of transitions at the maximum tree depth, coverage of the 50% and 95% posterior predictive intervals for each condition and for the sums over the conditions of each test (or method), N and cell, and the dispersion of the quasibinomial model with the same structure.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4"/>
              <w:gridCol w:w="544"/>
              <w:gridCol w:w="785"/>
              <w:gridCol w:w="785"/>
              <w:gridCol w:w="604"/>
              <w:gridCol w:w="846"/>
              <w:gridCol w:w="544"/>
              <w:gridCol w:w="544"/>
              <w:gridCol w:w="1027"/>
              <w:gridCol w:w="1027"/>
              <w:gridCol w:w="6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rhat_max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ess_bulk_min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ess_tail_min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max_treedepth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cover_50_grouped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cover_95_grouped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dispersion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type_I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908.012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1476.722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1166.011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2100.224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B_type_I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1321.356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1763.291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B_power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834.701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1595.619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1140.252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1747.850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4.198</w:t>
                  </w:r>
                </w:p>
              </w:tc>
            </w:tr>
          </w:tbl>
          <w:bookmarkEnd w:id="24"/>
          <w:p/>
        </w:tc>
      </w:tr>
    </w:tbl>
    <w:bookmarkEnd w:id="25"/>
    <w:sectPr>
      <w:footerReference r:id="rId9" w:type="default"/>
      <w:footnotePr>
        <w:numRestart w:val="eachSect"/>
      </w:footnotePr>
      <w:pgSz w:h="16838" w:w="11906"/>
      <w:pgMar w:bottom="1418" w:footer="709" w:gutter="0" w:header="709" w:left="1418" w:right="1418" w:top="1418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Information</dc:title>
  <dc:creator>Diogo B. Provete</dc:creator>
  <cp:keywords/>
  <dcterms:created xsi:type="dcterms:W3CDTF">2026-10-20T04:03:44Z</dcterms:created>
  <dcterms:modified xsi:type="dcterms:W3CDTF">2026-10-20T04:03:44Z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Tree shape and metacommunity assembly govern the performance of phylogenetic community–environment methods</vt:lpwstr>
  </property>
  <property fmtid="{D5CDD505-2E9C-101B-9397-08002B2CF9AE}" pid="11" name="toc-title">
    <vt:lpwstr>Table of contents</vt:lpwstr>
  </property>
</Properties>
</file>