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reproducing the original validations and a process-based layer with species sorting, mass effects and phylogenetic competition. We modelled the type I error and power of six tests, and clade recovery by four ordination and factorization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Mass effects reduced the power of every test except the second PCPS axis, by 0.55–0.93 in Yule trees, and almost abolished that of the PCC. With the largest shift, evoPCA and phylofactorization recovered a planted clade in 0.44–0.88 of the replicates on average,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 As a result, an empirical study can choose among tests that differ in what they summarize from the tree, and their behaviour under realistic conditions determines whether the inferences drawn from them are sound.</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These macroevolutionary processes, such as differences in diversification rate among lineages, also shape the phylogenetic structure of the species pools from which local communities are assembled, and through them that of the communities themselves (Gerhold et al., 2018). The size and topology of the tree change the expected values of phylogenetic signal indices (Münkemüller et al., 2012), the distribution of branch lengths changes whether community metrics, which weight different phylogenetic depths, detect clustering (Mazel et al., 2016), and topology sets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 In both layers,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4890135" cy="7013268"/>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4890135" cy="7013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Because γ scales with the number of tips, the low level of γ became more negative with N (Table S1), so part of any change with N may reflect a more extreme low level.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8"/>
    <w:bookmarkStart w:id="29"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Layer B used five cells of the grid (the four corners and the centre) and 1,000 replicates per combination.</w:t>
      </w:r>
    </w:p>
    <w:bookmarkEnd w:id="29"/>
    <w:bookmarkStart w:id="31"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 We also evaluated a variant of the GLM on PCPS axes with symmetric Procrustes of the null axes onto the observed ones, as in the R package PCPS (Appendix S2).</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We also recorded the rank of the planted node among all nodes and the Jaccard similarity between the best-scoring and the planted clades, which give partial credit to nested or slightly larger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weakly informative and centred on a rate of 0.05 for the intercepts of the type I models (Appendix S1). We assessed the sensitivity of the posteriors to the priors by power-scaling with the R package priorsense v. 1.4.0 (Kallioinen et al., 2024), for the coefficients and for the predicted rate of every condition.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layer reproduced the published validations, since 66 of 72 rejection rates of Duarte et al. (2016) fell within the 95% binomial interval of our estimates and the PCC matched the rates of Peres-Neto and Kembel (2015) where they do not depend on the tree (Appendix S2). All formal models converged (</w:t>
      </w:r>
      <m:oMath>
        <m:acc>
          <m:accPr>
            <m:chr m:val="̂"/>
          </m:accPr>
          <m:e>
            <m:r>
              <m:t>R</m:t>
            </m:r>
          </m:e>
        </m:acc>
      </m:oMath>
      <w:r>
        <w:t xml:space="preserve"> </w:t>
      </w:r>
      <w:r>
        <w:t xml:space="preserve">≤ 1.01, no divergent transitions), and their posterior predictive intervals covered the observed rates (Appendix S2, Table S3). The predicted rates were insensitive to the priors (Appendix S2).</w:t>
      </w:r>
    </w:p>
    <w:p>
      <w:pPr>
        <w:pStyle w:val="BodyText"/>
      </w:pPr>
      <w:r>
        <w:t xml:space="preserve">Tree imbalance did not affect the type I error of any test (</w:t>
      </w:r>
      <w:hyperlink w:anchor="fig-type1">
        <w:r>
          <w:rPr>
            <w:rStyle w:val="Hyperlink"/>
          </w:rPr>
          <w:t xml:space="preserve">Fig. 2</w:t>
        </w:r>
      </w:hyperlink>
      <w:r>
        <w:t xml:space="preserve">). In all 75 combinations of test, null scenario and N, the difference in the distance of the type I error from the nominal level between highly imbalanced and Yule trees was within ±0.012, and no 95% CI excluded zero, with incidence or abundance data; the same held for the taxa shuffle alone (Appendix S2).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w:t>
      </w:r>
      <w:hyperlink w:anchor="fig-type1">
        <w:r>
          <w:rPr>
            <w:rStyle w:val="Hyperlink"/>
          </w:rPr>
          <w:t xml:space="preserve">Fig. 2</w:t>
        </w:r>
      </w:hyperlink>
      <w:r>
        <w:t xml:space="preserve">). Compared with the same scenario without signal (S2), signal in σ (S2σ) increased the rejection rate of GLM PCPS2 by 0.02 (95% CI 0.01–0.03) in Yule trees at N = 100, and by 0.05 (0.04–0.06), 0.10 (0.08–0.12) and 0.21 (0.19–0.23) with low γ at N = 50, 100 and 200, with raw rates of up to 0.36, although the low level of γ was also more extreme at N = 200. The PCC was inflated by 0.05 (0.03–0.06) in Yule trees and by 0.02 (0.01–0.03) with low γ at N = 100, with raw rates of up to 0.22. In contrast, PERMANOVA, GLM PCPS1 and the Mantel test became more conservative under signal in σ (by 0.005–0.030), and signal in maximum abundance (S2h) did not change the rejection rate of any test. With symmetric Procrustes of the null axes, the inflation of GLM PCPS2 disappeared, but this variant was conservative even without nuisance structure (Appendix S2). As a result, H2 was rejected as stated.</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in S3b, low γ reduced the power of GLM PCPS1 from 0.74 to 0.34 (contrast −0.40, 95% CI −0.45 to −0.34) and that of the PCC from 0.98 to 0.73 (−0.25, −0.30 to −0.21), whereas the power of PERMANOVA did not change (0.01, −0.02 to 0.05), and high imbalance reduced power by at most 0.09. Consequently, the ranking of the tests changed with tree shape, since in S3b the PCC was the most powerful test in Yule trees and the third with low γ. Thus, H4 was supported for power.</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Mass effects reduced the power of every test except GLM PCPS2, by 0.55 (GLM PCPS1) to 0.93 (PCC; 95% CI 0.92–0.94) in Yule pool trees, so that the PCC detected the phylogenetic signal in almost no replicates. Surprisingly, adding phylogenetic competition to mass effects partly restored the power of every test except the PCC; for instance, PERMANOVA lost 0.46 (0.42–0.50) instead of 0.62 (0.58–0.65). However, competition pruned close relatives, which made the γ of the analysed tree more negative and its Colless index lower than those of the pool, especially under mass effects (Appendix S2). Under the null hypothesis, no lower CI bound exceeded 0.075 at N = 100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and averaged over the cells of the grid, evoPCA and phylofactorization identified the planted node in 0.44–0.88 of the replicates, depending on N and depth, PCPS in 0.12–0.42 (0.02–0.71 in single cells) and PCC in only 0.08–0.12, and the rank of the planted node and the Jaccard similarity between the chosen and the planted clades agreed with this ranking (Appendix S2). With a shift of 0.5, mean recovery was 0.07–0.11 across methods and did not exceed 0.30 in any condition.</w:t>
      </w:r>
    </w:p>
    <w:p>
      <w:pPr>
        <w:pStyle w:val="BodyText"/>
      </w:pPr>
      <w:r>
        <w:t xml:space="preserve">Tree shape changed recovery only for PCPS and PCC. With low γ, PCPS recovered basal clades in 0.58 of the replicates against 0.21 in Yule trees, and recent clades in 0.35 against 0.04 (N = 100), whereas the recovery of evoPCA and phylofactorization did not change with γ (all 95% CI included zero), and high imbalance reduced recovery by 0.01–0.10 in all methods. Since low γ improved PCPS for recent as well as for basal clades, H3 was only partly supported, and H4 was supported for clade recovery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eigenstructure of a phylogenetic matrix is set by the tree (Diniz-Filho et al., 1998), and in trees with long internal branches near the root a few deep splits probably dominate it, so the first PCPS axis and the leading eigenvectors of the PCC probably capture the deepest dichotomy even when the gradient sorts species along another one. This parallels the finding that a small number of phylogenetic eigenvectors may be insufficient to control phylogenetic autocorrelation in ecological analyses (Diniz-Filho et al., 2012). However, the Mantel test, which also uses the whole matrix</w:t>
      </w:r>
      <w:r>
        <w:t xml:space="preserve"> </w:t>
      </w:r>
      <m:oMath>
        <m:sSub>
          <m:e>
            <m:r>
              <m:t>D</m:t>
            </m:r>
          </m:e>
          <m:sub>
            <m:r>
              <m:t>P</m:t>
            </m:r>
          </m:sub>
        </m:sSub>
      </m:oMath>
      <w:r>
        <w:t xml:space="preserve">, lost up to 0.23 (Appendix S2), and we did not record the eigenvalue spectra of each replicate, so we cannot confirm this mechanism with our data.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although the low level of γ was also more extreme at N = 200. Rotating the null axes by Procrustes removed this inflation but made the test conservative and less powerful (Appendix S2). Unfortunately, the empirical distribution of phylogenetic signal in niche breadth is unknown for most groups.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contrast, in spatially explicit landscapes mass effects let species dominate subregions instead of homogenizing the whole metacommunity (Thompson et al., 2020), and a spatially implicit resource-competition model failed to predict spatially explicit metacommunities at high dispersal (Ai &amp; Ellwood, 2022). Our uniform dispersal kernel therefore probably represents the most extreme case.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Competition pruned close relatives, so that the analysed tree had a more negative γ and a lower Colless index than the pool, especially under mass effects, and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Accordingly, the competition–relatedness relationship was weak in vascular plants (Cahill et al., 2008), average fitness, but not stabilizing niche differences, showed phylogenetic structure in annual plants (Godoy et al., 2014), and competition can exclude distant relatives when fitness differences are phylogenetically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Node-based analyses of species distributions (Borregaard et al., 2014) follow a similar node-by-node logic and could be added to future comparisons. Thus, branch-wise methods seem to be the appropriate choice when the aim is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In addition, the share of variation on the first PCPS axis decreased rather than increased with low γ (Appendix S2),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Interestingly, γ became more negative as the pool widened from the Atlantic Forest to South America. Comparing phylogenetic structure across nested species pools has been proposed as a way to detect the imprint of deep-past processes on local communities (Gerhold et al., 2018), but γ also tends to decrease with the number of species (Phillimore &amp; Price, 2008), so this trend may partly reflect pool size. Therefore, the low-γ cells, where the effects of tree shape were largest, are more extreme than these pools, although they lie within the range of anuran clades.</w:t>
      </w:r>
    </w:p>
    <w:p>
      <w:pPr>
        <w:pStyle w:val="BodyText"/>
      </w:pPr>
      <w:r>
        <w:t xml:space="preserve">Our study also has limitations. First, the grid had no level with γ &gt; 0. Second, Layer B had no spatial structure and used only incidence data and five cells of the grid. Third, we did not vary the number of sites or the length of the gradient, which also change power. Fourth, because optima evolved on the tree, tree shape changed both the distribution of the optima and the tree used in the analysis, and the ages of basal and recent clades also depend on γ, so these effects cannot be separated in our design. Finally, the case study had 13–40 ponds and no significant association, so it illustrates how the methods behave with real data rather than validating them. To the best of our knowledge, and based on searches of the literature, this is the first simulation study to evaluate tests on phylogeny-weighted composition across controlled gradients of tree shape and under process-based metacommunity assembly. In summary, we recommend that empirical studies (i) report γ and the normalized Colless index of the analysed tree; (ii) not rely on a single test, and prefer PERMANOVA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w:t>
      </w:r>
    </w:p>
    <w:bookmarkEnd w:id="55"/>
    <w:bookmarkStart w:id="56"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Gerhold, P., Carlucci, M. B., Procheş, Ş., &amp; Prinzing, A. (2018). The deep past controls the phylogenetic structure of present, local communities.</w:t>
      </w:r>
      <w:r>
        <w:t xml:space="preserve"> </w:t>
      </w:r>
      <w:r>
        <w:rPr>
          <w:i/>
          <w:iCs/>
        </w:rPr>
        <w:t xml:space="preserve">Annual Review of Ecology, Evolution, and Systematics</w:t>
      </w:r>
      <w:r>
        <w:t xml:space="preserve">, 49, 477–497. https://doi.org/10.1146/annurev-ecolsys-110617-062348</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2026-10-20T16:53:03Z</dcterms:created>
  <dcterms:modified xsi:type="dcterms:W3CDTF">2026-10-20T16:53:03Z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