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753100" cy="2622454"/>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whose size we calibrated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The distribution of branching times, rather than the imbalance of the topology, governed the power of most tests and the clade recovery of PCPS and PCC, a phylogenetically conserved niche breadth inflated the type I error of only the two methods that rely on the second PCPS axis or on phylogenetic eigenvectors, and mass effects reduced the power of every test except GLM PCPS2 more than any tree shape did.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their ability to locate the clade associated with a gradient.</w:t>
      </w:r>
    </w:p>
    <w:p>
      <w:pPr>
        <w:pStyle w:val="BodyText"/>
      </w:pPr>
      <w:r>
        <w:t xml:space="preserve">Tree imbalance did not affect the type I error of any test, whereas very negative γ reduced the power of the GLM on the first PCPS axis and of the PCC. This agrees with comparative methods, in which randomization tests of phylogenetic signal keep the nominal level (Blomberg et al., 2003), whereas the size and topology of the tree change the expected values of the statistics (Münkemüller et al., 2012); similarly, the bias of the net relatedness index depended on tree shape and consisted mostly of type II errors in an empirical case study (Molina-Venegas &amp; Roquet, 2014). The loss of power with low γ seems to follow from how phylogenetic eigenvectors summarize trees with long internal branches near the root. The eigenstructure of a phylogenetic matrix is set by the tree (Diniz-Filho et al., 1998), and in such trees a few deep splits probably dominate it, so the first PCPS axis and the leading eigenvectors of the PCC probably capture the deepest dichotomy even when the gradient sorts species along another one. PERMANOVA was less sensitive to γ, but the Mantel test, which also uses the whole matrix</w:t>
      </w:r>
      <w:r>
        <w:t xml:space="preserve"> </w:t>
      </w:r>
      <m:oMath>
        <m:sSub>
          <m:e>
            <m:r>
              <m:t>D</m:t>
            </m:r>
          </m:e>
          <m:sub>
            <m:r>
              <m:t>P</m:t>
            </m:r>
          </m:sub>
        </m:sSub>
      </m:oMath>
      <w:r>
        <w:t xml:space="preserve">, lost up to 0.23, so using the whole matrix does not seem to protect a test by itself. However, we did not record the eigenvalue spectra of each replicate, so we cannot confirm this mechanism with our data.</w:t>
      </w:r>
    </w:p>
    <w:p>
      <w:pPr>
        <w:pStyle w:val="BodyText"/>
      </w:pPr>
      <w:r>
        <w:t xml:space="preserve">Phylogenetic signal in niche breadth created false positives that previous evaluations could not detect, because their simulations drew niche breadth independently of the phylogeny (Duarte et al., 2016, 2018; Peres-Neto et al., 2017). When σ is conserved, clades differ in how widely they spread along the gradient, which is a phylogenetic pattern in composition that is unrelated to the association between optima and environment.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This seems to explain why the second PCPS axis, which is orthogonal to the basal contrast of the first one, and the PCC were inflated, whereas PERMANOVA and the Mantel test, which average over all axes of</w:t>
      </w:r>
      <w:r>
        <w:t xml:space="preserve"> </w:t>
      </w:r>
      <m:oMath>
        <m:sSub>
          <m:e>
            <m:r>
              <m:t>D</m:t>
            </m:r>
          </m:e>
          <m:sub>
            <m:r>
              <m:t>P</m:t>
            </m:r>
          </m:sub>
        </m:sSub>
      </m:oMath>
      <w:r>
        <w:t xml:space="preserve">, were not. Interestingly, the inflation of GLM PCPS2 was largest in trees with low γ and with 200 species, which suggests that the depth of the conserved structure and the number of species determine how much of it reaches a single axis. Unfortunately, the empirical distribution of phylogenetic signal in niche breadth is unknown for most groups. Constrained randomizations that preserve phylogenetic structure (Braga et al., 2018) and model-based tests with phylogenetic random effects (Li &amp; Ives, 2017; Tsang &amp; Cadotte, 2025) seem to be promising alternatives to the taxa shuffle in this case.</w:t>
      </w:r>
    </w:p>
    <w:p>
      <w:pPr>
        <w:pStyle w:val="BodyText"/>
      </w:pPr>
      <w:r>
        <w:t xml:space="preserve">The assembly process mattered more than tree shape. This is expected from the theory of source–sink metacommunities, in which high dispersal homogenizes composition among sites (Mouquet &amp; Loreau, 2003; Thompson et al., 2020), and it agrees with the low power of phylogenetic diversity indices under mass and priority effects even with strongly conserved traits (Mason &amp; Pavoine, 2013). Our design probably represents the most extreme case, because the sites had no spatial structure: a spatially implicit model failed to predict spatially explicit metacommunities at high dispersal (Ai &amp; Ellwood, 2022), and in spatially explicit landscapes mass effects let species dominate subregions instead of homogenizing the whole metacommunity (Thompson et al., 2020). Surprisingly, phylogenetic competition partly restored the power lost under mass effects for every test except the PCC. However, under mass effects competition also pruned close relatives and reduced the Colless index of the analysed tree by about 75% relative to the pool, so the effect of the process cannot be separated from that of the change in tree shape. Moreover, the assumption that close relatives compete more strongly is weakly supported empirically (Cahill et al., 2008; Godoy et al., 2014), and competition can also exclude distant relatives (Mayfield &amp; Levine, 2010), so this result is an upper bound for a particular competition structure. Taken together, a non-significant test in a metacommunity with high dispersal does not seem to indicate the absence of environmental filtering on lineages (Kembel, 2009).</w:t>
      </w:r>
    </w:p>
    <w:p>
      <w:pPr>
        <w:pStyle w:val="BodyText"/>
      </w:pPr>
      <w:r>
        <w:t xml:space="preserve">The methods that treat branches as units recovered the planted clade far more often than those based on phylogenetic eigenvectors. Phylofactorization evaluates every edge of the tree (Washburne et al., 2017, 2019) and evoPCA treats every branch as a variable (Pavoine, 2016), so their recovery did not depend on γ. In contrast, PCPS probably recovers a clade only when its stem node is among those weighted by the leading axes, which depends on the distribution of node depths and seems to explain why low γ improved its recovery of both basal and recent clades; thus, H3 was only partly supported. The PCC was not designed to locate clades, since it tests a global association between phylogenetic eigenvectors, composition and environment (Peres-Neto &amp; Kembel, 2015), and its leading eigenvectors rarely isolated the clade of interest. Node-based analyses (Borregaard et al., 2014) follow a similar node-by-node logic to that of phylofactorization and could be added to future comparisons.</w:t>
      </w:r>
    </w:p>
    <w:p>
      <w:pPr>
        <w:pStyle w:val="BodyText"/>
      </w:pPr>
      <w:r>
        <w:t xml:space="preserve">Our grid spans the tree shapes of anuran clades, in which rapid early radiations are common (Feng et al., 2017), but real regional pools seem to occupy its moderate levels. The three regional pools fell between the Yule and median levels of γ (Appendix S3), so the low-γ cells, where the effects of tree shape were largest, are more extreme than these pools; in addition, γ is sensitive to incomplete and nonrandom sampling of lineages (Cusimano &amp; Renner, 2010; Brock et al., 2011), so we used it only as a descriptor of tree shape. Our study also has limitations. First, the grid had no level with γ &gt; 0. Second, Layer B had no spatial structure and used only incidence data and five cells of the grid. Third, we did not vary the number of sites or the length of the gradient, which also change power.</w:t>
      </w:r>
    </w:p>
    <w:p>
      <w:pPr>
        <w:pStyle w:val="BodyText"/>
      </w:pPr>
      <w:r>
        <w:t xml:space="preserve">In summary, we recommend that empirical studies (i) report γ and the normalized Colless index of the analysed tree;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 These recommendations remain to be tested in trees with γ &gt; 0 and in spatially structured metacommunities.</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2026-10-20T14:02:07Z</dcterms:created>
  <dcterms:modified xsi:type="dcterms:W3CDTF">2026-10-20T14:02:07Z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