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9"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Xc5b1b5043575397a44c3703076288e3c6919eac"/>
    <w:p>
      <w:pPr>
        <w:pStyle w:val="Heading2"/>
      </w:pPr>
      <w:r>
        <w:t xml:space="preserve">Optima with a fixed marginal distribution</w:t>
      </w:r>
    </w:p>
    <w:p>
      <w:pPr>
        <w:pStyle w:val="FirstParagraph"/>
      </w:pPr>
      <w:r>
        <w:t xml:space="preserve">Because the optima evolve on the tree, the shape of the tree changes both their marginal distribution along the gradient (for instance, clusters of similar optima in trees with long internal branches) and the tree used in the analysis. To separate the two, we repeated the power scenarios of Layer A (S3a, S3b and S3σ) in all cells, N and data types with the optima of each replicate replaced, by ranks, by evenly spaced values on [−1, 101]. The arrangement of the optima on the tree is the same as under Brownian motion, but their marginal distribution is identical in every tree, so differences among levels of γ in this run reflect only how the tree enters the analysis. This run used the same trees as Layer A but not the same random draws of the other species traits and of the gradient, so its rates are compared among levels of γ within the run and not replicate by replicate with the main run. It included the RDA PCPS and the GLM with Procrustes.</w:t>
      </w:r>
    </w:p>
    <w:bookmarkEnd w:id="23"/>
    <w:bookmarkStart w:id="24" w:name="spatial-version-of-layer-b"/>
    <w:p>
      <w:pPr>
        <w:pStyle w:val="Heading2"/>
      </w:pPr>
      <w:r>
        <w:t xml:space="preserve">Spatial version of Layer B</w:t>
      </w:r>
    </w:p>
    <w:p>
      <w:pPr>
        <w:pStyle w:val="FirstParagraph"/>
      </w:pPr>
      <w:r>
        <w:t xml:space="preserve">To relax the absence of spatial structure in Layer B, we placed the 100 sites on a 10 × 10 grid wrapped as a torus, so that there are no edges. The gradient was spatially autocorrelated: independent standard normal deviates were smoothed with a Gaussian kernel with a standard deviation of two cells and given the U(0, 100) marginal distribution of the non-spatial version by ranks; the independent gradient of S0 and S1 was drawn in the same way. Emigrants reached the other sites with a probability proportional to exp(−d/2), with d the toroidal distance in cells. As an approximation, the immigrants of each species to each site were drawn from a Poisson distribution with the expected flow as mean, instead of the multinomial redistribution of the non-spatial version. The expected number of immigrants therefore equals the number of emigrants, but the total is not conserved exactly at each step; since each emigrant can reach 99 sites, each with a small probability, the variance of the Poisson draw is close to that of a multinomial one, so this approximation seems to add little stochasticity. All other settings, including the pool sizes, were those of Layer B, at N = 100 in the five cells, the four archetypes and the eight scenarios, and each metacommunity was analysed with incidence and with abundance data.</w:t>
      </w:r>
    </w:p>
    <w:p>
      <w:pPr>
        <w:pStyle w:val="BodyText"/>
      </w:pPr>
      <w:r>
        <w:t xml:space="preserve">With spatial structure, the site shuffle is no longer a valid null model, since the composition and the gradient are both spatially autocorrelated. We therefore replaced it, in every test, by the 799 rearrangements of the torus that preserve the spatial autocorrelation of the gradient (the 100 translations times the eight symmetries of the square, without the identity), a torus-translation test; the taxa shuffle was unchanged. In a pilot under the null hypothesis (S0, 200 replicates per archetype, script 34_pilot_spatial_null.R), the plain site shuffle rejected in 0.18–0.70 of the replicates, whereas the torus-translation test rejected in 0.03–0.065.</w:t>
      </w:r>
    </w:p>
    <w:bookmarkEnd w:id="24"/>
    <w:bookmarkStart w:id="25"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5"/>
    <w:bookmarkStart w:id="26"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6"/>
    <w:bookmarkStart w:id="27"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7"/>
    <w:bookmarkStart w:id="28"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8"/>
    <w:bookmarkEnd w:id="29"/>
    <w:bookmarkStart w:id="43" w:name="appendix-s2.-extended-results"/>
    <w:p>
      <w:pPr>
        <w:pStyle w:val="Heading1"/>
      </w:pPr>
      <w:r>
        <w:t xml:space="preserve">Appendix S2. Extended results</w:t>
      </w:r>
    </w:p>
    <w:bookmarkStart w:id="30"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30"/>
    <w:bookmarkStart w:id="31"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31"/>
    <w:bookmarkStart w:id="32"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 In the same run of Layer A, the RDA of PCPS axes 1–2 on the gradient, which needs no Procrustes, had rejection rates close to the nominal level in S2 (0.045–0.060 at N = 100 and 200), was conservative in S2σ (0.004–0.021), and lost little power with low γ (in S3b, 0.70, 0.74 and 0.78 at N = 100 and 0.91, 0.89 and 0.90 at N = 200 for low, median and Yule γ), whereas GLM PCPS1 fell from 0.78 to 0.36 at N = 100. Beta-binomial models with the structure of the main models, fitted to this run (R̂ ≤ 1.006, bulk and tail effective sample sizes ≥ 748 and ≥ 1,451, no divergent transitions; 95% posterior predictive coverage 0.97–0.99), gave the same picture: at N = 100 with incidence data and Yule imbalance, the posterior median power in S3b of the RDA PCPS was 0.65 with low γ against 0.76 in Yule trees, that of GLM PCPS1 0.34 against 0.74 and that of GLM PCPS1 with Procrustes 0.21 against 0.69, and the type I error of GLM PCPS2 with Procrustes was 0.002–0.003 in S2 and S2σ.</w:t>
      </w:r>
    </w:p>
    <w:bookmarkEnd w:id="32"/>
    <w:bookmarkStart w:id="33"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p>
      <w:pPr>
        <w:pStyle w:val="BodyText"/>
      </w:pPr>
      <w:r>
        <w:t xml:space="preserve">Prior predictive simulations (each model refitted with sample_prior =</w:t>
      </w:r>
      <w:r>
        <w:t xml:space="preserve"> </w:t>
      </w:r>
      <w:r>
        <w:t xml:space="preserve">“only”</w:t>
      </w:r>
      <w:r>
        <w:t xml:space="preserve">; file prior_predictive.csv) showed that the priors centre the predicted rates on 0.05 for the type I models and on 0.5 for the others, but are diffuse on the rate scale: across conditions, 36% of the prior predictive rates of the type I models fell below 0.01 and 6% above 0.99, and 16% fell below 0.01 and 16% above 0.99 in the other models, because each rate sums many coefficients. Since the posterior rates were insensitive to the priors, this diffuseness seems not to affect the results.</w:t>
      </w:r>
    </w:p>
    <w:bookmarkEnd w:id="33"/>
    <w:bookmarkStart w:id="34"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4"/>
    <w:bookmarkStart w:id="35" w:name="arch-effect-of-the-second-pcps-axis"/>
    <w:p>
      <w:pPr>
        <w:pStyle w:val="Heading2"/>
      </w:pPr>
      <w:r>
        <w:t xml:space="preserve">Arch effect of the second PCPS axis</w:t>
      </w:r>
    </w:p>
    <w:p>
      <w:pPr>
        <w:pStyle w:val="FirstParagraph"/>
      </w:pPr>
      <w:r>
        <w:t xml:space="preserve">In the diagnostic runs of S2 and S2σ (100 replicates per condition, two cells and N = 100 and 200; script 09_diag_s2sigma.R of the code archive), the second PCPS axis was strongly correlated with the square of the gradient in low-γ trees (median |r| = 0.84–0.86 in S2 and 0.73–0.80 in S2σ), and less so in Yule trees (0.40–0.55 and 0.21–0.31), whereas the first axis followed the gradient itself (median |r| = 0.39–0.91). The community-weighted mean of σ was also correlated with the square of the gradient (median |r| = 0.87–0.93), probably because species with broad niches occupy the middle of the gradient, and in S2σ with low γ the second axis was correlated with it (median |r| = 0.43–0.57). Thus, the second axis seems to be partly an arch of the first one, and in S2σ it also carries the phylogenetic pattern of niche breadth. In these runs, the taxa-shuffle rejection rate of the GLM on PCPS2 in S2σ with low γ was 0.16 (N = 100) and 0.30 (N = 200), and that of a GLM with a quadratic term of the gradient 0.03 and 0.10.</w:t>
      </w:r>
    </w:p>
    <w:bookmarkEnd w:id="35"/>
    <w:bookmarkStart w:id="36" w:name="equivalence-test-of-h1"/>
    <w:p>
      <w:pPr>
        <w:pStyle w:val="Heading2"/>
      </w:pPr>
      <w:r>
        <w:t xml:space="preserve">Equivalence test of H1</w:t>
      </w:r>
    </w:p>
    <w:p>
      <w:pPr>
        <w:pStyle w:val="FirstParagraph"/>
      </w:pPr>
      <w:r>
        <w:t xml:space="preserve">For every test, null scenario, N and data type, at Yule and at low γ, we computed the posterior probability that the type I error at high imbalance differed from that at Yule imbalance by less than 0.025, half the width of Bradley’s liberal interval (file h1_equivalence.csv of the code archive). This probability exceeded 0.95 in 297 of 300 conditions; the exceptions were GLM PCPS2 in S2σ at N = 200 (0.60 and 0.74 with low γ for incidence and abundance data, and 0.92 at Yule γ with incidence data), where the type I error was inflated.</w:t>
      </w:r>
    </w:p>
    <w:bookmarkEnd w:id="36"/>
    <w:bookmarkStart w:id="37" w:name="paired-contrasts-between-scenarios"/>
    <w:p>
      <w:pPr>
        <w:pStyle w:val="Heading2"/>
      </w:pPr>
      <w:r>
        <w:t xml:space="preserve">Paired contrasts between scenarios</w:t>
      </w:r>
    </w:p>
    <w:p>
      <w:pPr>
        <w:pStyle w:val="FirstParagraph"/>
      </w:pPr>
      <w:r>
        <w:t xml:space="preserve">Since replicate r of every scenario used tree r of its cell, the contrasts between scenarios can be computed replicate by replicate. For S2σ and S2h against S2, the paired Monte Carlo standard error of the difference in rejection rate was almost identical to the unpaired one (median ratio 0.998–1.007 across tests), and the number of contrasts whose 95% Monte Carlo interval excluded zero changed by at most one of 54 per test (file paired_contrasts.csv). Hence, given the tree, rejections were almost independent among scenarios, and ignoring the pairing in the formal models seems to cost no precision.</w:t>
      </w:r>
    </w:p>
    <w:bookmarkEnd w:id="37"/>
    <w:bookmarkStart w:id="38" w:name="clade-age-and-clade-recovery"/>
    <w:p>
      <w:pPr>
        <w:pStyle w:val="Heading2"/>
      </w:pPr>
      <w:r>
        <w:t xml:space="preserve">Clade age and clade recovery</w:t>
      </w:r>
    </w:p>
    <w:p>
      <w:pPr>
        <w:pStyle w:val="FirstParagraph"/>
      </w:pPr>
      <w:r>
        <w:t xml:space="preserve">The relative age of the stem node of the planted clade was recorded in every replicate. Because relative age is tied to the depth class of the planted node (basal or recent), we compared tertiles of relative age within each depth class and level of γ, and fitted binomial GLMs of hit on standardized relative age, γ level, their interaction and depth class (shift 2, incidence data, N = 100; files clade_age.csv and clade_age_glm.csv). Within each depth class and level of γ, older clades were recovered more often by PCPS (e.g. basal clades, from 0.08 in the youngest to 0.34 in the oldest tertile in Yule trees and from 0.42 to 0.69 with low γ), evoPCA (from 0.59–0.75 to 0.71–0.85) and phylofactorization (from 0.60–0.77 to 0.69–0.82), whereas the PCC showed no consistent trend. In the GLMs, the effect of relative age at Yule γ was positive for every method after accounting for depth class (PCPS 1.55 ± 0.07 on the logit scale per standard deviation, PCC 0.96 ± 0.06, evoPCA 0.35 ± 0.05, phylofactorization 0.27 ± 0.05), and stronger with low γ except for the PCC (interaction −1.77 ± 0.11). Thus, the advantage of older clades is not only a consequence of γ or of the depth class, although the three act together.</w:t>
      </w:r>
    </w:p>
    <w:bookmarkEnd w:id="38"/>
    <w:bookmarkStart w:id="39" w:name="lack-of-fit-of-the-mean-structure"/>
    <w:p>
      <w:pPr>
        <w:pStyle w:val="Heading2"/>
      </w:pPr>
      <w:r>
        <w:t xml:space="preserve">Lack of fit of the mean structure</w:t>
      </w:r>
    </w:p>
    <w:p>
      <w:pPr>
        <w:pStyle w:val="FirstParagraph"/>
      </w:pPr>
      <w:r>
        <w:t xml:space="preserve">Each aggregated row is one condition, so the data hold no information on variation among replicates beyond the binomial, and the extra-binomial dispersion of the quasibinomial models (Pearson χ² / df = 2.1–8.5; P &lt; 10</w:t>
      </w:r>
      <w:r>
        <w:rPr>
          <w:vertAlign w:val="superscript"/>
        </w:rPr>
        <w:t xml:space="preserve">−88</w:t>
      </w:r>
      <w:r>
        <w:t xml:space="preserve"> </w:t>
      </w:r>
      <w:r>
        <w:t xml:space="preserve">in every model; file mean_structure.csv) measures the lack of fit of the fixed structure, which the beta-binomial precision φ absorbs. To check whether this lack of fit biases the predicted rates, we refitted every model with a binomial likelihood, the same fixed structure and a random intercept per condition, which captures any departure of a condition from the fixed structure (prior exponential(2) on its standard deviation; four chains of 2,000 iterations; script 35_mean_structure.R). The standard deviation of the condition effects was 0.16–0.28 on the logit scale. The predicted rates of these models agreed with those of the beta-binomial models (median absolute difference 0.002–0.014 across models, maximum 0.025–0.117, correlation 0.972–0.999). Convergence was acceptable but weaker than in the main models (R̂ ≤ 1.021, bulk effective sample size ≥ 376), and 13% of the transitions of the Layer A power model reached the maximum tree depth, so we used these models only as a check.</w:t>
      </w:r>
    </w:p>
    <w:bookmarkEnd w:id="39"/>
    <w:bookmarkStart w:id="40"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40"/>
    <w:bookmarkStart w:id="41"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41"/>
    <w:bookmarkStart w:id="42"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42"/>
    <w:bookmarkEnd w:id="43"/>
    <w:bookmarkStart w:id="49" w:name="Xe229b3875b755fa040ccee6a6defa38ba6f6b70"/>
    <w:p>
      <w:pPr>
        <w:pStyle w:val="Heading1"/>
      </w:pPr>
      <w:r>
        <w:t xml:space="preserve">Appendix S3. Real pools and real metacommunities</w:t>
      </w:r>
    </w:p>
    <w:bookmarkStart w:id="44"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44"/>
    <w:bookmarkStart w:id="48"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46" name="Picture"/>
            <a:graphic>
              <a:graphicData uri="http://schemas.openxmlformats.org/drawingml/2006/picture">
                <pic:pic>
                  <pic:nvPicPr>
                    <pic:cNvPr descr="figures/box1_pools.png" id="47" name="Picture"/>
                    <pic:cNvPicPr>
                      <a:picLocks noChangeArrowheads="1" noChangeAspect="1"/>
                    </pic:cNvPicPr>
                  </pic:nvPicPr>
                  <pic:blipFill>
                    <a:blip r:embed="rId45"/>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8"/>
    <w:bookmarkEnd w:id="49"/>
    <w:bookmarkStart w:id="51"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50"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50"/>
          <w:p/>
        </w:tc>
      </w:tr>
    </w:tbl>
    <w:bookmarkEnd w:id="51"/>
    <w:bookmarkStart w:id="53"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52"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52"/>
          <w:p/>
        </w:tc>
      </w:tr>
    </w:tbl>
    <w:bookmarkEnd w:id="53"/>
    <w:bookmarkStart w:id="55"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54"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633"/>
              <w:gridCol w:w="580"/>
              <w:gridCol w:w="739"/>
              <w:gridCol w:w="739"/>
              <w:gridCol w:w="633"/>
              <w:gridCol w:w="844"/>
              <w:gridCol w:w="528"/>
              <w:gridCol w:w="528"/>
              <w:gridCol w:w="1056"/>
              <w:gridCol w:w="1056"/>
              <w:gridCol w:w="580"/>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r>
              <w:tc>
                <w:tcPr/>
                <w:p>
                  <w:pPr>
                    <w:pStyle w:val="Compact"/>
                    <w:jc w:val="left"/>
                    <w:jc w:val="center"/>
                  </w:pPr>
                  <w:r>
                    <w:t xml:space="preserve">type_I_axes</w:t>
                  </w:r>
                </w:p>
              </w:tc>
              <w:tc>
                <w:tcPr/>
                <w:p>
                  <w:pPr>
                    <w:pStyle w:val="Compact"/>
                    <w:jc w:val="right"/>
                    <w:jc w:val="center"/>
                  </w:pPr>
                  <w:r>
                    <w:t xml:space="preserve">1.005</w:t>
                  </w:r>
                </w:p>
              </w:tc>
              <w:tc>
                <w:tcPr/>
                <w:p>
                  <w:pPr>
                    <w:pStyle w:val="Compact"/>
                    <w:jc w:val="right"/>
                    <w:jc w:val="center"/>
                  </w:pPr>
                  <w:r>
                    <w:t xml:space="preserve">749.084</w:t>
                  </w:r>
                </w:p>
              </w:tc>
              <w:tc>
                <w:tcPr/>
                <w:p>
                  <w:pPr>
                    <w:pStyle w:val="Compact"/>
                    <w:jc w:val="right"/>
                    <w:jc w:val="center"/>
                  </w:pPr>
                  <w:r>
                    <w:t xml:space="preserve">1451.114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0.685</w:t>
                  </w:r>
                </w:p>
              </w:tc>
              <w:tc>
                <w:tcPr/>
                <w:p>
                  <w:pPr>
                    <w:pStyle w:val="Compact"/>
                    <w:jc w:val="right"/>
                    <w:jc w:val="center"/>
                  </w:pPr>
                  <w:r>
                    <w:t xml:space="preserve">0.988</w:t>
                  </w:r>
                </w:p>
              </w:tc>
              <w:tc>
                <w:tcPr/>
                <w:p>
                  <w:pPr>
                    <w:pStyle w:val="Compact"/>
                    <w:jc w:val="right"/>
                    <w:jc w:val="center"/>
                  </w:pPr>
                  <w:r>
                    <w:t xml:space="preserve">0.974</w:t>
                  </w:r>
                </w:p>
              </w:tc>
              <w:tc>
                <w:tcPr/>
                <w:p>
                  <w:pPr>
                    <w:pStyle w:val="Compact"/>
                    <w:jc w:val="right"/>
                    <w:jc w:val="center"/>
                  </w:pPr>
                  <w:r>
                    <w:t xml:space="preserve">1</w:t>
                  </w:r>
                </w:p>
              </w:tc>
              <w:tc>
                <w:tcPr/>
                <w:p>
                  <w:pPr>
                    <w:pStyle w:val="Compact"/>
                    <w:jc w:val="right"/>
                    <w:jc w:val="center"/>
                  </w:pPr>
                  <w:r>
                    <w:t xml:space="preserve">1.452</w:t>
                  </w:r>
                </w:p>
              </w:tc>
            </w:tr>
            <w:tr>
              <w:tc>
                <w:tcPr/>
                <w:p>
                  <w:pPr>
                    <w:pStyle w:val="Compact"/>
                    <w:jc w:val="left"/>
                    <w:jc w:val="center"/>
                  </w:pPr>
                  <w:r>
                    <w:t xml:space="preserve">power_axes</w:t>
                  </w:r>
                </w:p>
              </w:tc>
              <w:tc>
                <w:tcPr/>
                <w:p>
                  <w:pPr>
                    <w:pStyle w:val="Compact"/>
                    <w:jc w:val="right"/>
                    <w:jc w:val="center"/>
                  </w:pPr>
                  <w:r>
                    <w:t xml:space="preserve">1.005</w:t>
                  </w:r>
                </w:p>
              </w:tc>
              <w:tc>
                <w:tcPr/>
                <w:p>
                  <w:pPr>
                    <w:pStyle w:val="Compact"/>
                    <w:jc w:val="right"/>
                    <w:jc w:val="center"/>
                  </w:pPr>
                  <w:r>
                    <w:t xml:space="preserve">748.550</w:t>
                  </w:r>
                </w:p>
              </w:tc>
              <w:tc>
                <w:tcPr/>
                <w:p>
                  <w:pPr>
                    <w:pStyle w:val="Compact"/>
                    <w:jc w:val="right"/>
                    <w:jc w:val="center"/>
                  </w:pPr>
                  <w:r>
                    <w:t xml:space="preserve">1489.957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0.704</w:t>
                  </w:r>
                </w:p>
              </w:tc>
              <w:tc>
                <w:tcPr/>
                <w:p>
                  <w:pPr>
                    <w:pStyle w:val="Compact"/>
                    <w:jc w:val="right"/>
                    <w:jc w:val="center"/>
                  </w:pPr>
                  <w:r>
                    <w:t xml:space="preserve">0.967</w:t>
                  </w:r>
                </w:p>
              </w:tc>
              <w:tc>
                <w:tcPr/>
                <w:p>
                  <w:pPr>
                    <w:pStyle w:val="Compact"/>
                    <w:jc w:val="right"/>
                    <w:jc w:val="center"/>
                  </w:pPr>
                  <w:r>
                    <w:t xml:space="preserve">0.947</w:t>
                  </w:r>
                </w:p>
              </w:tc>
              <w:tc>
                <w:tcPr/>
                <w:p>
                  <w:pPr>
                    <w:pStyle w:val="Compact"/>
                    <w:jc w:val="right"/>
                    <w:jc w:val="center"/>
                  </w:pPr>
                  <w:r>
                    <w:t xml:space="preserve">1</w:t>
                  </w:r>
                </w:p>
              </w:tc>
              <w:tc>
                <w:tcPr/>
                <w:p>
                  <w:pPr>
                    <w:pStyle w:val="Compact"/>
                    <w:jc w:val="right"/>
                    <w:jc w:val="center"/>
                  </w:pPr>
                  <w:r>
                    <w:t xml:space="preserve">9.113</w:t>
                  </w:r>
                </w:p>
              </w:tc>
            </w:tr>
          </w:tbl>
          <w:bookmarkEnd w:id="54"/>
          <w:p/>
        </w:tc>
      </w:tr>
    </w:tbl>
    <w:bookmarkEnd w:id="55"/>
    <w:bookmarkStart w:id="56"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2026-10-21T03:14:33Z</dcterms:created>
  <dcterms:modified xsi:type="dcterms:W3CDTF">2026-10-21T03:14:33Z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