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41"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 In the same run of Layer A,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748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0"/>
    <w:bookmarkStart w:id="31"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1"/>
    <w:bookmarkStart w:id="32"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2"/>
    <w:bookmarkStart w:id="33"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3"/>
    <w:bookmarkStart w:id="34"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4"/>
    <w:bookmarkStart w:id="35"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5"/>
    <w:bookmarkStart w:id="36" w:name="clade-age-and-clade-recovery"/>
    <w:p>
      <w:pPr>
        <w:pStyle w:val="Heading2"/>
      </w:pPr>
      <w:r>
        <w:t xml:space="preserve">Clade age and clade recovery</w:t>
      </w:r>
    </w:p>
    <w:p>
      <w:pPr>
        <w:pStyle w:val="FirstParagraph"/>
      </w:pPr>
      <w:r>
        <w:t xml:space="preserve">The relative age of the stem node of the planted clade was recorded in every replicate. Because relative age is tied to the depth class of the planted node (basal or recent), we compared tertiles of relative age within each depth class and level of γ, and fitted binomial GLMs of hit on standardized relative age, γ level, their interaction and depth class (shift 2, incidence data, N = 100; files clade_age.csv and clade_age_glm.csv). Within each depth class and level of γ, older clades were recovered more often by PCPS (e.g. basal clades, from 0.08 in the youngest to 0.34 in the oldest tertile in Yule trees and from 0.42 to 0.69 with low γ), evoPCA (from 0.59–0.75 to 0.71–0.85) and phylofactorization (from 0.60–0.77 to 0.69–0.82), whereas the PCC showed no consistent trend. In the GLMs, the effect of relative age at Yule γ was positive for every method after accounting for depth class (PCPS 1.55 ± 0.07 on the logit scale per standard deviation, PCC 0.96 ± 0.06, evoPCA 0.35 ± 0.05, phylofactorization 0.27 ± 0.05), and stronger with low γ except for the PCC (interaction −1.77 ± 0.11). Thus, the advantage of older clades is not only a consequence of γ or of the depth class, although the three act together.</w:t>
      </w:r>
    </w:p>
    <w:bookmarkEnd w:id="36"/>
    <w:bookmarkStart w:id="37"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1.021, bulk effective sample size ≥ 376), and 13% of the transitions of the Layer A power model reached the maximum tree depth, so we used these models only as a check.</w:t>
      </w:r>
    </w:p>
    <w:bookmarkEnd w:id="37"/>
    <w:bookmarkStart w:id="38"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8"/>
    <w:bookmarkStart w:id="39"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9"/>
    <w:bookmarkStart w:id="40"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0"/>
    <w:bookmarkEnd w:id="41"/>
    <w:bookmarkStart w:id="47" w:name="Xe229b3875b755fa040ccee6a6defa38ba6f6b70"/>
    <w:p>
      <w:pPr>
        <w:pStyle w:val="Heading1"/>
      </w:pPr>
      <w:r>
        <w:t xml:space="preserve">Appendix S3. Real pools and real metacommunities</w:t>
      </w:r>
    </w:p>
    <w:bookmarkStart w:id="42"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2"/>
    <w:bookmarkStart w:id="46"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4" name="Picture"/>
            <a:graphic>
              <a:graphicData uri="http://schemas.openxmlformats.org/drawingml/2006/picture">
                <pic:pic>
                  <pic:nvPicPr>
                    <pic:cNvPr descr="figures/box1_pools.png" id="45" name="Picture"/>
                    <pic:cNvPicPr>
                      <a:picLocks noChangeArrowheads="1" noChangeAspect="1"/>
                    </pic:cNvPicPr>
                  </pic:nvPicPr>
                  <pic:blipFill>
                    <a:blip r:embed="rId43"/>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6"/>
    <w:bookmarkEnd w:id="47"/>
    <w:bookmarkStart w:id="49"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8"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8"/>
          <w:p/>
        </w:tc>
      </w:tr>
    </w:tbl>
    <w:bookmarkEnd w:id="49"/>
    <w:bookmarkStart w:id="51"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0"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0"/>
          <w:p/>
        </w:tc>
      </w:tr>
    </w:tbl>
    <w:bookmarkEnd w:id="51"/>
    <w:bookmarkStart w:id="53"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2"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633"/>
              <w:gridCol w:w="580"/>
              <w:gridCol w:w="739"/>
              <w:gridCol w:w="739"/>
              <w:gridCol w:w="633"/>
              <w:gridCol w:w="844"/>
              <w:gridCol w:w="528"/>
              <w:gridCol w:w="528"/>
              <w:gridCol w:w="1056"/>
              <w:gridCol w:w="1056"/>
              <w:gridCol w:w="580"/>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r>
              <w:tc>
                <w:tcPr/>
                <w:p>
                  <w:pPr>
                    <w:pStyle w:val="Compact"/>
                    <w:jc w:val="left"/>
                    <w:jc w:val="center"/>
                  </w:pPr>
                  <w:r>
                    <w:t xml:space="preserve">type_I_axes</w:t>
                  </w:r>
                </w:p>
              </w:tc>
              <w:tc>
                <w:tcPr/>
                <w:p>
                  <w:pPr>
                    <w:pStyle w:val="Compact"/>
                    <w:jc w:val="right"/>
                    <w:jc w:val="center"/>
                  </w:pPr>
                  <w:r>
                    <w:t xml:space="preserve">1.005</w:t>
                  </w:r>
                </w:p>
              </w:tc>
              <w:tc>
                <w:tcPr/>
                <w:p>
                  <w:pPr>
                    <w:pStyle w:val="Compact"/>
                    <w:jc w:val="right"/>
                    <w:jc w:val="center"/>
                  </w:pPr>
                  <w:r>
                    <w:t xml:space="preserve">749.084</w:t>
                  </w:r>
                </w:p>
              </w:tc>
              <w:tc>
                <w:tcPr/>
                <w:p>
                  <w:pPr>
                    <w:pStyle w:val="Compact"/>
                    <w:jc w:val="right"/>
                    <w:jc w:val="center"/>
                  </w:pPr>
                  <w:r>
                    <w:t xml:space="preserve">1451.114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0.685</w:t>
                  </w:r>
                </w:p>
              </w:tc>
              <w:tc>
                <w:tcPr/>
                <w:p>
                  <w:pPr>
                    <w:pStyle w:val="Compact"/>
                    <w:jc w:val="right"/>
                    <w:jc w:val="center"/>
                  </w:pPr>
                  <w:r>
                    <w:t xml:space="preserve">0.988</w:t>
                  </w:r>
                </w:p>
              </w:tc>
              <w:tc>
                <w:tcPr/>
                <w:p>
                  <w:pPr>
                    <w:pStyle w:val="Compact"/>
                    <w:jc w:val="right"/>
                    <w:jc w:val="center"/>
                  </w:pPr>
                  <w:r>
                    <w:t xml:space="preserve">0.974</w:t>
                  </w:r>
                </w:p>
              </w:tc>
              <w:tc>
                <w:tcPr/>
                <w:p>
                  <w:pPr>
                    <w:pStyle w:val="Compact"/>
                    <w:jc w:val="right"/>
                    <w:jc w:val="center"/>
                  </w:pPr>
                  <w:r>
                    <w:t xml:space="preserve">1</w:t>
                  </w:r>
                </w:p>
              </w:tc>
              <w:tc>
                <w:tcPr/>
                <w:p>
                  <w:pPr>
                    <w:pStyle w:val="Compact"/>
                    <w:jc w:val="right"/>
                    <w:jc w:val="center"/>
                  </w:pPr>
                  <w:r>
                    <w:t xml:space="preserve">1.452</w:t>
                  </w:r>
                </w:p>
              </w:tc>
            </w:tr>
            <w:tr>
              <w:tc>
                <w:tcPr/>
                <w:p>
                  <w:pPr>
                    <w:pStyle w:val="Compact"/>
                    <w:jc w:val="left"/>
                    <w:jc w:val="center"/>
                  </w:pPr>
                  <w:r>
                    <w:t xml:space="preserve">power_axes</w:t>
                  </w:r>
                </w:p>
              </w:tc>
              <w:tc>
                <w:tcPr/>
                <w:p>
                  <w:pPr>
                    <w:pStyle w:val="Compact"/>
                    <w:jc w:val="right"/>
                    <w:jc w:val="center"/>
                  </w:pPr>
                  <w:r>
                    <w:t xml:space="preserve">1.005</w:t>
                  </w:r>
                </w:p>
              </w:tc>
              <w:tc>
                <w:tcPr/>
                <w:p>
                  <w:pPr>
                    <w:pStyle w:val="Compact"/>
                    <w:jc w:val="right"/>
                    <w:jc w:val="center"/>
                  </w:pPr>
                  <w:r>
                    <w:t xml:space="preserve">748.550</w:t>
                  </w:r>
                </w:p>
              </w:tc>
              <w:tc>
                <w:tcPr/>
                <w:p>
                  <w:pPr>
                    <w:pStyle w:val="Compact"/>
                    <w:jc w:val="right"/>
                    <w:jc w:val="center"/>
                  </w:pPr>
                  <w:r>
                    <w:t xml:space="preserve">1489.957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0.704</w:t>
                  </w:r>
                </w:p>
              </w:tc>
              <w:tc>
                <w:tcPr/>
                <w:p>
                  <w:pPr>
                    <w:pStyle w:val="Compact"/>
                    <w:jc w:val="right"/>
                    <w:jc w:val="center"/>
                  </w:pPr>
                  <w:r>
                    <w:t xml:space="preserve">0.967</w:t>
                  </w:r>
                </w:p>
              </w:tc>
              <w:tc>
                <w:tcPr/>
                <w:p>
                  <w:pPr>
                    <w:pStyle w:val="Compact"/>
                    <w:jc w:val="right"/>
                    <w:jc w:val="center"/>
                  </w:pPr>
                  <w:r>
                    <w:t xml:space="preserve">0.947</w:t>
                  </w:r>
                </w:p>
              </w:tc>
              <w:tc>
                <w:tcPr/>
                <w:p>
                  <w:pPr>
                    <w:pStyle w:val="Compact"/>
                    <w:jc w:val="right"/>
                    <w:jc w:val="center"/>
                  </w:pPr>
                  <w:r>
                    <w:t xml:space="preserve">1</w:t>
                  </w:r>
                </w:p>
              </w:tc>
              <w:tc>
                <w:tcPr/>
                <w:p>
                  <w:pPr>
                    <w:pStyle w:val="Compact"/>
                    <w:jc w:val="right"/>
                    <w:jc w:val="center"/>
                  </w:pPr>
                  <w:r>
                    <w:t xml:space="preserve">9.113</w:t>
                  </w:r>
                </w:p>
              </w:tc>
            </w:tr>
          </w:tbl>
          <w:bookmarkEnd w:id="52"/>
          <w:p/>
        </w:tc>
      </w:tr>
    </w:tbl>
    <w:bookmarkEnd w:id="53"/>
    <w:bookmarkStart w:id="54"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2026-10-21T03:07:21Z</dcterms:created>
  <dcterms:modified xsi:type="dcterms:W3CDTF">2026-10-21T03:07:21Z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