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40"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whereas GLM PCPS2 had almost no power (0.03), as in Layer A.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29"/>
    <w:bookmarkStart w:id="30"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Layer A with the same design (without the PCC) and in Layer B (file procrustes_rates.csv of the code archive). At N = 100 and 200 with incidence data, and averaged over the Colless levels, the variant removed the inflation of GLM PCPS2 in S2σ (raw rates 0.002–0.009 in Layer A and 0.008–0.014 in Layer B under species sorting, against 0.096–0.294 and 0.055–0.127 without Procrustes). However, it was conservative even without nuisance structure (0.001–0.004 for GLM PCPS2 and 0.016–0.028 for GLM PCPS1 in S2 in Layer A, against nominal 0.05), and it reduced the power of GLM PCPS1, especially with low γ (in S3b, from 0.36 to 0.23 at N = 100 and from 0.44 to 0.27 at N = 200 in Layer A). For a single axis, the symmetric Procrustes is only a change of sign and scale and leaves the test unchanged. In the same run of Layer A,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w:t>
      </w:r>
    </w:p>
    <w:bookmarkEnd w:id="30"/>
    <w:bookmarkStart w:id="31"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Layer A), 0.009 (type I error, Layer A), 0.014 (type I error, Layer B) and 0.015 (power, Layer B), and the proportion of conditions above the 0.05 threshold of priorsense was 0.2%, 1.7%, 2.7%, 2.2% and 5.2%, respectively. In Layer B,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1"/>
    <w:bookmarkStart w:id="32" w:name="X2881ca09035f0b9073252f801279f1211c19ad9"/>
    <w:p>
      <w:pPr>
        <w:pStyle w:val="Heading2"/>
      </w:pPr>
      <w:r>
        <w:t xml:space="preserve">Tree shape of the pool and of the analysed tree in Layer B</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2"/>
    <w:bookmarkStart w:id="33"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3"/>
    <w:bookmarkStart w:id="34"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4"/>
    <w:bookmarkStart w:id="35"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5"/>
    <w:bookmarkStart w:id="36" w:name="clade-age-and-clade-recovery"/>
    <w:p>
      <w:pPr>
        <w:pStyle w:val="Heading2"/>
      </w:pPr>
      <w:r>
        <w:t xml:space="preserve">Clade age and clade recovery</w:t>
      </w:r>
    </w:p>
    <w:p>
      <w:pPr>
        <w:pStyle w:val="FirstParagraph"/>
      </w:pPr>
      <w:r>
        <w:t xml:space="preserve">The relative age of the stem node of the planted clade was recorded in every replicate. With a shift of 2, incidence data and N = 100, older clades were recovered more often by every method within each level of γ (evoPCA and phylofactorization, from 0.63–0.68 in the youngest to 0.79–0.82 in the oldest tertile of relative age; PCPS from 0.02 to 0.24 in Yule trees and from 0.22 to 0.62 with low γ), except the PCC, whose recovery did not increase with age at the median level of γ and decreased with low γ (from 0.15 to 0.04). In binomial GLMs with standardized relative age, γ level and their interaction, the effect of age was positive for every method (PCPS 1.63 ± 0.07 on the logit scale per standard deviation, PCC 0.97 ± 0.06, evoPCA 0.47 ± 0.04, phylofactorization 0.41 ± 0.04, at Yule γ) and stronger with low γ except for the PCC (files clade_age.csv and clade_age_glm.csv). Thus, the advantage of older clades is not only a consequence of γ, although both act together.</w:t>
      </w:r>
    </w:p>
    <w:bookmarkEnd w:id="36"/>
    <w:bookmarkStart w:id="37"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37"/>
    <w:bookmarkStart w:id="38"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8"/>
    <w:bookmarkStart w:id="39"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9"/>
    <w:bookmarkEnd w:id="40"/>
    <w:bookmarkStart w:id="46" w:name="Xe229b3875b755fa040ccee6a6defa38ba6f6b70"/>
    <w:p>
      <w:pPr>
        <w:pStyle w:val="Heading1"/>
      </w:pPr>
      <w:r>
        <w:t xml:space="preserve">Appendix S3. Real pools and real metacommunities</w:t>
      </w:r>
    </w:p>
    <w:bookmarkStart w:id="41"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1"/>
    <w:bookmarkStart w:id="45"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3" name="Picture"/>
            <a:graphic>
              <a:graphicData uri="http://schemas.openxmlformats.org/drawingml/2006/picture">
                <pic:pic>
                  <pic:nvPicPr>
                    <pic:cNvPr descr="figures/box1_pools.png" id="44" name="Picture"/>
                    <pic:cNvPicPr>
                      <a:picLocks noChangeArrowheads="1" noChangeAspect="1"/>
                    </pic:cNvPicPr>
                  </pic:nvPicPr>
                  <pic:blipFill>
                    <a:blip r:embed="rId42"/>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5"/>
    <w:bookmarkEnd w:id="46"/>
    <w:bookmarkStart w:id="48"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47"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47"/>
          <w:p/>
        </w:tc>
      </w:tr>
    </w:tbl>
    <w:bookmarkEnd w:id="48"/>
    <w:bookmarkStart w:id="50"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49"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49"/>
          <w:p/>
        </w:tc>
      </w:tr>
    </w:tbl>
    <w:bookmarkEnd w:id="50"/>
    <w:bookmarkStart w:id="52"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1"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51"/>
          <w:p/>
        </w:tc>
      </w:tr>
    </w:tbl>
    <w:bookmarkEnd w:id="52"/>
    <w:bookmarkStart w:id="53"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3"/>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2026-10-20T17:35:13Z</dcterms:created>
  <dcterms:modified xsi:type="dcterms:W3CDTF">2026-10-20T17:35:13Z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