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Branching times and dispersal, not tree imbalance, govern the performance of phylogenetic community–environment methods</w:t>
      </w:r>
    </w:p>
    <w:bookmarkStart w:id="29" w:name="appendix-s1.-extended-methods"/>
    <w:p>
      <w:pPr>
        <w:pStyle w:val="Heading1"/>
      </w:pPr>
      <w:r>
        <w:t xml:space="preserve">Appendix S1. Extended methods</w:t>
      </w:r>
    </w:p>
    <w:bookmarkStart w:id="20" w:name="X42301795ba2a3f321752147db30b74ed2bfaf8b"/>
    <w:p>
      <w:pPr>
        <w:pStyle w:val="Heading2"/>
      </w:pPr>
      <w:r>
        <w:t xml:space="preserve">Tree generator and calibration of the grid</w:t>
      </w:r>
    </w:p>
    <w:p>
      <w:pPr>
        <w:pStyle w:val="FirstParagraph"/>
      </w:pPr>
      <w:r>
        <w:t xml:space="preserve">We drew topologies from Aldous’s β-splitting model (Aldous, 1996)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as under diversity dependence.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calibrated</w:t>
      </w:r>
      <w:r>
        <w:t xml:space="preserve"> </w:t>
      </w:r>
      <m:oMath>
        <m:r>
          <m:t>c</m:t>
        </m:r>
      </m:oMath>
      <w:r>
        <w:t xml:space="preserve"> </w:t>
      </w:r>
      <w:r>
        <w:t xml:space="preserve">and β for each N with curves of the mean statistic against the parameter, and accepted a tree only when both statistics fell within 0.5 units of the targets of its cell, which gave acceptance rates of 9–25% (Table S1). Thus, every cell of the 3 × 3 grid could be filled. The Yule × Yule cell approximates the trees used in previous validations (Peres-Neto &amp; Kembel, 2015; Duarte et al., 2016), since the acceptance window truncates the Yule distribution of both statistics.</w:t>
      </w:r>
    </w:p>
    <w:bookmarkEnd w:id="20"/>
    <w:bookmarkStart w:id="21" w:name="X9fc1777e7a62f10d90bc482976a7335c7d8d32c"/>
    <w:p>
      <w:pPr>
        <w:pStyle w:val="Heading2"/>
      </w:pPr>
      <w:r>
        <w:t xml:space="preserve">Phylogenetic signal in niche breadth and maximum abundance</w:t>
      </w:r>
    </w:p>
    <w:p>
      <w:pPr>
        <w:pStyle w:val="FirstParagraph"/>
      </w:pPr>
      <w:r>
        <w:t xml:space="preserve">When</w:t>
      </w:r>
      <w:r>
        <w:t xml:space="preserve"> </w:t>
      </w:r>
      <m:oMath>
        <m:sSub>
          <m:e>
            <m:r>
              <m:t>σ</m:t>
            </m:r>
          </m:e>
          <m:sub>
            <m:r>
              <m:t>j</m:t>
            </m:r>
          </m:sub>
        </m:sSub>
      </m:oMath>
      <w:r>
        <w:t xml:space="preserve"> </w:t>
      </w:r>
      <w:r>
        <w:t xml:space="preserve">or</w:t>
      </w:r>
      <w:r>
        <w:t xml:space="preserve"> </w:t>
      </w:r>
      <m:oMath>
        <m:sSub>
          <m:e>
            <m:r>
              <m:t>h</m:t>
            </m:r>
          </m:e>
          <m:sub>
            <m:r>
              <m:t>j</m:t>
            </m:r>
          </m:sub>
        </m:sSub>
      </m:oMath>
      <w:r>
        <w:t xml:space="preserve"> </w:t>
      </w:r>
      <w:r>
        <w:t xml:space="preserve">carried phylogenetic signal, we simulated a Brownian trait on the tree (λ = 1) and imposed on it the marginal distribution of the scenario without signal by ranks, that is, the species with the</w:t>
      </w:r>
      <w:r>
        <w:t xml:space="preserve"> </w:t>
      </w:r>
      <m:oMath>
        <m:r>
          <m:t>m</m:t>
        </m:r>
      </m:oMath>
      <w:r>
        <w:t xml:space="preserve">-th largest Brownian value received the</w:t>
      </w:r>
      <w:r>
        <w:t xml:space="preserve"> </w:t>
      </w:r>
      <m:oMath>
        <m:r>
          <m:t>m</m:t>
        </m:r>
      </m:oMath>
      <w:r>
        <w:t xml:space="preserve">-th largest value of a sample from the original distribution. Scenarios with and without signal therefore differed only in how the values were arranged on the tree.</w:t>
      </w:r>
    </w:p>
    <w:bookmarkEnd w:id="21"/>
    <w:bookmarkStart w:id="22" w:name="process-based-simulations"/>
    <w:p>
      <w:pPr>
        <w:pStyle w:val="Heading2"/>
      </w:pPr>
      <w:r>
        <w:t xml:space="preserve">Process-based simulations</w:t>
      </w:r>
    </w:p>
    <w:p>
      <w:pPr>
        <w:pStyle w:val="FirstParagraph"/>
      </w:pPr>
      <w:r>
        <w:t xml:space="preserve">The dynamics followed Thompson et al. (2020), which we implemented in R from the published equations, because neither the original Julia code nor the R package mcomsimr carries a licence. The expected abundance of species</w:t>
      </w:r>
      <w:r>
        <w:t xml:space="preserve"> </w:t>
      </w:r>
      <m:oMath>
        <m:r>
          <m:t>j</m:t>
        </m:r>
      </m:oMath>
      <w:r>
        <w:t xml:space="preserve"> </w:t>
      </w:r>
      <w:r>
        <w:t xml:space="preserve">at site</w:t>
      </w:r>
      <w:r>
        <w:t xml:space="preserve"> </w:t>
      </w:r>
      <m:oMath>
        <m:r>
          <m:t>i</m:t>
        </m:r>
      </m:oMath>
      <w:r>
        <w:t xml:space="preserve"> </w:t>
      </w:r>
      <w:r>
        <w:t xml:space="preserve">at time</w:t>
      </w:r>
      <w:r>
        <w:t xml:space="preserve"> </w:t>
      </w:r>
      <m:oMath>
        <m:r>
          <m:t>t</m:t>
        </m:r>
        <m:r>
          <m:rPr>
            <m:sty m:val="p"/>
          </m:rPr>
          <m:t>+</m:t>
        </m:r>
        <m:r>
          <m:t>1</m:t>
        </m:r>
      </m:oMath>
      <w:r>
        <w:t xml:space="preserve"> </w:t>
      </w:r>
      <w:r>
        <w:t xml:space="preserve">was</w:t>
      </w:r>
    </w:p>
    <w:p>
      <w:pPr>
        <w:pStyle w:val="BodyText"/>
      </w:pPr>
      <m:oMathPara>
        <m:oMathParaPr>
          <m:jc m:val="center"/>
        </m:oMathParaPr>
        <m:oMath>
          <m:sSub>
            <m:e>
              <m:r>
                <m:t>μ</m:t>
              </m:r>
            </m:e>
            <m:sub>
              <m:r>
                <m:t>i</m:t>
              </m:r>
              <m:r>
                <m:t>j</m:t>
              </m:r>
            </m:sub>
          </m:sSub>
          <m:d>
            <m:dPr>
              <m:begChr m:val="("/>
              <m:sepChr m:val=""/>
              <m:endChr m:val=")"/>
              <m:grow/>
            </m:dPr>
            <m:e>
              <m:r>
                <m:t>t</m:t>
              </m:r>
            </m:e>
          </m:d>
          <m:r>
            <m:rPr>
              <m:sty m:val="p"/>
            </m:rPr>
            <m:t>=</m:t>
          </m:r>
          <m:f>
            <m:fPr>
              <m:type m:val="bar"/>
            </m:fPr>
            <m:num>
              <m:sSub>
                <m:e>
                  <m:r>
                    <m:t>r</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sSub>
                <m:e>
                  <m:r>
                    <m:t>N</m:t>
                  </m:r>
                </m:e>
                <m:sub>
                  <m:r>
                    <m:t>i</m:t>
                  </m:r>
                  <m:r>
                    <m:t>j</m:t>
                  </m:r>
                </m:sub>
              </m:sSub>
              <m:d>
                <m:dPr>
                  <m:begChr m:val="("/>
                  <m:sepChr m:val=""/>
                  <m:endChr m:val=")"/>
                  <m:grow/>
                </m:dPr>
                <m:e>
                  <m:r>
                    <m:t>t</m:t>
                  </m:r>
                </m:e>
              </m:d>
            </m:num>
            <m:den>
              <m:r>
                <m:t>1</m:t>
              </m:r>
              <m:r>
                <m:rPr>
                  <m:sty m:val="p"/>
                </m:rPr>
                <m:t>+</m:t>
              </m:r>
              <m:nary>
                <m:naryPr>
                  <m:chr m:val="∑"/>
                  <m:limLoc m:val="undOvr"/>
                  <m:subHide m:val="off"/>
                  <m:supHide m:val="on"/>
                </m:naryPr>
                <m:sub>
                  <m:r>
                    <m:t>k</m:t>
                  </m:r>
                </m:sub>
                <m:sup>
                  <m:r>
                    <m:t>​</m:t>
                  </m:r>
                </m:sup>
                <m:e>
                  <m:sSub>
                    <m:e>
                      <m:r>
                        <m:t>α</m:t>
                      </m:r>
                    </m:e>
                    <m:sub>
                      <m:r>
                        <m:t>j</m:t>
                      </m:r>
                      <m:r>
                        <m:t>k</m:t>
                      </m:r>
                    </m:sub>
                  </m:sSub>
                </m:e>
              </m:nary>
              <m:sSub>
                <m:e>
                  <m:r>
                    <m:t>N</m:t>
                  </m:r>
                </m:e>
                <m:sub>
                  <m:r>
                    <m:t>i</m:t>
                  </m:r>
                  <m:r>
                    <m:t>k</m:t>
                  </m:r>
                </m:sub>
              </m:sSub>
              <m:d>
                <m:dPr>
                  <m:begChr m:val="("/>
                  <m:sepChr m:val=""/>
                  <m:endChr m:val=")"/>
                  <m:grow/>
                </m:dPr>
                <m:e>
                  <m:r>
                    <m:t>t</m:t>
                  </m:r>
                </m:e>
              </m:d>
            </m:den>
          </m:f>
          <m:r>
            <m:rPr>
              <m:sty m:val="p"/>
            </m:rPr>
            <m:t>,</m:t>
          </m:r>
        </m:oMath>
      </m:oMathPara>
    </w:p>
    <w:p>
      <w:pPr>
        <w:pStyle w:val="FirstParagraph"/>
      </w:pPr>
      <w:r>
        <w:t xml:space="preserve">where</w:t>
      </w:r>
      <w:r>
        <w:t xml:space="preserve"> </w:t>
      </w:r>
      <m:oMath>
        <m:sSub>
          <m:e>
            <m:r>
              <m:t>N</m:t>
            </m:r>
          </m:e>
          <m:sub>
            <m:r>
              <m:t>i</m:t>
            </m:r>
            <m:r>
              <m:t>j</m:t>
            </m:r>
          </m:sub>
        </m:sSub>
        <m:d>
          <m:dPr>
            <m:begChr m:val="("/>
            <m:sepChr m:val=""/>
            <m:endChr m:val=")"/>
            <m:grow/>
          </m:dPr>
          <m:e>
            <m:r>
              <m:t>t</m:t>
            </m:r>
          </m:e>
        </m:d>
      </m:oMath>
      <w:r>
        <w:t xml:space="preserve"> </w:t>
      </w:r>
      <w:r>
        <w:t xml:space="preserve">is the abundance of species</w:t>
      </w:r>
      <w:r>
        <w:t xml:space="preserve"> </w:t>
      </w:r>
      <m:oMath>
        <m:r>
          <m:t>j</m:t>
        </m:r>
      </m:oMath>
      <w:r>
        <w:t xml:space="preserve"> </w:t>
      </w:r>
      <w:r>
        <w:t xml:space="preserve">at site</w:t>
      </w:r>
      <w:r>
        <w:t xml:space="preserve"> </w:t>
      </w:r>
      <m:oMath>
        <m:r>
          <m:t>i</m:t>
        </m:r>
      </m:oMath>
      <w:r>
        <w:t xml:space="preserve"> </w:t>
      </w:r>
      <w:r>
        <w:t xml:space="preserve">and</w:t>
      </w:r>
      <w:r>
        <w:t xml:space="preserve"> </w:t>
      </w:r>
      <m:oMath>
        <m:sSub>
          <m:e>
            <m:r>
              <m:t>α</m:t>
            </m:r>
          </m:e>
          <m:sub>
            <m:r>
              <m:t>j</m:t>
            </m:r>
            <m:r>
              <m:t>k</m:t>
            </m:r>
          </m:sub>
        </m:sSub>
      </m:oMath>
      <w:r>
        <w:t xml:space="preserve"> </w:t>
      </w:r>
      <w:r>
        <w:t xml:space="preserve">is the effect of species</w:t>
      </w:r>
      <w:r>
        <w:t xml:space="preserve"> </w:t>
      </w:r>
      <m:oMath>
        <m:r>
          <m:t>k</m:t>
        </m:r>
      </m:oMath>
      <w:r>
        <w:t xml:space="preserve"> </w:t>
      </w:r>
      <w:r>
        <w:t xml:space="preserve">on species</w:t>
      </w:r>
      <w:r>
        <w:t xml:space="preserve"> </w:t>
      </w:r>
      <m:oMath>
        <m:r>
          <m:t>j</m:t>
        </m:r>
      </m:oMath>
      <w:r>
        <w:t xml:space="preserve">. We drew abundances from a Poisson distribution with mean</w:t>
      </w:r>
      <w:r>
        <w:t xml:space="preserve"> </w:t>
      </w:r>
      <m:oMath>
        <m:sSub>
          <m:e>
            <m:r>
              <m:t>μ</m:t>
            </m:r>
          </m:e>
          <m:sub>
            <m:r>
              <m:t>i</m:t>
            </m:r>
            <m:r>
              <m:t>j</m:t>
            </m:r>
          </m:sub>
        </m:sSub>
        <m:d>
          <m:dPr>
            <m:begChr m:val="("/>
            <m:sepChr m:val=""/>
            <m:endChr m:val=")"/>
            <m:grow/>
          </m:dPr>
          <m:e>
            <m:r>
              <m:t>t</m:t>
            </m:r>
          </m:e>
        </m:d>
      </m:oMath>
      <w:r>
        <w:t xml:space="preserve">; each individual then emigrated with probability</w:t>
      </w:r>
      <w:r>
        <w:t xml:space="preserve"> </w:t>
      </w:r>
      <m:oMath>
        <m:r>
          <m:t>a</m:t>
        </m:r>
      </m:oMath>
      <w:r>
        <w:t xml:space="preserve">, and each site received the emigrants of each species from all other sites in proportion to their number (a multinomial draw), so that the dispersal kernel was uniform. Our σ is the standard deviation of the Gaussian response, as in the static simulations, and equals</w:t>
      </w:r>
      <w:r>
        <w:t xml:space="preserve"> </w:t>
      </w:r>
      <m:oMath>
        <m:rad>
          <m:radPr>
            <m:degHide m:val="on"/>
          </m:radPr>
          <m:deg/>
          <m:e>
            <m:r>
              <m:t>2</m:t>
            </m:r>
          </m:e>
        </m:rad>
      </m:oMath>
      <w:r>
        <w:t xml:space="preserve"> </w:t>
      </w:r>
      <w:r>
        <w:t xml:space="preserve">times the breadth parameter of Thompson et al. (2020). The environment was static. All species were seeded with Poisson(0.5) individuals per site every 10 steps during the first 100 steps, the dynamics ran for 1,000 steps, and we kept only the final state, a single survey, rather than a temporal mean. Maximum growth rate</w:t>
      </w:r>
      <w:r>
        <w:t xml:space="preserve"> </w:t>
      </w:r>
      <m:oMath>
        <m:sSub>
          <m:e>
            <m:r>
              <m:t>r</m:t>
            </m:r>
          </m:e>
          <m:sub>
            <m:r>
              <m:t>j</m:t>
            </m:r>
          </m:sub>
        </m:sSub>
      </m:oMath>
      <w:r>
        <w:t xml:space="preserve">, drawn from a uniform distribution between 2 and 8, took the role of</w:t>
      </w:r>
      <w:r>
        <w:t xml:space="preserve"> </w:t>
      </w:r>
      <m:oMath>
        <m:sSub>
          <m:e>
            <m:r>
              <m:t>h</m:t>
            </m:r>
          </m:e>
          <m:sub>
            <m:r>
              <m:t>j</m:t>
            </m:r>
          </m:sub>
        </m:sSub>
      </m:oMath>
      <w:r>
        <w:t xml:space="preserve"> </w:t>
      </w:r>
      <w:r>
        <w:t xml:space="preserve">in the trait scenarios.</w:t>
      </w:r>
    </w:p>
    <w:p>
      <w:pPr>
        <w:pStyle w:val="BodyText"/>
      </w:pPr>
      <w:r>
        <w:t xml:space="preserve">Under phylogenetic competition, interspecific coefficients came from a uniform distribution between 0 and 0.1, relative to an intraspecific coefficient of 1 (both multiplied by 0.05), and were assigned to species pairs by the rank of their phylogenetic similarity, so that close relatives competed more strongly. We calibrated the size of the pool for each archetype, scenario and N so that the mean number of species left after the dynamics was close to N, and drew the pool tree with the targets of its cell, recalibrating β and</w:t>
      </w:r>
      <w:r>
        <w:t xml:space="preserve"> </w:t>
      </w:r>
      <m:oMath>
        <m:r>
          <m:t>c</m:t>
        </m:r>
      </m:oMath>
      <w:r>
        <w:t xml:space="preserve"> </w:t>
      </w:r>
      <w:r>
        <w:t xml:space="preserve">for each pool size. However, mass effects with phylogenetic competition could not reach N = 200, since pools of up to 2,900 species left only about 150 species, and we dropped this combination. We recorded γ and the Colless index of both the pool tree and the analysed tree.</w:t>
      </w:r>
    </w:p>
    <w:bookmarkEnd w:id="22"/>
    <w:bookmarkStart w:id="23" w:name="Xc5b1b5043575397a44c3703076288e3c6919eac"/>
    <w:p>
      <w:pPr>
        <w:pStyle w:val="Heading2"/>
      </w:pPr>
      <w:r>
        <w:t xml:space="preserve">Optima with a fixed marginal distribution</w:t>
      </w:r>
    </w:p>
    <w:p>
      <w:pPr>
        <w:pStyle w:val="FirstParagraph"/>
      </w:pPr>
      <w:r>
        <w:t xml:space="preserve">Because the optima evolve on the tree, the shape of the tree changes both their marginal distribution along the gradient (for instance, clusters of similar optima in trees with long internal branches) and the tree used in the analysis. To separate the two, we repeated the power scenarios of the static simulations (S3a, S3b and S3σ) in all cells, N and data types with the optima of each replicate replaced, by ranks, by evenly spaced values on [−1, 101]. The arrangement of the optima on the tree is the same as under Brownian motion, but their marginal distribution is identical in every tree, so differences among levels of γ in this run reflect only how the tree enters the analysis. This run used the same trees as the static simulations but not the same random draws of the other species traits and of the gradient, so its rates are compared among levels of γ within the run and not replicate by replicate with the main run. It included the RDA PCPS and the GLM with Procrustes.</w:t>
      </w:r>
    </w:p>
    <w:bookmarkEnd w:id="23"/>
    <w:bookmarkStart w:id="24" w:name="X44068f899328eab8149379cdc9c93274e4b7163"/>
    <w:p>
      <w:pPr>
        <w:pStyle w:val="Heading2"/>
      </w:pPr>
      <w:r>
        <w:t xml:space="preserve">Spatial version of the process-based simulations</w:t>
      </w:r>
    </w:p>
    <w:p>
      <w:pPr>
        <w:pStyle w:val="FirstParagraph"/>
      </w:pPr>
      <w:r>
        <w:t xml:space="preserve">To relax the absence of spatial structure in the process-based simulations, we placed the 100 sites on a 10 × 10 grid wrapped as a torus, so that there are no edges. The gradient was spatially autocorrelated: independent standard normal deviates were smoothed with a Gaussian kernel with a standard deviation of two cells and given the U(0, 100) marginal distribution of the non-spatial version by ranks; the independent gradient of S0 and S1 was drawn in the same way. Emigrants reached the other sites with a probability proportional to exp(−d/2), with d the toroidal distance in cells. As an approximation, the immigrants of each species to each site were drawn from a Poisson distribution with the expected flow as mean, instead of the multinomial redistribution of the non-spatial version. The expected number of immigrants therefore equals the number of emigrants, but the total is not conserved exactly at each step; since each emigrant can reach 99 sites, each with a small probability, the variance of the Poisson draw is close to that of a multinomial one, so this approximation seems to add little stochasticity. All other settings, including the pool sizes, were those of the process-based simulations, at N = 100 in the five cells, the four archetypes and the eight scenarios, and each metacommunity was analysed with incidence and with abundance data.</w:t>
      </w:r>
    </w:p>
    <w:p>
      <w:pPr>
        <w:pStyle w:val="BodyText"/>
      </w:pPr>
      <w:r>
        <w:t xml:space="preserve">With spatial structure, the site shuffle is no longer a valid null model, since the composition and the gradient are both spatially autocorrelated. We therefore replaced it, in every test, by the 799 rearrangements of the torus that preserve the spatial autocorrelation of the gradient (the 100 translations times the eight symmetries of the square, without the identity), a torus-translation test; the taxa shuffle was unchanged. In a pilot under the null hypothesis (S0, 200 replicates per archetype, script 34_pilot_spatial_null.R), the plain site shuffle rejected in 0.18–0.70 of the replicates, whereas the torus-translation test rejected in 0.03–0.065.</w:t>
      </w:r>
    </w:p>
    <w:bookmarkEnd w:id="24"/>
    <w:bookmarkStart w:id="25" w:name="permutation-tests"/>
    <w:p>
      <w:pPr>
        <w:pStyle w:val="Heading2"/>
      </w:pPr>
      <w:r>
        <w:t xml:space="preserve">Permutation tests</w:t>
      </w:r>
    </w:p>
    <w:p>
      <w:pPr>
        <w:pStyle w:val="FirstParagraph"/>
      </w:pPr>
      <w:r>
        <w:t xml:space="preserve">We wrote the permutation loops ourselves for efficiency and checked, in unit tests, that the observed statistics equal those of the R packages vegan v. 2.7-6 (Oksanen et al., 2026) and PCPS v. 1.0.9 (Debastiani, 2026). The 999 permutations give P-values a resolution of 0.001.</w:t>
      </w:r>
    </w:p>
    <w:bookmarkEnd w:id="25"/>
    <w:bookmarkStart w:id="26" w:name="X21df7844d013affdd44c0f6e5261fd7f9b8c4da"/>
    <w:p>
      <w:pPr>
        <w:pStyle w:val="Heading2"/>
      </w:pPr>
      <w:r>
        <w:t xml:space="preserve">Node scores of the clade-recovery methods</w:t>
      </w:r>
    </w:p>
    <w:p>
      <w:pPr>
        <w:pStyle w:val="FirstParagraph"/>
      </w:pPr>
      <w:r>
        <w:t xml:space="preserve">For PCPS, PCC and evoPCA, each method took the axis most correlated with</w:t>
      </w:r>
      <w:r>
        <w:t xml:space="preserve"> </w:t>
      </w:r>
      <m:oMath>
        <m:r>
          <m:t>E</m:t>
        </m:r>
      </m:oMath>
      <w:r>
        <w:t xml:space="preserve"> </w:t>
      </w:r>
      <w:r>
        <w:t xml:space="preserve">among its first four, and the score of each internal node was the absolute correlation between membership of its clade and the species scores on that axis. The species scores were the correlations of the columns of</w:t>
      </w:r>
      <w:r>
        <w:t xml:space="preserve"> </w:t>
      </w:r>
      <m:oMath>
        <m:r>
          <m:rPr>
            <m:sty m:val="b"/>
          </m:rPr>
          <m:t>P</m:t>
        </m:r>
      </m:oMath>
      <w:r>
        <w:t xml:space="preserve"> </w:t>
      </w:r>
      <w:r>
        <w:t xml:space="preserve">with the PCPS axis, which equal the species scores of the R package PCPS; the values of the phylogenetic eigenvector for PCC; and the correlations of the species columns of the Hellinger-transformed table of evoPCA (Legendre &amp; Gallagher, 2001).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(Washburne et al., 2017) while also ranking all nodes. For a given replicate, the planted clade, the optima and the gradient were the same across shifts and data types, so that only the factor of interest changed. The planted-clade objective replaced the per-node effect sizes under continuous Brownian motion that we had planned, because a planted clade defines unambiguously which answer is correct.</w:t>
      </w:r>
    </w:p>
    <w:bookmarkEnd w:id="26"/>
    <w:bookmarkStart w:id="27" w:name="Xb3c5d702d9c3acbb94abf6ca1650d89d268e15b"/>
    <w:p>
      <w:pPr>
        <w:pStyle w:val="Heading2"/>
      </w:pPr>
      <w:r>
        <w:t xml:space="preserve">Performance measures and formal models of the simulation results</w:t>
      </w:r>
    </w:p>
    <w:p>
      <w:pPr>
        <w:pStyle w:val="FirstParagraph"/>
      </w:pPr>
      <w:r>
        <w:t xml:space="preserve">With</w:t>
      </w:r>
      <w:r>
        <w:t xml:space="preserve"> </w:t>
      </w:r>
      <m:oMath>
        <m:r>
          <m:t>K</m:t>
        </m:r>
        <m:r>
          <m:rPr>
            <m:sty m:val="p"/>
          </m:rPr>
          <m:t>=</m:t>
        </m:r>
        <m:r>
          <m:t>1</m:t>
        </m:r>
        <m:r>
          <m:rPr>
            <m:sty m:val="p"/>
          </m:rPr>
          <m:t>,</m:t>
        </m:r>
        <m:r>
          <m:t>000</m:t>
        </m:r>
      </m:oMath>
      <w:r>
        <w:t xml:space="preserve"> </w:t>
      </w:r>
      <w:r>
        <w:t xml:space="preserve">replicates, the Monte Carlo standard error is at most 0.016 (at a rate of 0.5), and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The credible intervals of the formal models include the binomial variation among replicates.</w:t>
      </w:r>
    </w:p>
    <w:p>
      <w:pPr>
        <w:pStyle w:val="BodyText"/>
      </w:pPr>
      <w:r>
        <w:t xml:space="preserve">The plan was to treat γ and the Colless index as continuous covariates, but each cell of the grid has a single target per axis, and the static simulations did not store the shape of every tree, so a continuous term would only interpolate three points. Therefore, we entered the levels of both statistics as factors. In the static simulations,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 test:scenario:N, where the last term lets the scenario effects, such as the inflation under nuisance structure, differ with N. In the process-based simulations, where only five cells were simulated, the cell entered as a five-level factor, in test * archetype * (scenario + cell) + test * N * (archetype + scenario + cell). The clade-recovery model was method * (γ * depth + Colless + γ:Colless + shift + N + data type) + method:(γ + Colless):(N + data type + shift).</w:t>
      </w:r>
    </w:p>
    <w:p>
      <w:pPr>
        <w:pStyle w:val="BodyText"/>
      </w:pPr>
      <w:r>
        <w:t xml:space="preserve">We first fitted quasibinomial generalized linear models to the same structures, which showed a dispersion 2.1–8.5 times larger than binomial. The beta-binomial accounts for this extra variation with a single precision parameter φ, whereas a first version with an observation-level random effect hit the maximum tree depth of the sampler in almost every transition. We used normal(0, 1.5) for all coefficients on the logit scale; normal(−2.9, 1.5) for the intercept of the type I models, centred on logit(0.05), and normal(0, 1.5) for the other intercepts; and gamma(2, 0.01) for φ, which is weakly informative around the values implied by the quasibinomial dispersion (φ of about 130–910). We ran four chains of 2,000 iterations (1,000 of warm-up) with adapt_delta = 0.95 and a maximum tree depth of 12, since with the default of 10 a few transitions of the type I models reached the limit. Posterior predictive checks were in sample, both for each condition and for the sums over the conditions of each test, N and cell.</w:t>
      </w:r>
    </w:p>
    <w:bookmarkEnd w:id="27"/>
    <w:bookmarkStart w:id="28" w:name="computation"/>
    <w:p>
      <w:pPr>
        <w:pStyle w:val="Heading2"/>
      </w:pPr>
      <w:r>
        <w:t xml:space="preserve">Computation</w:t>
      </w:r>
    </w:p>
    <w:p>
      <w:pPr>
        <w:pStyle w:val="FirstParagraph"/>
      </w:pPr>
      <w:r>
        <w:t xml:space="preserve">The static and process-based simulations ran in a Docker image on spot cloud instances with 192 virtual CPUs (190 workers); the pipeline seed was 20261018, from which the R package targets v. 1.12.0 (Landau, 2021) derives one seed per branch, with workers launched by crew v. 1.3.3 (Landau, 2026). The static simulations took about 8 h for the 432,000 metacommunities of the main run and the process-based simulations about 7.5 h for their 440,000. The clade-recovery runs took 1.2 h on a 16-core workstation, with one seed per tree, depth and replicate, and each formal model 1–7 min. The trait simulation, the β-splitting and branching-time generator and the calibration of the grid are our own R code in the repository.</w:t>
      </w:r>
    </w:p>
    <w:bookmarkEnd w:id="28"/>
    <w:bookmarkEnd w:id="29"/>
    <w:bookmarkStart w:id="44" w:name="appendix-s2.-extended-results"/>
    <w:p>
      <w:pPr>
        <w:pStyle w:val="Heading1"/>
      </w:pPr>
      <w:r>
        <w:t xml:space="preserve">Appendix S2. Extended results</w:t>
      </w:r>
    </w:p>
    <w:bookmarkStart w:id="30" w:name="validation-against-published-results"/>
    <w:p>
      <w:pPr>
        <w:pStyle w:val="Heading2"/>
      </w:pPr>
      <w:r>
        <w:t xml:space="preserve">Validation against published results</w:t>
      </w:r>
    </w:p>
    <w:p>
      <w:pPr>
        <w:pStyle w:val="FirstParagraph"/>
      </w:pPr>
      <w:r>
        <w:t xml:space="preserve">The static simulations reproduced the published validations. In the Yule trees of Duarte et al. (2016), the rejection rates of the site shuffle, the taxa shuffle and the max test fell within the 95% binomial interval of our estimates in 66 of 72 cells. The six exceptions came from four conditions (PERMANOVA with both components at N = 100, with environment only at N = 200 and with phylogeny only at N = 200, and the Mantel test with environment only at N = 200),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of Peres-Neto and Kembel (2015) in the scenarios that do not depend on the tree. Its power was lower than published (0.93 against 0.95), and it varied between 0.71 and 0.93 among 20 Yule trees, so the published values lie just above that range, which seems to reflect a single favourable tree. Thus, our implementation closely reproduces both benchmarks.</w:t>
      </w:r>
    </w:p>
    <w:bookmarkEnd w:id="30"/>
    <w:bookmarkStart w:id="31" w:name="details-of-the-main-results"/>
    <w:p>
      <w:pPr>
        <w:pStyle w:val="Heading2"/>
      </w:pPr>
      <w:r>
        <w:t xml:space="preserve">Details of the main results</w:t>
      </w:r>
    </w:p>
    <w:p>
      <w:pPr>
        <w:pStyle w:val="FirstParagraph"/>
      </w:pPr>
      <w:r>
        <w:t xml:space="preserve">Type I error. The taxa shuffle alone, which H1 addressed, was not affected by tree imbalance: in S0 and S2, its rejection rate was 0.039–0.062 in Yule and 0.043–0.060 in highly imbalanced trees (pooled over the levels of γ), and the difference exceeded its 95% Monte Carlo interval in 4 of 60 combinations of test, scenario, N and data type, in both directions, about as many as expected by chance. In S0, where optima had no phylogenetic signal and the gradient was independent, all tests were conservative, and four of them became more conservative in trees with low γ (by 0.008–0.020). The raw rates of GLM PCPS2 in S2σ reached 0.36 at N = 200 in low-γ trees, and those of the PCC 0.22 at N = 200 in Yule trees. With abundance data, the inflation of GLM PCPS2 was smaller (0.08, 95% CI 0.06–0.09, with low γ at N = 100).</w:t>
      </w:r>
    </w:p>
    <w:p>
      <w:pPr>
        <w:pStyle w:val="BodyText"/>
      </w:pPr>
      <w:r>
        <w:t xml:space="preserve">Power in the static simulations. At N = 100 with incidence data, the losses of GLM PCPS1 with low γ in S3a and S3σ were similar to that in S3b. The Mantel test lost 0.05–0.14 at N = 100 and up to 0.23 at N = 50. The power of PERMANOVA was lower with low γ at N = 50 (−0.03 to −0.17 across scenarios) and higher at N = 200 (+0.04 to +0.08). In S3a, GLM PCPS1 fell from the third to the fourth most powerful test with low γ. The effect of γ also changed with N in opposite directions among tests, since the loss of GLM PCPS1 increased with N (−0.38 at N = 50 and −0.46 at N = 200 in S3b), whereas that of the PCC decreased (−0.48 at N = 50 and −0.06 at N = 200).</w:t>
      </w:r>
    </w:p>
    <w:p>
      <w:pPr>
        <w:pStyle w:val="BodyText"/>
      </w:pPr>
      <w:r>
        <w:t xml:space="preserve">Power in the process-based simulations. Under species sorting without competition, power at N = 100 in S3b in Yule pool trees was 0.78 for GLM PCPS1, 0.83 for RDA PCPS, 0.87 for PERMANOVA, 0.92 for the Mantel test and 0.96 for the PCC, whereas GLM PCPS2 had almost no power (0.03), as in the static simulations. Mass effects increased the power of GLM PCPS2 by 0.08 (95% CI 0.06–0.11) from its low baseline. Relative to species sorting, PERMANOVA lost 0.62 (0.58–0.65) in Yule pool trees and 0.72 (0.69–0.75) with low γ, the Mantel test 0.75 and 0.79, RDA PCPS 0.58 and 0.55, GLM PCPS1 0.55 and 0.27, and the PCC 0.93 (0.92–0.94) and 0.76. Under species sorting, phylogenetic competition changed power by −0.12 to +0.11. The pruning of close relatives by competition was strongest under mass effects.</w:t>
      </w:r>
    </w:p>
    <w:p>
      <w:pPr>
        <w:pStyle w:val="BodyText"/>
      </w:pPr>
      <w:r>
        <w:t xml:space="preserve">Clade recovery. Without a planted effect (shift 0), the hit rate averaged over the cells was 0.007–0.021 for evoPCA, 0.003–0.017 for phylofactorization, 0.018–0.050 for PCPS and 0.034–0.046 for PCC across N, depth and data type (at most 0.072 in a single cell), and the median rank of the planted node was 15–27.5 for PCPS and PCC and 24–107 for evoPCA and phylofactorization (file clade_baseline.csv of the code archive). The formal model of clade recovery excludes shift 0. With a shift of 2, evoPCA and phylofactorization recovered basal clades more often than recent ones (0.79 against 0.66 at N = 100).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The advantage of PCPS with low γ grew with N (+0.23 to +0.45 across N and depths). The PCC lost 0.10–0.14 in basal clades with low γ and gained 0.07–0.09 in recent ones. In the descriptive summaries of the static simulations, the share of variation on the first PCPS axis decreased rather than increased with low γ.</w:t>
      </w:r>
    </w:p>
    <w:bookmarkEnd w:id="31"/>
    <w:bookmarkStart w:id="32" w:name="Xa86dfc5b4daf9d31137463e641347443abadd83"/>
    <w:p>
      <w:pPr>
        <w:pStyle w:val="Heading2"/>
      </w:pPr>
      <w:r>
        <w:t xml:space="preserve">GLM on PCPS axes with Procrustes of the null axes</w:t>
      </w:r>
    </w:p>
    <w:p>
      <w:pPr>
        <w:pStyle w:val="FirstParagraph"/>
      </w:pPr>
      <w:r>
        <w:t xml:space="preserve">In the R package PCPS, the axes of each taxa-shuffle permutation are rotated onto the observed ones by symmetric Procrustes before the test (PCPS::pcps.sig). We evaluated this variant for the first two axes at once in a second run of the static simulations with the same design (without the PCC) and in the process-based simulations (file procrustes_rates.csv of the code archive). At N = 100 and 200 with incidence data, and averaged over the Colless levels, the variant removed the inflation of GLM PCPS2 in S2σ (raw rates 0.002–0.009 in the static simulations and 0.008–0.014 in the process-based simulations under species sorting, against 0.096–0.294 and 0.055–0.127 without Procrustes). However, it was conservative even without nuisance structure (0.001–0.004 for GLM PCPS2 and 0.016–0.028 for GLM PCPS1 in S2 in the static simulations, against nominal 0.05), and it reduced the power of GLM PCPS1, especially with low γ (in S3b, from 0.36 to 0.23 at N = 100 and from 0.44 to 0.27 at N = 200 in the static simulations). For a single axis, the symmetric Procrustes is only a change of sign and scale and leaves the test unchanged. In the same run of the static simulations, the RDA of PCPS axes 1–2 on the gradient, which needs no Procrustes, had rejection rates close to the nominal level in S2 (0.045–0.060 at N = 100 and 200), was conservative in S2σ (0.004–0.021), and lost little power with low γ (in S3b, 0.70, 0.74 and 0.78 at N = 100 and 0.91, 0.89 and 0.90 at N = 200 for low, median and Yule γ), whereas GLM PCPS1 fell from 0.78 to 0.36 at N = 100. Beta-binomial models with the structure of the main models, fitted to this run (R̂ ≤ 1.006, bulk and tail effective sample sizes ≥ 748 and ≥ 1,451, no divergent transitions; 95% posterior predictive coverage 0.97–0.99), gave the same picture: at N = 100 with incidence data and Yule imbalance, the posterior median power in S3b of the RDA PCPS was 0.65 with low γ against 0.76 in Yule trees, that of GLM PCPS1 0.34 against 0.74 and that of GLM PCPS1 with Procrustes 0.21 against 0.69, and the type I error of GLM PCPS2 with Procrustes was 0.002–0.003 in S2 and S2σ.</w:t>
      </w:r>
    </w:p>
    <w:bookmarkEnd w:id="32"/>
    <w:bookmarkStart w:id="33" w:name="prior-sensitivity"/>
    <w:p>
      <w:pPr>
        <w:pStyle w:val="Heading2"/>
      </w:pPr>
      <w:r>
        <w:t xml:space="preserve">Prior sensitivity</w:t>
      </w:r>
    </w:p>
    <w:p>
      <w:pPr>
        <w:pStyle w:val="FirstParagraph"/>
      </w:pPr>
      <w:r>
        <w:t xml:space="preserve">We assessed the sensitivity of each formal model to its priors by power-scaling (R package priorsense; Kallioinen et al., 2024), which estimates, without refitting, how much the posterior changes when the prior or the likelihood is raised to a power. For the predicted rate of every condition, the median sensitivity to the prior was 0.005 (clade recovery), 0.008 (power, static), 0.009 (type I error, static), 0.014 (type I error, process-based) and 0.015 (power, process-based), and the proportion of conditions above the 0.05 threshold of priorsense was 0.2%, 1.7%, 2.7%, 2.2% and 5.2%, respectively. In the process-based simulations, these were mostly conditions with rates close to zero (median raw rate 0.01 under the null hypothesis and 0.08 under the alternative). Individual coefficients were more often flagged (5–41% across models), as expected for models with many weakly identified interactions, but the quantities reported are the predicted rates and their contrasts (files prior_sensitivity.csv and prior_sensitivity_rates.csv of the code archive).</w:t>
      </w:r>
    </w:p>
    <w:p>
      <w:pPr>
        <w:pStyle w:val="BodyText"/>
      </w:pPr>
      <w:r>
        <w:t xml:space="preserve">Prior predictive simulations (each model refitted with sample_prior =</w:t>
      </w:r>
      <w:r>
        <w:t xml:space="preserve"> </w:t>
      </w:r>
      <w:r>
        <w:t xml:space="preserve">“only”</w:t>
      </w:r>
      <w:r>
        <w:t xml:space="preserve">; file prior_predictive.csv) showed that the priors centre the predicted rates on 0.05 for the type I models and on 0.5 for the others, but are diffuse on the rate scale: across conditions, 36% of the prior predictive rates of the type I models fell below 0.01 and 6% above 0.99, and 16% fell below 0.01 and 16% above 0.99 in the other models, because each rate sums many coefficients. Since the posterior rates were insensitive to the priors, this diffuseness seems not to affect the results.</w:t>
      </w:r>
    </w:p>
    <w:bookmarkEnd w:id="33"/>
    <w:bookmarkStart w:id="34" w:name="Xce470afef2c91288a445ed692e3e1d99384c29b"/>
    <w:p>
      <w:pPr>
        <w:pStyle w:val="Heading2"/>
      </w:pPr>
      <w:r>
        <w:t xml:space="preserve">Tree shape of the pool and of the analysed tree in the process-based simulations</w:t>
      </w:r>
    </w:p>
    <w:p>
      <w:pPr>
        <w:pStyle w:val="FirstParagraph"/>
      </w:pPr>
      <w:r>
        <w:t xml:space="preserve">Without competition, the analysed tree kept the shape of the pool tree. Phylogenetic competition pruned close relatives and changed it: at N = 100 in Yule pool trees, the median γ of the analysed tree was −3.6 under mass effects with competition and −1.6 under species sorting with competition, against about zero without competition, and in highly imbalanced pools (Colless index 2.7) the median Colless index of the analysed tree was 0.8 under mass effects with competition and 1.8 under species sorting with competition. In low-γ pools, competition made γ more negative by 0.3–0.8 (file layerB_tree_shape.csv of the code archive).</w:t>
      </w:r>
    </w:p>
    <w:bookmarkEnd w:id="34"/>
    <w:bookmarkStart w:id="35" w:name="arch-effect-of-the-second-pcps-axis"/>
    <w:p>
      <w:pPr>
        <w:pStyle w:val="Heading2"/>
      </w:pPr>
      <w:r>
        <w:t xml:space="preserve">Arch effect of the second PCPS axis</w:t>
      </w:r>
    </w:p>
    <w:p>
      <w:pPr>
        <w:pStyle w:val="FirstParagraph"/>
      </w:pPr>
      <w:r>
        <w:t xml:space="preserve">In the diagnostic runs of S2 and S2σ (100 replicates per condition, two cells and N = 100 and 200; script 09_diag_s2sigma.R of the code archive), the second PCPS axis was strongly correlated with the square of the gradient in low-γ trees (median |r| = 0.84–0.86 in S2 and 0.73–0.80 in S2σ), and less so in Yule trees (0.40–0.55 and 0.21–0.31), whereas the first axis followed the gradient itself (median |r| = 0.39–0.91). The community-weighted mean of σ was also correlated with the square of the gradient (median |r| = 0.87–0.93), probably because species with broad niches occupy the middle of the gradient, and in S2σ with low γ the second axis was correlated with it (median |r| = 0.43–0.57). Thus, the second axis seems to be partly an arch of the first one, and in S2σ it also carries the phylogenetic pattern of niche breadth. In these runs, the taxa-shuffle rejection rate of the GLM on PCPS2 in S2σ with low γ was 0.16 (N = 100) and 0.30 (N = 200), and that of a GLM with a quadratic term of the gradient 0.03 and 0.10.</w:t>
      </w:r>
    </w:p>
    <w:bookmarkEnd w:id="35"/>
    <w:bookmarkStart w:id="36" w:name="equivalence-test-of-h1"/>
    <w:p>
      <w:pPr>
        <w:pStyle w:val="Heading2"/>
      </w:pPr>
      <w:r>
        <w:t xml:space="preserve">Equivalence test of H1</w:t>
      </w:r>
    </w:p>
    <w:p>
      <w:pPr>
        <w:pStyle w:val="FirstParagraph"/>
      </w:pPr>
      <w:r>
        <w:t xml:space="preserve">For every test, null scenario, N and data type, at Yule and at low γ, we computed the posterior probability that the type I error at high imbalance differed from that at Yule imbalance by less than 0.025, half the width of Bradley’s liberal interval (file h1_equivalence.csv of the code archive). This probability exceeded 0.95 in 297 of 300 conditions; the exceptions were GLM PCPS2 in S2σ at N = 200 (0.60 and 0.74 with low γ for incidence and abundance data, and 0.92 at Yule γ with incidence data), where the type I error was inflated.</w:t>
      </w:r>
    </w:p>
    <w:bookmarkEnd w:id="36"/>
    <w:bookmarkStart w:id="37" w:name="paired-contrasts-between-scenarios"/>
    <w:p>
      <w:pPr>
        <w:pStyle w:val="Heading2"/>
      </w:pPr>
      <w:r>
        <w:t xml:space="preserve">Paired contrasts between scenarios</w:t>
      </w:r>
    </w:p>
    <w:p>
      <w:pPr>
        <w:pStyle w:val="FirstParagraph"/>
      </w:pPr>
      <w:r>
        <w:t xml:space="preserve">Since replicate r of every scenario used tree r of its cell, the contrasts between scenarios can be computed replicate by replicate. For S2σ and S2h against S2, the paired Monte Carlo standard error of the difference in rejection rate was almost identical to the unpaired one (median ratio 0.998–1.007 across tests), and the number of contrasts whose 95% Monte Carlo interval excluded zero changed by at most one of 54 per test (file paired_contrasts.csv). Hence, given the tree, rejections were almost independent among scenarios, and ignoring the pairing in the formal models seems to cost no precision.</w:t>
      </w:r>
    </w:p>
    <w:bookmarkEnd w:id="37"/>
    <w:bookmarkStart w:id="38" w:name="clade-age-and-clade-recovery"/>
    <w:p>
      <w:pPr>
        <w:pStyle w:val="Heading2"/>
      </w:pPr>
      <w:r>
        <w:t xml:space="preserve">Clade age and clade recovery</w:t>
      </w:r>
    </w:p>
    <w:p>
      <w:pPr>
        <w:pStyle w:val="FirstParagraph"/>
      </w:pPr>
      <w:r>
        <w:t xml:space="preserve">The relative age of the stem node of the planted clade was recorded in every replicate. Because relative age is tied to the depth class of the planted node (basal or recent), we compared tertiles of relative age within each depth class and level of γ, and fitted binomial GLMs of hit on standardized relative age, γ level, their interaction and depth class (shift 2, incidence data, N = 100; files clade_age.csv and clade_age_glm.csv). Within each depth class and level of γ, older clades were recovered more often by PCPS (e.g. basal clades, from 0.08 in the youngest to 0.34 in the oldest tertile in Yule trees and from 0.42 to 0.69 with low γ), evoPCA (from 0.59–0.75 to 0.71–0.85) and phylofactorization (from 0.60–0.77 to 0.69–0.82), whereas the PCC showed no consistent trend. In the GLMs, the effect of relative age at Yule γ was positive for every method after accounting for depth class (PCPS 1.55 ± 0.07 on the logit scale per standard deviation, PCC 0.96 ± 0.06, evoPCA 0.35 ± 0.05, phylofactorization 0.27 ± 0.05), and stronger with low γ except for the PCC (interaction −1.77 ± 0.11). Thus, the advantage of older clades is not only a consequence of γ or of the depth class, although the three act together.</w:t>
      </w:r>
    </w:p>
    <w:bookmarkEnd w:id="38"/>
    <w:bookmarkStart w:id="39" w:name="lack-of-fit-of-the-mean-structure"/>
    <w:p>
      <w:pPr>
        <w:pStyle w:val="Heading2"/>
      </w:pPr>
      <w:r>
        <w:t xml:space="preserve">Lack of fit of the mean structure</w:t>
      </w:r>
    </w:p>
    <w:p>
      <w:pPr>
        <w:pStyle w:val="FirstParagraph"/>
      </w:pPr>
      <w:r>
        <w:t xml:space="preserve">Each aggregated row is one condition, so the data hold no information on variation among replicates beyond the binomial, and the extra-binomial dispersion of the quasibinomial models (Pearson χ² / df = 2.1–8.5; P &lt; 10</w:t>
      </w:r>
      <w:r>
        <w:rPr>
          <w:vertAlign w:val="superscript"/>
        </w:rPr>
        <w:t xml:space="preserve">−88</w:t>
      </w:r>
      <w:r>
        <w:t xml:space="preserve"> </w:t>
      </w:r>
      <w:r>
        <w:t xml:space="preserve">in every model; file mean_structure.csv) measures the lack of fit of the fixed structure, which the beta-binomial precision φ absorbs. To check whether this lack of fit biases the predicted rates, we refitted every model with a binomial likelihood, the same fixed structure and a random intercept per condition, which captures any departure of a condition from the fixed structure (prior exponential(2) on its standard deviation; four chains of 2,000 iterations; script 35_mean_structure.R). The standard deviation of the condition effects was 0.16–0.28 on the logit scale. The predicted rates of these models agreed with those of the beta-binomial models (median absolute difference 0.002–0.014 across models, maximum 0.025–0.117, correlation 0.972–0.999). Convergence was acceptable but weaker than in the main models (R̂ ≤ 1.021, bulk effective sample size ≥ 376), and 13% of the transitions of the power model of the static simulations reached the maximum tree depth, so we used these models only as a check.</w:t>
      </w:r>
    </w:p>
    <w:bookmarkEnd w:id="39"/>
    <w:bookmarkStart w:id="40" w:name="X8abe1d067863d2819ddad84b882d8d41fd5a1f1"/>
    <w:p>
      <w:pPr>
        <w:pStyle w:val="Heading2"/>
      </w:pPr>
      <w:r>
        <w:t xml:space="preserve">Power with optima of fixed marginal distribution</w:t>
      </w:r>
    </w:p>
    <w:p>
      <w:pPr>
        <w:pStyle w:val="FirstParagraph"/>
      </w:pPr>
      <w:r>
        <w:t xml:space="preserve">With the optima given the same evenly spaced distribution in every tree, the effect of γ on power was the same as in the main run (file optima_uniform_loss.csv). At N = 100 in S3b with incidence data, low γ reduced the raw power of GLM PCPS1 from 0.77 to 0.24 (main run, 0.79 to 0.37), that of the GLM with Procrustes from 0.72 to 0.16, that of the PCC from 0.99 to 0.80 (main run, 0.99 to 0.72) and that of the RDA PCPS from 0.73 to 0.64, whereas the power of PERMANOVA did not decrease (0.81 and 0.90). Across N and power scenarios with incidence data, the loss with low γ was −0.58 to −0.30 for GLM PCPS1, −0.41 to −0.01 for the PCC, −0.24 to +0.03 for the RDA PCPS and −0.14 to +0.12 for PERMANOVA. Hence, the effect of γ on power seems to arise from how the tree enters the analysis, not from the distribution of the optima along the gradient.</w:t>
      </w:r>
    </w:p>
    <w:bookmarkEnd w:id="40"/>
    <w:bookmarkStart w:id="41" w:name="X4f8c845581ce9a85ad0f0f12651c2828c2258f2"/>
    <w:p>
      <w:pPr>
        <w:pStyle w:val="Heading2"/>
      </w:pPr>
      <w:r>
        <w:t xml:space="preserve">Type I error in the process-based simulations</w:t>
      </w:r>
    </w:p>
    <w:p>
      <w:pPr>
        <w:pStyle w:val="FirstParagraph"/>
      </w:pPr>
      <w:r>
        <w:t xml:space="preserve">Under the null hypothesis, no lower CI bound exceeded 0.075 at N = 100 (largest posterior median 0.088). However, raw rejection rates exceeded that limit for GLM PCPS2 in S2σ under species sorting (0.094 at N = 100 and 0.104–0.129 at N = 200 in the low- and mid-γ cells) and for the PCC in S2h (0.085–0.089 at N = 100; 0.111 under species sorting and 0.116–0.143 under mass effects at N = 200).</w:t>
      </w:r>
    </w:p>
    <w:bookmarkEnd w:id="41"/>
    <w:bookmarkStart w:id="42" w:name="clade-recovery-with-abundance-data"/>
    <w:p>
      <w:pPr>
        <w:pStyle w:val="Heading2"/>
      </w:pPr>
      <w:r>
        <w:t xml:space="preserve">Clade recovery with abundance data</w:t>
      </w:r>
    </w:p>
    <w:p>
      <w:pPr>
        <w:pStyle w:val="FirstParagraph"/>
      </w:pPr>
      <w:r>
        <w:t xml:space="preserve">With abundance data, recovery was lower for the compositional phylofactorization (0.68 and 0.56 for basal and recent clades at N = 100) than for evoPCA (0.78 and 0.65), and PCPS gained 0.29 (95% CI 0.25–0.33) and 0.23 (0.21–0.25) with low γ.</w:t>
      </w:r>
    </w:p>
    <w:bookmarkEnd w:id="42"/>
    <w:bookmarkStart w:id="43" w:name="convergence-and-fit-of-the-formal-models"/>
    <w:p>
      <w:pPr>
        <w:pStyle w:val="Heading2"/>
      </w:pPr>
      <w:r>
        <w:t xml:space="preserve">Convergence and fit of the formal models</w:t>
      </w:r>
    </w:p>
    <w:p>
      <w:pPr>
        <w:pStyle w:val="FirstParagraph"/>
      </w:pPr>
      <w:r>
        <w:t xml:space="preserve">All models converged, with</w:t>
      </w:r>
      <w:r>
        <w:t xml:space="preserve"> </w:t>
      </w:r>
      <m:oMath>
        <m:acc>
          <m:accPr>
            <m:chr m:val="̂"/>
          </m:accPr>
          <m:e>
            <m:r>
              <m:t>R</m:t>
            </m:r>
          </m:e>
        </m:acc>
      </m:oMath>
      <w:r>
        <w:t xml:space="preserve"> </w:t>
      </w:r>
      <w:r>
        <w:t xml:space="preserve">≤ 1.01, bulk effective sample size ≥ 908 and tail effective sample size ≥ 1,477, no divergent transitions and no transition at the maximum tree depth (Table S3). The in-sample 95% posterior predictive intervals contained 96–98% of the observed rates of each condition and the 50% intervals 61–70%, so the predictive intervals are slightly wider than needed; when we summed the conditions of each test, N and cell, every group fell within its 95% interval.</w:t>
      </w:r>
    </w:p>
    <w:bookmarkEnd w:id="43"/>
    <w:bookmarkEnd w:id="44"/>
    <w:bookmarkStart w:id="50" w:name="Xe229b3875b755fa040ccee6a6defa38ba6f6b70"/>
    <w:p>
      <w:pPr>
        <w:pStyle w:val="Heading1"/>
      </w:pPr>
      <w:r>
        <w:t xml:space="preserve">Appendix S3. Real pools and real metacommunities</w:t>
      </w:r>
    </w:p>
    <w:bookmarkStart w:id="45" w:name="methods"/>
    <w:p>
      <w:pPr>
        <w:pStyle w:val="Heading2"/>
      </w:pPr>
      <w:r>
        <w:t xml:space="preserve">Methods</w:t>
      </w:r>
    </w:p>
    <w:p>
      <w:pPr>
        <w:pStyle w:val="FirstParagraph"/>
      </w:pPr>
      <w:r>
        <w:t xml:space="preserve">To show where real regional species pools fall in the grid of tree shapes, and how the methods behave with real data, we used 14 tadpole metacommunities compiled from the literature and from unpublished data.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45"/>
    <w:bookmarkStart w:id="49" w:name="results"/>
    <w:p>
      <w:pPr>
        <w:pStyle w:val="Heading2"/>
      </w:pPr>
      <w:r>
        <w:t xml:space="preserve">Results</w:t>
      </w:r>
    </w:p>
    <w:p>
      <w:pPr>
        <w:pStyle w:val="FirstParagraph"/>
      </w:pPr>
      <w:r>
        <w:t xml:space="preserve">The three regional pools of anurans fell inside the grid of tree shapes (Fig. S1).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p>
      <w:pPr>
        <w:pStyle w:val="BodyText"/>
      </w:pPr>
      <w:r>
        <w:drawing>
          <wp:inline>
            <wp:extent cx="4890135" cy="3261010"/>
            <wp:effectExtent b="0" l="0" r="0" t="0"/>
            <wp:docPr descr="" title="" id="47" name="Picture"/>
            <a:graphic>
              <a:graphicData uri="http://schemas.openxmlformats.org/drawingml/2006/picture">
                <pic:pic>
                  <pic:nvPicPr>
                    <pic:cNvPr descr="figures/box1_pools.png" id="48" name="Picture"/>
                    <pic:cNvPicPr>
                      <a:picLocks noChangeArrowheads="1" noChangeAspect="1"/>
                    </pic:cNvPicPr>
                  </pic:nvPicPr>
                  <pic:blipFill>
                    <a:blip r:embed="rId46"/>
                    <a:stretch>
                      <a:fillRect/>
                    </a:stretch>
                  </pic:blipFill>
                  <pic:spPr bwMode="auto">
                    <a:xfrm>
                      <a:off x="0" y="0"/>
                      <a:ext cx="4890135" cy="3261010"/>
                    </a:xfrm>
                    <a:prstGeom prst="rect">
                      <a:avLst/>
                    </a:prstGeom>
                    <a:noFill/>
                    <a:ln w="9525">
                      <a:noFill/>
                      <a:headEnd/>
                      <a:tailEnd/>
                    </a:ln>
                  </pic:spPr>
                </pic:pic>
              </a:graphicData>
            </a:graphic>
          </wp:inline>
        </w:drawing>
      </w:r>
    </w:p>
    <w:p>
      <w:pPr>
        <w:pStyle w:val="BodyText"/>
      </w:pPr>
      <w:r>
        <w:t xml:space="preserve">Fig. S1.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49"/>
    <w:bookmarkEnd w:id="50"/>
    <w:bookmarkStart w:id="52" w:name="table-s1"/>
    <w:p>
      <w:pPr>
        <w:pStyle w:val="Heading1"/>
      </w:pPr>
      <w:r>
        <w:t xml:space="preserve">Table S1</w:t>
      </w:r>
    </w:p>
    <w:p>
      <w:pPr>
        <w:pStyle w:val="FirstParagraph"/>
      </w:pPr>
      <w:r>
        <w:t xml:space="preserve">Targets of the tree-shape grid for each pool size N. Levels of γ are zero (Yule), the median and the 10% quantile of the anuran clades with 40–250 tips of Portik et al. (2023); levels of the Colless index (normalized against its Yule expectation) are zero, the median and the 90% quantile.</w:t>
      </w:r>
      <w:r>
        <w:t xml:space="preserve"> </w:t>
      </w:r>
      <m:oMath>
        <m:r>
          <m:t>c</m:t>
        </m:r>
      </m:oMath>
      <w:r>
        <w:t xml:space="preserve"> </w:t>
      </w:r>
      <w:r>
        <w:t xml:space="preserve">and β are the calibrated parameters of the generator, and acceptance is the proportion of simulated trees that fell within 0.5 units of both targets.</w:t>
      </w:r>
    </w:p>
    <w:tbl>
      <w:tblPr>
        <w:tblStyle w:val="Table"/>
        <w:tblW w:type="pct" w:w="5000"/>
        <w:tblLayout w:type="fixed"/>
        <w:tblLook w:firstRow="0" w:lastRow="0" w:firstColumn="0" w:lastColumn="0" w:noHBand="0" w:noVBand="0" w:val="0000"/>
      </w:tblPr>
      <w:tblGrid>
        <w:gridCol w:w="7920"/>
      </w:tblGrid>
      <w:tr>
        <w:tc>
          <w:tcPr/>
          <w:bookmarkStart w:id="51" w:name="tbl-s1"/>
          <w:p>
            <w:pPr>
              <w:jc w:val="center"/>
            </w:pPr>
            <w:pPr>
              <w:jc w:val="left"/>
              <w:spacing w:before="200"/>
              <w:pStyle w:val="ImageCaption"/>
            </w:pPr>
            <w:r>
              <w:t xml:space="preserve">Table 1</w:t>
            </w:r>
          </w:p>
          <w:tbl>
            <w:tblPr>
              <w:tblStyle w:val="Table"/>
              <w:tblW w:type="pct" w:w="5000"/>
              <w:tblLayout w:type="fixed"/>
              <w:tblLook w:firstRow="1" w:lastRow="0" w:firstColumn="0" w:lastColumn="0" w:noHBand="0" w:noVBand="0" w:val="0020"/>
            </w:tblPr>
            <w:tblGrid>
              <w:gridCol w:w="396"/>
              <w:gridCol w:w="1287"/>
              <w:gridCol w:w="1386"/>
              <w:gridCol w:w="891"/>
              <w:gridCol w:w="1485"/>
              <w:gridCol w:w="693"/>
              <w:gridCol w:w="693"/>
              <w:gridCol w:w="1089"/>
            </w:tblGrid>
            <w:tr>
              <w:trPr>
                <w:tblHeader w:val="on"/>
              </w:trPr>
              <w:tc>
                <w:tcPr/>
                <w:p>
                  <w:pPr>
                    <w:pStyle w:val="Compact"/>
                    <w:jc w:val="right"/>
                    <w:jc w:val="center"/>
                  </w:pPr>
                  <w:r>
                    <w:t xml:space="preserve">N</w:t>
                  </w:r>
                </w:p>
              </w:tc>
              <w:tc>
                <w:tcPr/>
                <w:p>
                  <w:pPr>
                    <w:pStyle w:val="Compact"/>
                    <w:jc w:val="left"/>
                    <w:jc w:val="center"/>
                  </w:pPr>
                  <w:r>
                    <w:t xml:space="preserve">γ level</w:t>
                  </w:r>
                </w:p>
              </w:tc>
              <w:tc>
                <w:tcPr/>
                <w:p>
                  <w:pPr>
                    <w:pStyle w:val="Compact"/>
                    <w:jc w:val="left"/>
                    <w:jc w:val="center"/>
                  </w:pPr>
                  <w:r>
                    <w:t xml:space="preserve">Colless level</w:t>
                  </w:r>
                </w:p>
              </w:tc>
              <w:tc>
                <w:tcPr/>
                <w:p>
                  <w:pPr>
                    <w:pStyle w:val="Compact"/>
                    <w:jc w:val="right"/>
                    <w:jc w:val="center"/>
                  </w:pPr>
                  <w:r>
                    <w:t xml:space="preserve">γ target</w:t>
                  </w:r>
                </w:p>
              </w:tc>
              <w:tc>
                <w:tcPr/>
                <w:p>
                  <w:pPr>
                    <w:pStyle w:val="Compact"/>
                    <w:jc w:val="right"/>
                    <w:jc w:val="center"/>
                  </w:pPr>
                  <w:r>
                    <w:t xml:space="preserve">Colless target</w:t>
                  </w:r>
                </w:p>
              </w:tc>
              <w:tc>
                <w:tcPr/>
                <w:p>
                  <w:pPr>
                    <w:pStyle w:val="Compact"/>
                    <w:jc w:val="right"/>
                    <w:jc w:val="center"/>
                  </w:pPr>
                  <w:r>
                    <w:t xml:space="preserve">c</w:t>
                  </w:r>
                </w:p>
              </w:tc>
              <w:tc>
                <w:tcPr/>
                <w:p>
                  <w:pPr>
                    <w:pStyle w:val="Compact"/>
                    <w:jc w:val="right"/>
                    <w:jc w:val="center"/>
                  </w:pPr>
                  <w:r>
                    <w:t xml:space="preserve">β</w:t>
                  </w:r>
                </w:p>
              </w:tc>
              <w:tc>
                <w:tcPr/>
                <w:p>
                  <w:pPr>
                    <w:pStyle w:val="Compact"/>
                    <w:jc w:val="right"/>
                    <w:jc w:val="center"/>
                  </w:pPr>
                  <w:r>
                    <w:t xml:space="preserve">Acceptance</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-5.58</w:t>
                  </w:r>
                </w:p>
              </w:tc>
              <w:tc>
                <w:tcPr/>
                <w:p>
                  <w:pPr>
                    <w:pStyle w:val="Compact"/>
                    <w:jc w:val="right"/>
                    <w:jc w:val="center"/>
                  </w:pPr>
                  <w:r>
                    <w:t xml:space="preserve">2.39</w:t>
                  </w:r>
                </w:p>
              </w:tc>
              <w:tc>
                <w:tcPr/>
                <w:p>
                  <w:pPr>
                    <w:pStyle w:val="Compact"/>
                    <w:jc w:val="right"/>
                    <w:jc w:val="center"/>
                  </w:pPr>
                  <w:r>
                    <w:t xml:space="preserve">-1.797</w:t>
                  </w:r>
                </w:p>
              </w:tc>
              <w:tc>
                <w:tcPr/>
                <w:p>
                  <w:pPr>
                    <w:pStyle w:val="Compact"/>
                    <w:jc w:val="right"/>
                    <w:jc w:val="center"/>
                  </w:pPr>
                  <w:r>
                    <w:t xml:space="preserve">-1.096</w:t>
                  </w:r>
                </w:p>
              </w:tc>
              <w:tc>
                <w:tcPr/>
                <w:p>
                  <w:pPr>
                    <w:pStyle w:val="Compact"/>
                    <w:jc w:val="right"/>
                    <w:jc w:val="center"/>
                  </w:pPr>
                  <w:r>
                    <w:t xml:space="preserve">0.127</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-5.58</w:t>
                  </w:r>
                </w:p>
              </w:tc>
              <w:tc>
                <w:tcPr/>
                <w:p>
                  <w:pPr>
                    <w:pStyle w:val="Compact"/>
                    <w:jc w:val="right"/>
                    <w:jc w:val="center"/>
                  </w:pPr>
                  <w:r>
                    <w:t xml:space="preserve">0.94</w:t>
                  </w:r>
                </w:p>
              </w:tc>
              <w:tc>
                <w:tcPr/>
                <w:p>
                  <w:pPr>
                    <w:pStyle w:val="Compact"/>
                    <w:jc w:val="right"/>
                    <w:jc w:val="center"/>
                  </w:pPr>
                  <w:r>
                    <w:t xml:space="preserve">-1.797</w:t>
                  </w:r>
                </w:p>
              </w:tc>
              <w:tc>
                <w:tcPr/>
                <w:p>
                  <w:pPr>
                    <w:pStyle w:val="Compact"/>
                    <w:jc w:val="right"/>
                    <w:jc w:val="center"/>
                  </w:pPr>
                  <w:r>
                    <w:t xml:space="preserve">-0.660</w:t>
                  </w:r>
                </w:p>
              </w:tc>
              <w:tc>
                <w:tcPr/>
                <w:p>
                  <w:pPr>
                    <w:pStyle w:val="Compact"/>
                    <w:jc w:val="right"/>
                    <w:jc w:val="center"/>
                  </w:pPr>
                  <w:r>
                    <w:t xml:space="preserve">0.172</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-5.58</w:t>
                  </w:r>
                </w:p>
              </w:tc>
              <w:tc>
                <w:tcPr/>
                <w:p>
                  <w:pPr>
                    <w:pStyle w:val="Compact"/>
                    <w:jc w:val="right"/>
                    <w:jc w:val="center"/>
                  </w:pPr>
                  <w:r>
                    <w:t xml:space="preserve">0.00</w:t>
                  </w:r>
                </w:p>
              </w:tc>
              <w:tc>
                <w:tcPr/>
                <w:p>
                  <w:pPr>
                    <w:pStyle w:val="Compact"/>
                    <w:jc w:val="right"/>
                    <w:jc w:val="center"/>
                  </w:pPr>
                  <w:r>
                    <w:t xml:space="preserve">-1.797</w:t>
                  </w:r>
                </w:p>
              </w:tc>
              <w:tc>
                <w:tcPr/>
                <w:p>
                  <w:pPr>
                    <w:pStyle w:val="Compact"/>
                    <w:jc w:val="right"/>
                    <w:jc w:val="center"/>
                  </w:pPr>
                  <w:r>
                    <w:t xml:space="preserve">0.000</w:t>
                  </w:r>
                </w:p>
              </w:tc>
              <w:tc>
                <w:tcPr/>
                <w:p>
                  <w:pPr>
                    <w:pStyle w:val="Compact"/>
                    <w:jc w:val="right"/>
                    <w:jc w:val="center"/>
                  </w:pPr>
                  <w:r>
                    <w:t xml:space="preserve">0.246</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-3.79</w:t>
                  </w:r>
                </w:p>
              </w:tc>
              <w:tc>
                <w:tcPr/>
                <w:p>
                  <w:pPr>
                    <w:pStyle w:val="Compact"/>
                    <w:jc w:val="right"/>
                    <w:jc w:val="center"/>
                  </w:pPr>
                  <w:r>
                    <w:t xml:space="preserve">2.39</w:t>
                  </w:r>
                </w:p>
              </w:tc>
              <w:tc>
                <w:tcPr/>
                <w:p>
                  <w:pPr>
                    <w:pStyle w:val="Compact"/>
                    <w:jc w:val="right"/>
                    <w:jc w:val="center"/>
                  </w:pPr>
                  <w:r>
                    <w:t xml:space="preserve">-0.994</w:t>
                  </w:r>
                </w:p>
              </w:tc>
              <w:tc>
                <w:tcPr/>
                <w:p>
                  <w:pPr>
                    <w:pStyle w:val="Compact"/>
                    <w:jc w:val="right"/>
                    <w:jc w:val="center"/>
                  </w:pPr>
                  <w:r>
                    <w:t xml:space="preserve">-1.096</w:t>
                  </w:r>
                </w:p>
              </w:tc>
              <w:tc>
                <w:tcPr/>
                <w:p>
                  <w:pPr>
                    <w:pStyle w:val="Compact"/>
                    <w:jc w:val="right"/>
                    <w:jc w:val="center"/>
                  </w:pPr>
                  <w:r>
                    <w:t xml:space="preserve">0.123</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-3.79</w:t>
                  </w:r>
                </w:p>
              </w:tc>
              <w:tc>
                <w:tcPr/>
                <w:p>
                  <w:pPr>
                    <w:pStyle w:val="Compact"/>
                    <w:jc w:val="right"/>
                    <w:jc w:val="center"/>
                  </w:pPr>
                  <w:r>
                    <w:t xml:space="preserve">0.94</w:t>
                  </w:r>
                </w:p>
              </w:tc>
              <w:tc>
                <w:tcPr/>
                <w:p>
                  <w:pPr>
                    <w:pStyle w:val="Compact"/>
                    <w:jc w:val="right"/>
                    <w:jc w:val="center"/>
                  </w:pPr>
                  <w:r>
                    <w:t xml:space="preserve">-0.994</w:t>
                  </w:r>
                </w:p>
              </w:tc>
              <w:tc>
                <w:tcPr/>
                <w:p>
                  <w:pPr>
                    <w:pStyle w:val="Compact"/>
                    <w:jc w:val="right"/>
                    <w:jc w:val="center"/>
                  </w:pPr>
                  <w:r>
                    <w:t xml:space="preserve">-0.660</w:t>
                  </w:r>
                </w:p>
              </w:tc>
              <w:tc>
                <w:tcPr/>
                <w:p>
                  <w:pPr>
                    <w:pStyle w:val="Compact"/>
                    <w:jc w:val="right"/>
                    <w:jc w:val="center"/>
                  </w:pPr>
                  <w:r>
                    <w:t xml:space="preserve">0.185</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-3.79</w:t>
                  </w:r>
                </w:p>
              </w:tc>
              <w:tc>
                <w:tcPr/>
                <w:p>
                  <w:pPr>
                    <w:pStyle w:val="Compact"/>
                    <w:jc w:val="right"/>
                    <w:jc w:val="center"/>
                  </w:pPr>
                  <w:r>
                    <w:t xml:space="preserve">0.00</w:t>
                  </w:r>
                </w:p>
              </w:tc>
              <w:tc>
                <w:tcPr/>
                <w:p>
                  <w:pPr>
                    <w:pStyle w:val="Compact"/>
                    <w:jc w:val="right"/>
                    <w:jc w:val="center"/>
                  </w:pPr>
                  <w:r>
                    <w:t xml:space="preserve">-0.994</w:t>
                  </w:r>
                </w:p>
              </w:tc>
              <w:tc>
                <w:tcPr/>
                <w:p>
                  <w:pPr>
                    <w:pStyle w:val="Compact"/>
                    <w:jc w:val="right"/>
                    <w:jc w:val="center"/>
                  </w:pPr>
                  <w:r>
                    <w:t xml:space="preserve">0.000</w:t>
                  </w:r>
                </w:p>
              </w:tc>
              <w:tc>
                <w:tcPr/>
                <w:p>
                  <w:pPr>
                    <w:pStyle w:val="Compact"/>
                    <w:jc w:val="right"/>
                    <w:jc w:val="center"/>
                  </w:pPr>
                  <w:r>
                    <w:t xml:space="preserve">0.249</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2.39</w:t>
                  </w:r>
                </w:p>
              </w:tc>
              <w:tc>
                <w:tcPr/>
                <w:p>
                  <w:pPr>
                    <w:pStyle w:val="Compact"/>
                    <w:jc w:val="right"/>
                    <w:jc w:val="center"/>
                  </w:pPr>
                  <w:r>
                    <w:t xml:space="preserve">0.000</w:t>
                  </w:r>
                </w:p>
              </w:tc>
              <w:tc>
                <w:tcPr/>
                <w:p>
                  <w:pPr>
                    <w:pStyle w:val="Compact"/>
                    <w:jc w:val="right"/>
                    <w:jc w:val="center"/>
                  </w:pPr>
                  <w:r>
                    <w:t xml:space="preserve">-1.096</w:t>
                  </w:r>
                </w:p>
              </w:tc>
              <w:tc>
                <w:tcPr/>
                <w:p>
                  <w:pPr>
                    <w:pStyle w:val="Compact"/>
                    <w:jc w:val="right"/>
                    <w:jc w:val="center"/>
                  </w:pPr>
                  <w:r>
                    <w:t xml:space="preserve">0.097</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0.94</w:t>
                  </w:r>
                </w:p>
              </w:tc>
              <w:tc>
                <w:tcPr/>
                <w:p>
                  <w:pPr>
                    <w:pStyle w:val="Compact"/>
                    <w:jc w:val="right"/>
                    <w:jc w:val="center"/>
                  </w:pPr>
                  <w:r>
                    <w:t xml:space="preserve">0.000</w:t>
                  </w:r>
                </w:p>
              </w:tc>
              <w:tc>
                <w:tcPr/>
                <w:p>
                  <w:pPr>
                    <w:pStyle w:val="Compact"/>
                    <w:jc w:val="right"/>
                    <w:jc w:val="center"/>
                  </w:pPr>
                  <w:r>
                    <w:t xml:space="preserve">-0.660</w:t>
                  </w:r>
                </w:p>
              </w:tc>
              <w:tc>
                <w:tcPr/>
                <w:p>
                  <w:pPr>
                    <w:pStyle w:val="Compact"/>
                    <w:jc w:val="right"/>
                    <w:jc w:val="center"/>
                  </w:pPr>
                  <w:r>
                    <w:t xml:space="preserve">0.156</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0.214</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-6.54</w:t>
                  </w:r>
                </w:p>
              </w:tc>
              <w:tc>
                <w:tcPr/>
                <w:p>
                  <w:pPr>
                    <w:pStyle w:val="Compact"/>
                    <w:jc w:val="right"/>
                    <w:jc w:val="center"/>
                  </w:pPr>
                  <w:r>
                    <w:t xml:space="preserve">2.74</w:t>
                  </w:r>
                </w:p>
              </w:tc>
              <w:tc>
                <w:tcPr/>
                <w:p>
                  <w:pPr>
                    <w:pStyle w:val="Compact"/>
                    <w:jc w:val="right"/>
                    <w:jc w:val="center"/>
                  </w:pPr>
                  <w:r>
                    <w:t xml:space="preserve">-1.282</w:t>
                  </w:r>
                </w:p>
              </w:tc>
              <w:tc>
                <w:tcPr/>
                <w:p>
                  <w:pPr>
                    <w:pStyle w:val="Compact"/>
                    <w:jc w:val="right"/>
                    <w:jc w:val="center"/>
                  </w:pPr>
                  <w:r>
                    <w:t xml:space="preserve">-0.945</w:t>
                  </w:r>
                </w:p>
              </w:tc>
              <w:tc>
                <w:tcPr/>
                <w:p>
                  <w:pPr>
                    <w:pStyle w:val="Compact"/>
                    <w:jc w:val="right"/>
                    <w:jc w:val="center"/>
                  </w:pPr>
                  <w:r>
                    <w:t xml:space="preserve">0.111</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-6.54</w:t>
                  </w:r>
                </w:p>
              </w:tc>
              <w:tc>
                <w:tcPr/>
                <w:p>
                  <w:pPr>
                    <w:pStyle w:val="Compact"/>
                    <w:jc w:val="right"/>
                    <w:jc w:val="center"/>
                  </w:pPr>
                  <w:r>
                    <w:t xml:space="preserve">1.31</w:t>
                  </w:r>
                </w:p>
              </w:tc>
              <w:tc>
                <w:tcPr/>
                <w:p>
                  <w:pPr>
                    <w:pStyle w:val="Compact"/>
                    <w:jc w:val="right"/>
                    <w:jc w:val="center"/>
                  </w:pPr>
                  <w:r>
                    <w:t xml:space="preserve">-1.282</w:t>
                  </w:r>
                </w:p>
              </w:tc>
              <w:tc>
                <w:tcPr/>
                <w:p>
                  <w:pPr>
                    <w:pStyle w:val="Compact"/>
                    <w:jc w:val="right"/>
                    <w:jc w:val="center"/>
                  </w:pPr>
                  <w:r>
                    <w:t xml:space="preserve">-0.649</w:t>
                  </w:r>
                </w:p>
              </w:tc>
              <w:tc>
                <w:tcPr/>
                <w:p>
                  <w:pPr>
                    <w:pStyle w:val="Compact"/>
                    <w:jc w:val="right"/>
                    <w:jc w:val="center"/>
                  </w:pPr>
                  <w:r>
                    <w:t xml:space="preserve">0.137</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-6.54</w:t>
                  </w:r>
                </w:p>
              </w:tc>
              <w:tc>
                <w:tcPr/>
                <w:p>
                  <w:pPr>
                    <w:pStyle w:val="Compact"/>
                    <w:jc w:val="right"/>
                    <w:jc w:val="center"/>
                  </w:pPr>
                  <w:r>
                    <w:t xml:space="preserve">0.00</w:t>
                  </w:r>
                </w:p>
              </w:tc>
              <w:tc>
                <w:tcPr/>
                <w:p>
                  <w:pPr>
                    <w:pStyle w:val="Compact"/>
                    <w:jc w:val="right"/>
                    <w:jc w:val="center"/>
                  </w:pPr>
                  <w:r>
                    <w:t xml:space="preserve">-1.282</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-4.94</w:t>
                  </w:r>
                </w:p>
              </w:tc>
              <w:tc>
                <w:tcPr/>
                <w:p>
                  <w:pPr>
                    <w:pStyle w:val="Compact"/>
                    <w:jc w:val="right"/>
                    <w:jc w:val="center"/>
                  </w:pPr>
                  <w:r>
                    <w:t xml:space="preserve">2.74</w:t>
                  </w:r>
                </w:p>
              </w:tc>
              <w:tc>
                <w:tcPr/>
                <w:p>
                  <w:pPr>
                    <w:pStyle w:val="Compact"/>
                    <w:jc w:val="right"/>
                    <w:jc w:val="center"/>
                  </w:pPr>
                  <w:r>
                    <w:t xml:space="preserve">-0.854</w:t>
                  </w:r>
                </w:p>
              </w:tc>
              <w:tc>
                <w:tcPr/>
                <w:p>
                  <w:pPr>
                    <w:pStyle w:val="Compact"/>
                    <w:jc w:val="right"/>
                    <w:jc w:val="center"/>
                  </w:pPr>
                  <w:r>
                    <w:t xml:space="preserve">-0.945</w:t>
                  </w:r>
                </w:p>
              </w:tc>
              <w:tc>
                <w:tcPr/>
                <w:p>
                  <w:pPr>
                    <w:pStyle w:val="Compact"/>
                    <w:jc w:val="right"/>
                    <w:jc w:val="center"/>
                  </w:pPr>
                  <w:r>
                    <w:t xml:space="preserve">0.105</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-4.94</w:t>
                  </w:r>
                </w:p>
              </w:tc>
              <w:tc>
                <w:tcPr/>
                <w:p>
                  <w:pPr>
                    <w:pStyle w:val="Compact"/>
                    <w:jc w:val="right"/>
                    <w:jc w:val="center"/>
                  </w:pPr>
                  <w:r>
                    <w:t xml:space="preserve">1.31</w:t>
                  </w:r>
                </w:p>
              </w:tc>
              <w:tc>
                <w:tcPr/>
                <w:p>
                  <w:pPr>
                    <w:pStyle w:val="Compact"/>
                    <w:jc w:val="right"/>
                    <w:jc w:val="center"/>
                  </w:pPr>
                  <w:r>
                    <w:t xml:space="preserve">-0.854</w:t>
                  </w:r>
                </w:p>
              </w:tc>
              <w:tc>
                <w:tcPr/>
                <w:p>
                  <w:pPr>
                    <w:pStyle w:val="Compact"/>
                    <w:jc w:val="right"/>
                    <w:jc w:val="center"/>
                  </w:pPr>
                  <w:r>
                    <w:t xml:space="preserve">-0.649</w:t>
                  </w:r>
                </w:p>
              </w:tc>
              <w:tc>
                <w:tcPr/>
                <w:p>
                  <w:pPr>
                    <w:pStyle w:val="Compact"/>
                    <w:jc w:val="right"/>
                    <w:jc w:val="center"/>
                  </w:pPr>
                  <w:r>
                    <w:t xml:space="preserve">0.157</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-4.94</w:t>
                  </w:r>
                </w:p>
              </w:tc>
              <w:tc>
                <w:tcPr/>
                <w:p>
                  <w:pPr>
                    <w:pStyle w:val="Compact"/>
                    <w:jc w:val="right"/>
                    <w:jc w:val="center"/>
                  </w:pPr>
                  <w:r>
                    <w:t xml:space="preserve">0.00</w:t>
                  </w:r>
                </w:p>
              </w:tc>
              <w:tc>
                <w:tcPr/>
                <w:p>
                  <w:pPr>
                    <w:pStyle w:val="Compact"/>
                    <w:jc w:val="right"/>
                    <w:jc w:val="center"/>
                  </w:pPr>
                  <w:r>
                    <w:t xml:space="preserve">-0.854</w:t>
                  </w:r>
                </w:p>
              </w:tc>
              <w:tc>
                <w:tcPr/>
                <w:p>
                  <w:pPr>
                    <w:pStyle w:val="Compact"/>
                    <w:jc w:val="right"/>
                    <w:jc w:val="center"/>
                  </w:pPr>
                  <w:r>
                    <w:t xml:space="preserve">0.000</w:t>
                  </w:r>
                </w:p>
              </w:tc>
              <w:tc>
                <w:tcPr/>
                <w:p>
                  <w:pPr>
                    <w:pStyle w:val="Compact"/>
                    <w:jc w:val="right"/>
                    <w:jc w:val="center"/>
                  </w:pPr>
                  <w:r>
                    <w:t xml:space="preserve">0.206</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2.74</w:t>
                  </w:r>
                </w:p>
              </w:tc>
              <w:tc>
                <w:tcPr/>
                <w:p>
                  <w:pPr>
                    <w:pStyle w:val="Compact"/>
                    <w:jc w:val="right"/>
                    <w:jc w:val="center"/>
                  </w:pPr>
                  <w:r>
                    <w:t xml:space="preserve">0.000</w:t>
                  </w:r>
                </w:p>
              </w:tc>
              <w:tc>
                <w:tcPr/>
                <w:p>
                  <w:pPr>
                    <w:pStyle w:val="Compact"/>
                    <w:jc w:val="right"/>
                    <w:jc w:val="center"/>
                  </w:pPr>
                  <w:r>
                    <w:t xml:space="preserve">-0.945</w:t>
                  </w:r>
                </w:p>
              </w:tc>
              <w:tc>
                <w:tcPr/>
                <w:p>
                  <w:pPr>
                    <w:pStyle w:val="Compact"/>
                    <w:jc w:val="right"/>
                    <w:jc w:val="center"/>
                  </w:pPr>
                  <w:r>
                    <w:t xml:space="preserve">0.088</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1.31</w:t>
                  </w:r>
                </w:p>
              </w:tc>
              <w:tc>
                <w:tcPr/>
                <w:p>
                  <w:pPr>
                    <w:pStyle w:val="Compact"/>
                    <w:jc w:val="right"/>
                    <w:jc w:val="center"/>
                  </w:pPr>
                  <w:r>
                    <w:t xml:space="preserve">0.000</w:t>
                  </w:r>
                </w:p>
              </w:tc>
              <w:tc>
                <w:tcPr/>
                <w:p>
                  <w:pPr>
                    <w:pStyle w:val="Compact"/>
                    <w:jc w:val="right"/>
                    <w:jc w:val="center"/>
                  </w:pPr>
                  <w:r>
                    <w:t xml:space="preserve">-0.649</w:t>
                  </w:r>
                </w:p>
              </w:tc>
              <w:tc>
                <w:tcPr/>
                <w:p>
                  <w:pPr>
                    <w:pStyle w:val="Compact"/>
                    <w:jc w:val="right"/>
                    <w:jc w:val="center"/>
                  </w:pPr>
                  <w:r>
                    <w:t xml:space="preserve">0.117</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0.167</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-8.92</w:t>
                  </w:r>
                </w:p>
              </w:tc>
              <w:tc>
                <w:tcPr/>
                <w:p>
                  <w:pPr>
                    <w:pStyle w:val="Compact"/>
                    <w:jc w:val="right"/>
                    <w:jc w:val="center"/>
                  </w:pPr>
                  <w:r>
                    <w:t xml:space="preserve">2.98</w:t>
                  </w:r>
                </w:p>
              </w:tc>
              <w:tc>
                <w:tcPr/>
                <w:p>
                  <w:pPr>
                    <w:pStyle w:val="Compact"/>
                    <w:jc w:val="right"/>
                    <w:jc w:val="center"/>
                  </w:pPr>
                  <w:r>
                    <w:t xml:space="preserve">-1.148</w:t>
                  </w:r>
                </w:p>
              </w:tc>
              <w:tc>
                <w:tcPr/>
                <w:p>
                  <w:pPr>
                    <w:pStyle w:val="Compact"/>
                    <w:jc w:val="right"/>
                    <w:jc w:val="center"/>
                  </w:pPr>
                  <w:r>
                    <w:t xml:space="preserve">-0.844</w:t>
                  </w:r>
                </w:p>
              </w:tc>
              <w:tc>
                <w:tcPr/>
                <w:p>
                  <w:pPr>
                    <w:pStyle w:val="Compact"/>
                    <w:jc w:val="right"/>
                    <w:jc w:val="center"/>
                  </w:pPr>
                  <w:r>
                    <w:t xml:space="preserve">0.114</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-8.92</w:t>
                  </w:r>
                </w:p>
              </w:tc>
              <w:tc>
                <w:tcPr/>
                <w:p>
                  <w:pPr>
                    <w:pStyle w:val="Compact"/>
                    <w:jc w:val="right"/>
                    <w:jc w:val="center"/>
                  </w:pPr>
                  <w:r>
                    <w:t xml:space="preserve">1.36</w:t>
                  </w:r>
                </w:p>
              </w:tc>
              <w:tc>
                <w:tcPr/>
                <w:p>
                  <w:pPr>
                    <w:pStyle w:val="Compact"/>
                    <w:jc w:val="right"/>
                    <w:jc w:val="center"/>
                  </w:pPr>
                  <w:r>
                    <w:t xml:space="preserve">-1.148</w:t>
                  </w:r>
                </w:p>
              </w:tc>
              <w:tc>
                <w:tcPr/>
                <w:p>
                  <w:pPr>
                    <w:pStyle w:val="Compact"/>
                    <w:jc w:val="right"/>
                    <w:jc w:val="center"/>
                  </w:pPr>
                  <w:r>
                    <w:t xml:space="preserve">-0.551</w:t>
                  </w:r>
                </w:p>
              </w:tc>
              <w:tc>
                <w:tcPr/>
                <w:p>
                  <w:pPr>
                    <w:pStyle w:val="Compact"/>
                    <w:jc w:val="right"/>
                    <w:jc w:val="center"/>
                  </w:pPr>
                  <w:r>
                    <w:t xml:space="preserve">0.139</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-8.92</w:t>
                  </w:r>
                </w:p>
              </w:tc>
              <w:tc>
                <w:tcPr/>
                <w:p>
                  <w:pPr>
                    <w:pStyle w:val="Compact"/>
                    <w:jc w:val="right"/>
                    <w:jc w:val="center"/>
                  </w:pPr>
                  <w:r>
                    <w:t xml:space="preserve">0.00</w:t>
                  </w:r>
                </w:p>
              </w:tc>
              <w:tc>
                <w:tcPr/>
                <w:p>
                  <w:pPr>
                    <w:pStyle w:val="Compact"/>
                    <w:jc w:val="right"/>
                    <w:jc w:val="center"/>
                  </w:pPr>
                  <w:r>
                    <w:t xml:space="preserve">-1.148</w:t>
                  </w:r>
                </w:p>
              </w:tc>
              <w:tc>
                <w:tcPr/>
                <w:p>
                  <w:pPr>
                    <w:pStyle w:val="Compact"/>
                    <w:jc w:val="right"/>
                    <w:jc w:val="center"/>
                  </w:pPr>
                  <w:r>
                    <w:t xml:space="preserve">0.000</w:t>
                  </w:r>
                </w:p>
              </w:tc>
              <w:tc>
                <w:tcPr/>
                <w:p>
                  <w:pPr>
                    <w:pStyle w:val="Compact"/>
                    <w:jc w:val="right"/>
                    <w:jc w:val="center"/>
                  </w:pPr>
                  <w:r>
                    <w:t xml:space="preserve">0.210</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-6.20</w:t>
                  </w:r>
                </w:p>
              </w:tc>
              <w:tc>
                <w:tcPr/>
                <w:p>
                  <w:pPr>
                    <w:pStyle w:val="Compact"/>
                    <w:jc w:val="right"/>
                    <w:jc w:val="center"/>
                  </w:pPr>
                  <w:r>
                    <w:t xml:space="preserve">2.98</w:t>
                  </w:r>
                </w:p>
              </w:tc>
              <w:tc>
                <w:tcPr/>
                <w:p>
                  <w:pPr>
                    <w:pStyle w:val="Compact"/>
                    <w:jc w:val="right"/>
                    <w:jc w:val="center"/>
                  </w:pPr>
                  <w:r>
                    <w:t xml:space="preserve">-0.696</w:t>
                  </w:r>
                </w:p>
              </w:tc>
              <w:tc>
                <w:tcPr/>
                <w:p>
                  <w:pPr>
                    <w:pStyle w:val="Compact"/>
                    <w:jc w:val="right"/>
                    <w:jc w:val="center"/>
                  </w:pPr>
                  <w:r>
                    <w:t xml:space="preserve">-0.844</w:t>
                  </w:r>
                </w:p>
              </w:tc>
              <w:tc>
                <w:tcPr/>
                <w:p>
                  <w:pPr>
                    <w:pStyle w:val="Compact"/>
                    <w:jc w:val="right"/>
                    <w:jc w:val="center"/>
                  </w:pPr>
                  <w:r>
                    <w:t xml:space="preserve">0.125</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-6.20</w:t>
                  </w:r>
                </w:p>
              </w:tc>
              <w:tc>
                <w:tcPr/>
                <w:p>
                  <w:pPr>
                    <w:pStyle w:val="Compact"/>
                    <w:jc w:val="right"/>
                    <w:jc w:val="center"/>
                  </w:pPr>
                  <w:r>
                    <w:t xml:space="preserve">1.36</w:t>
                  </w:r>
                </w:p>
              </w:tc>
              <w:tc>
                <w:tcPr/>
                <w:p>
                  <w:pPr>
                    <w:pStyle w:val="Compact"/>
                    <w:jc w:val="right"/>
                    <w:jc w:val="center"/>
                  </w:pPr>
                  <w:r>
                    <w:t xml:space="preserve">-0.696</w:t>
                  </w:r>
                </w:p>
              </w:tc>
              <w:tc>
                <w:tcPr/>
                <w:p>
                  <w:pPr>
                    <w:pStyle w:val="Compact"/>
                    <w:jc w:val="right"/>
                    <w:jc w:val="center"/>
                  </w:pPr>
                  <w:r>
                    <w:t xml:space="preserve">-0.551</w:t>
                  </w:r>
                </w:p>
              </w:tc>
              <w:tc>
                <w:tcPr/>
                <w:p>
                  <w:pPr>
                    <w:pStyle w:val="Compact"/>
                    <w:jc w:val="right"/>
                    <w:jc w:val="center"/>
                  </w:pPr>
                  <w:r>
                    <w:t xml:space="preserve">0.159</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-6.20</w:t>
                  </w:r>
                </w:p>
              </w:tc>
              <w:tc>
                <w:tcPr/>
                <w:p>
                  <w:pPr>
                    <w:pStyle w:val="Compact"/>
                    <w:jc w:val="right"/>
                    <w:jc w:val="center"/>
                  </w:pPr>
                  <w:r>
                    <w:t xml:space="preserve">0.00</w:t>
                  </w:r>
                </w:p>
              </w:tc>
              <w:tc>
                <w:tcPr/>
                <w:p>
                  <w:pPr>
                    <w:pStyle w:val="Compact"/>
                    <w:jc w:val="right"/>
                    <w:jc w:val="center"/>
                  </w:pPr>
                  <w:r>
                    <w:t xml:space="preserve">-0.696</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2.98</w:t>
                  </w:r>
                </w:p>
              </w:tc>
              <w:tc>
                <w:tcPr/>
                <w:p>
                  <w:pPr>
                    <w:pStyle w:val="Compact"/>
                    <w:jc w:val="right"/>
                    <w:jc w:val="center"/>
                  </w:pPr>
                  <w:r>
                    <w:t xml:space="preserve">0.000</w:t>
                  </w:r>
                </w:p>
              </w:tc>
              <w:tc>
                <w:tcPr/>
                <w:p>
                  <w:pPr>
                    <w:pStyle w:val="Compact"/>
                    <w:jc w:val="right"/>
                    <w:jc w:val="center"/>
                  </w:pPr>
                  <w:r>
                    <w:t xml:space="preserve">-0.844</w:t>
                  </w:r>
                </w:p>
              </w:tc>
              <w:tc>
                <w:tcPr/>
                <w:p>
                  <w:pPr>
                    <w:pStyle w:val="Compact"/>
                    <w:jc w:val="right"/>
                    <w:jc w:val="center"/>
                  </w:pPr>
                  <w:r>
                    <w:t xml:space="preserve">0.100</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1.36</w:t>
                  </w:r>
                </w:p>
              </w:tc>
              <w:tc>
                <w:tcPr/>
                <w:p>
                  <w:pPr>
                    <w:pStyle w:val="Compact"/>
                    <w:jc w:val="right"/>
                    <w:jc w:val="center"/>
                  </w:pPr>
                  <w:r>
                    <w:t xml:space="preserve">0.000</w:t>
                  </w:r>
                </w:p>
              </w:tc>
              <w:tc>
                <w:tcPr/>
                <w:p>
                  <w:pPr>
                    <w:pStyle w:val="Compact"/>
                    <w:jc w:val="right"/>
                    <w:jc w:val="center"/>
                  </w:pPr>
                  <w:r>
                    <w:t xml:space="preserve">-0.551</w:t>
                  </w:r>
                </w:p>
              </w:tc>
              <w:tc>
                <w:tcPr/>
                <w:p>
                  <w:pPr>
                    <w:pStyle w:val="Compact"/>
                    <w:jc w:val="right"/>
                    <w:jc w:val="center"/>
                  </w:pPr>
                  <w:r>
                    <w:t xml:space="preserve">0.145</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0.186</w:t>
                  </w:r>
                </w:p>
              </w:tc>
            </w:tr>
          </w:tbl>
          <w:bookmarkEnd w:id="51"/>
          <w:p/>
        </w:tc>
      </w:tr>
    </w:tbl>
    <w:bookmarkEnd w:id="52"/>
    <w:bookmarkStart w:id="54" w:name="table-s2"/>
    <w:p>
      <w:pPr>
        <w:pStyle w:val="Heading1"/>
      </w:pPr>
      <w:r>
        <w:t xml:space="preserve">Table S2</w:t>
      </w:r>
    </w:p>
    <w:p>
      <w:pPr>
        <w:pStyle w:val="FirstParagraph"/>
      </w:pPr>
      <w:r>
        <w:t xml:space="preserve">Every rate of the study (rejection rate of each test, or hit rate of each clade-recovery method) by condition, with its Monte Carlo standard error,</w:t>
      </w:r>
      <w:r>
        <w:t xml:space="preserve"> </w:t>
      </w:r>
      <m:oMath>
        <m:r>
          <m:rPr>
            <m:nor/>
            <m:sty m:val="p"/>
          </m:rPr>
          <m:t>MCSE</m:t>
        </m:r>
        <m:r>
          <m:rPr>
            <m:sty m:val="p"/>
          </m:rPr>
          <m:t>=</m:t>
        </m:r>
        <m:rad>
          <m:radPr>
            <m:degHide m:val="on"/>
          </m:radPr>
          <m:deg/>
          <m:e>
            <m:r>
              <m:t>p</m:t>
            </m:r>
            <m:d>
              <m:dPr>
                <m:begChr m:val="("/>
                <m:sepChr m:val=""/>
                <m:endChr m:val=")"/>
                <m:grow/>
              </m:dPr>
              <m:e>
                <m:r>
                  <m:t>1</m:t>
                </m:r>
                <m:r>
                  <m:rPr>
                    <m:sty m:val="p"/>
                  </m:rPr>
                  <m:t>−</m:t>
                </m:r>
                <m:r>
                  <m:t>p</m:t>
                </m:r>
              </m:e>
            </m:d>
            <m:r>
              <m:rPr>
                <m:sty m:val="p"/>
              </m:rPr>
              <m:t>/</m:t>
            </m:r>
            <m:r>
              <m:t>K</m:t>
            </m:r>
          </m:e>
        </m:rad>
      </m:oMath>
      <w:r>
        <w:t xml:space="preserve"> </w:t>
      </w:r>
      <w:r>
        <w:t xml:space="preserve">with</w:t>
      </w:r>
      <w:r>
        <w:t xml:space="preserve"> </w:t>
      </w:r>
      <m:oMath>
        <m:r>
          <m:t>K</m:t>
        </m:r>
        <m:r>
          <m:rPr>
            <m:sty m:val="p"/>
          </m:rPr>
          <m:t>=</m:t>
        </m:r>
        <m:r>
          <m:t>1</m:t>
        </m:r>
        <m:r>
          <m:rPr>
            <m:sty m:val="p"/>
          </m:rPr>
          <m:t>,</m:t>
        </m:r>
        <m:r>
          <m:t>000</m:t>
        </m:r>
      </m:oMath>
      <w:r>
        <w:t xml:space="preserve"> </w:t>
      </w:r>
      <w:r>
        <w:t xml:space="preserve">replicates, and the 95% Monte Carlo interval. The full table (file table_S2_rates_mcse.csv) has one row per condition; below we summarize the range of the MCSE by group of conditions.</w:t>
      </w:r>
    </w:p>
    <w:tbl>
      <w:tblPr>
        <w:tblStyle w:val="Table"/>
        <w:tblW w:type="pct" w:w="5000"/>
        <w:tblLayout w:type="fixed"/>
        <w:tblLook w:firstRow="0" w:lastRow="0" w:firstColumn="0" w:lastColumn="0" w:noHBand="0" w:noVBand="0" w:val="0000"/>
      </w:tblPr>
      <w:tblGrid>
        <w:gridCol w:w="7920"/>
      </w:tblGrid>
      <w:tr>
        <w:tc>
          <w:tcPr/>
          <w:bookmarkStart w:id="53" w:name="tbl-s2"/>
          <w:p>
            <w:pPr>
              <w:jc w:val="center"/>
            </w:pPr>
            <w:pPr>
              <w:jc w:val="left"/>
              <w:spacing w:before="200"/>
              <w:pStyle w:val="ImageCaption"/>
            </w:pPr>
            <w:r>
              <w:t xml:space="preserve">Table 2</w:t>
            </w:r>
          </w:p>
          <w:tbl>
            <w:tblPr>
              <w:tblStyle w:val="Table"/>
              <w:tblW w:type="pct" w:w="5000"/>
              <w:tblLayout w:type="fixed"/>
              <w:tblLook w:firstRow="1" w:lastRow="0" w:firstColumn="0" w:lastColumn="0" w:noHBand="0" w:noVBand="0" w:val="0020"/>
            </w:tblPr>
            <w:tblGrid>
              <w:gridCol w:w="2386"/>
              <w:gridCol w:w="1193"/>
              <w:gridCol w:w="1084"/>
              <w:gridCol w:w="1084"/>
              <w:gridCol w:w="1084"/>
              <w:gridCol w:w="1084"/>
            </w:tblGrid>
            <w:tr>
              <w:trPr>
                <w:tblHeader w:val="on"/>
              </w:trPr>
              <w:tc>
                <w:tcPr/>
                <w:p>
                  <w:pPr>
                    <w:pStyle w:val="Compact"/>
                    <w:jc w:val="left"/>
                    <w:jc w:val="center"/>
                  </w:pPr>
                  <w:r>
                    <w:t xml:space="preserve">Model</w:t>
                  </w:r>
                </w:p>
              </w:tc>
              <w:tc>
                <w:tcPr/>
                <w:p>
                  <w:pPr>
                    <w:pStyle w:val="Compact"/>
                    <w:jc w:val="right"/>
                    <w:jc w:val="center"/>
                  </w:pPr>
                  <w:r>
                    <w:t xml:space="preserve">Conditions</w:t>
                  </w:r>
                </w:p>
              </w:tc>
              <w:tc>
                <w:tcPr/>
                <w:p>
                  <w:pPr>
                    <w:pStyle w:val="Compact"/>
                    <w:jc w:val="right"/>
                    <w:jc w:val="center"/>
                  </w:pPr>
                  <w:r>
                    <w:t xml:space="preserve">Min. rate</w:t>
                  </w:r>
                </w:p>
              </w:tc>
              <w:tc>
                <w:tcPr/>
                <w:p>
                  <w:pPr>
                    <w:pStyle w:val="Compact"/>
                    <w:jc w:val="right"/>
                    <w:jc w:val="center"/>
                  </w:pPr>
                  <w:r>
                    <w:t xml:space="preserve">Max. rate</w:t>
                  </w:r>
                </w:p>
              </w:tc>
              <w:tc>
                <w:tcPr/>
                <w:p>
                  <w:pPr>
                    <w:pStyle w:val="Compact"/>
                    <w:jc w:val="right"/>
                    <w:jc w:val="center"/>
                  </w:pPr>
                  <w:r>
                    <w:t xml:space="preserve">Min. MCSE</w:t>
                  </w:r>
                </w:p>
              </w:tc>
              <w:tc>
                <w:tcPr/>
                <w:p>
                  <w:pPr>
                    <w:pStyle w:val="Compact"/>
                    <w:jc w:val="right"/>
                    <w:jc w:val="center"/>
                  </w:pPr>
                  <w:r>
                    <w:t xml:space="preserve">Max. MCSE</w:t>
                  </w:r>
                </w:p>
              </w:tc>
            </w:tr>
            <w:tr>
              <w:tc>
                <w:tcPr/>
                <w:p>
                  <w:pPr>
                    <w:pStyle w:val="Compact"/>
                    <w:jc w:val="left"/>
                    <w:jc w:val="center"/>
                  </w:pPr>
                  <w:r>
                    <w:t xml:space="preserve">Clade recovery</w:t>
                  </w:r>
                </w:p>
              </w:tc>
              <w:tc>
                <w:tcPr/>
                <w:p>
                  <w:pPr>
                    <w:pStyle w:val="Compact"/>
                    <w:jc w:val="right"/>
                    <w:jc w:val="center"/>
                  </w:pPr>
                  <w:r>
                    <w:t xml:space="preserve">864</w:t>
                  </w:r>
                </w:p>
              </w:tc>
              <w:tc>
                <w:tcPr/>
                <w:p>
                  <w:pPr>
                    <w:pStyle w:val="Compact"/>
                    <w:jc w:val="right"/>
                    <w:jc w:val="center"/>
                  </w:pPr>
                  <w:r>
                    <w:t xml:space="preserve">0.007</w:t>
                  </w:r>
                </w:p>
              </w:tc>
              <w:tc>
                <w:tcPr/>
                <w:p>
                  <w:pPr>
                    <w:pStyle w:val="Compact"/>
                    <w:jc w:val="right"/>
                    <w:jc w:val="center"/>
                  </w:pPr>
                  <w:r>
                    <w:t xml:space="preserve">0.925</w:t>
                  </w:r>
                </w:p>
              </w:tc>
              <w:tc>
                <w:tcPr/>
                <w:p>
                  <w:pPr>
                    <w:pStyle w:val="Compact"/>
                    <w:jc w:val="right"/>
                    <w:jc w:val="center"/>
                  </w:pPr>
                  <w:r>
                    <w:t xml:space="preserve">0.003</w:t>
                  </w:r>
                </w:p>
              </w:tc>
              <w:tc>
                <w:tcPr/>
                <w:p>
                  <w:pPr>
                    <w:pStyle w:val="Compact"/>
                    <w:jc w:val="right"/>
                    <w:jc w:val="center"/>
                  </w:pPr>
                  <w:r>
                    <w:t xml:space="preserve">0.016</w:t>
                  </w:r>
                </w:p>
              </w:tc>
            </w:tr>
            <w:tr>
              <w:tc>
                <w:tcPr/>
                <w:p>
                  <w:pPr>
                    <w:pStyle w:val="Compact"/>
                    <w:jc w:val="left"/>
                    <w:jc w:val="center"/>
                  </w:pPr>
                  <w:r>
                    <w:t xml:space="preserve">Layer A, power</w:t>
                  </w:r>
                </w:p>
              </w:tc>
              <w:tc>
                <w:tcPr/>
                <w:p>
                  <w:pPr>
                    <w:pStyle w:val="Compact"/>
                    <w:jc w:val="right"/>
                    <w:jc w:val="center"/>
                  </w:pPr>
                  <w:r>
                    <w:t xml:space="preserve">810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A, type I error</w:t>
                  </w:r>
                </w:p>
              </w:tc>
              <w:tc>
                <w:tcPr/>
                <w:p>
                  <w:pPr>
                    <w:pStyle w:val="Compact"/>
                    <w:jc w:val="right"/>
                    <w:jc w:val="center"/>
                  </w:pPr>
                  <w:r>
                    <w:t xml:space="preserve">1350</w:t>
                  </w:r>
                </w:p>
              </w:tc>
              <w:tc>
                <w:tcPr/>
                <w:p>
                  <w:pPr>
                    <w:pStyle w:val="Compact"/>
                    <w:jc w:val="right"/>
                    <w:jc w:val="center"/>
                  </w:pPr>
                  <w:r>
                    <w:t xml:space="preserve">0.000</w:t>
                  </w:r>
                </w:p>
              </w:tc>
              <w:tc>
                <w:tcPr/>
                <w:p>
                  <w:pPr>
                    <w:pStyle w:val="Compact"/>
                    <w:jc w:val="right"/>
                    <w:jc w:val="center"/>
                  </w:pPr>
                  <w:r>
                    <w:t xml:space="preserve">0.356</w:t>
                  </w:r>
                </w:p>
              </w:tc>
              <w:tc>
                <w:tcPr/>
                <w:p>
                  <w:pPr>
                    <w:pStyle w:val="Compact"/>
                    <w:jc w:val="right"/>
                    <w:jc w:val="center"/>
                  </w:pPr>
                  <w:r>
                    <w:t xml:space="preserve">0.000</w:t>
                  </w:r>
                </w:p>
              </w:tc>
              <w:tc>
                <w:tcPr/>
                <w:p>
                  <w:pPr>
                    <w:pStyle w:val="Compact"/>
                    <w:jc w:val="right"/>
                    <w:jc w:val="center"/>
                  </w:pPr>
                  <w:r>
                    <w:t xml:space="preserve">0.015</w:t>
                  </w:r>
                </w:p>
              </w:tc>
            </w:tr>
            <w:tr>
              <w:tc>
                <w:tcPr/>
                <w:p>
                  <w:pPr>
                    <w:pStyle w:val="Compact"/>
                    <w:jc w:val="left"/>
                    <w:jc w:val="center"/>
                  </w:pPr>
                  <w:r>
                    <w:t xml:space="preserve">Layer B, power</w:t>
                  </w:r>
                </w:p>
              </w:tc>
              <w:tc>
                <w:tcPr/>
                <w:p>
                  <w:pPr>
                    <w:pStyle w:val="Compact"/>
                    <w:jc w:val="right"/>
                    <w:jc w:val="center"/>
                  </w:pPr>
                  <w:r>
                    <w:t xml:space="preserve">990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B, type I error</w:t>
                  </w:r>
                </w:p>
              </w:tc>
              <w:tc>
                <w:tcPr/>
                <w:p>
                  <w:pPr>
                    <w:pStyle w:val="Compact"/>
                    <w:jc w:val="right"/>
                    <w:jc w:val="center"/>
                  </w:pPr>
                  <w:r>
                    <w:t xml:space="preserve">1650</w:t>
                  </w:r>
                </w:p>
              </w:tc>
              <w:tc>
                <w:tcPr/>
                <w:p>
                  <w:pPr>
                    <w:pStyle w:val="Compact"/>
                    <w:jc w:val="right"/>
                    <w:jc w:val="center"/>
                  </w:pPr>
                  <w:r>
                    <w:t xml:space="preserve">0.001</w:t>
                  </w:r>
                </w:p>
              </w:tc>
              <w:tc>
                <w:tcPr/>
                <w:p>
                  <w:pPr>
                    <w:pStyle w:val="Compact"/>
                    <w:jc w:val="right"/>
                    <w:jc w:val="center"/>
                  </w:pPr>
                  <w:r>
                    <w:t xml:space="preserve">0.143</w:t>
                  </w:r>
                </w:p>
              </w:tc>
              <w:tc>
                <w:tcPr/>
                <w:p>
                  <w:pPr>
                    <w:pStyle w:val="Compact"/>
                    <w:jc w:val="right"/>
                    <w:jc w:val="center"/>
                  </w:pPr>
                  <w:r>
                    <w:t xml:space="preserve">0.001</w:t>
                  </w:r>
                </w:p>
              </w:tc>
              <w:tc>
                <w:tcPr/>
                <w:p>
                  <w:pPr>
                    <w:pStyle w:val="Compact"/>
                    <w:jc w:val="right"/>
                    <w:jc w:val="center"/>
                  </w:pPr>
                  <w:r>
                    <w:t xml:space="preserve">0.011</w:t>
                  </w:r>
                </w:p>
              </w:tc>
            </w:tr>
          </w:tbl>
          <w:bookmarkEnd w:id="53"/>
          <w:p/>
        </w:tc>
      </w:tr>
    </w:tbl>
    <w:bookmarkEnd w:id="54"/>
    <w:bookmarkStart w:id="56" w:name="table-s3"/>
    <w:p>
      <w:pPr>
        <w:pStyle w:val="Heading1"/>
      </w:pPr>
      <w:r>
        <w:t xml:space="preserve">Table S3</w:t>
      </w:r>
    </w:p>
    <w:p>
      <w:pPr>
        <w:pStyle w:val="FirstParagraph"/>
      </w:pPr>
      <w:r>
        <w:t xml:space="preserve">Convergence and posterior predictive diagnostics of the beta-binomial models: maximum rank-normalized</w:t>
      </w:r>
      <w:r>
        <w:t xml:space="preserve"> </w:t>
      </w:r>
      <m:oMath>
        <m:acc>
          <m:accPr>
            <m:chr m:val="̂"/>
          </m:accPr>
          <m:e>
            <m:r>
              <m:t>R</m:t>
            </m:r>
          </m:e>
        </m:acc>
      </m:oMath>
      <w:r>
        <w:t xml:space="preserve">, minimum bulk and tail effective sample sizes, numbers of divergent transitions and of transitions at the maximum tree depth, coverage of the 50% and 95% posterior predictive intervals for each condition and for the sums over the conditions of each test (or method), N and cell, and the dispersion of the quasibinomial model with the same structure.</w:t>
      </w:r>
    </w:p>
    <w:tbl>
      <w:tblPr>
        <w:tblStyle w:val="Table"/>
        <w:tblW w:type="pct" w:w="5000"/>
        <w:tblLayout w:type="fixed"/>
        <w:tblLook w:firstRow="0" w:lastRow="0" w:firstColumn="0" w:lastColumn="0" w:noHBand="0" w:noVBand="0" w:val="0000"/>
      </w:tblPr>
      <w:tblGrid>
        <w:gridCol w:w="7920"/>
      </w:tblGrid>
      <w:tr>
        <w:tc>
          <w:tcPr/>
          <w:bookmarkStart w:id="55" w:name="tbl-s3"/>
          <w:p>
            <w:pPr>
              <w:jc w:val="center"/>
            </w:pPr>
            <w:pPr>
              <w:jc w:val="left"/>
              <w:spacing w:before="200"/>
              <w:pStyle w:val="ImageCaption"/>
            </w:pPr>
            <w:r>
              <w:t xml:space="preserve">Table 3</w:t>
            </w:r>
          </w:p>
          <w:tbl>
            <w:tblPr>
              <w:tblStyle w:val="Table"/>
              <w:tblW w:type="pct" w:w="5000"/>
              <w:tblLayout w:type="fixed"/>
              <w:tblLook w:firstRow="1" w:lastRow="0" w:firstColumn="0" w:lastColumn="0" w:noHBand="0" w:noVBand="0" w:val="0020"/>
            </w:tblPr>
            <w:tblGrid>
              <w:gridCol w:w="633"/>
              <w:gridCol w:w="580"/>
              <w:gridCol w:w="739"/>
              <w:gridCol w:w="739"/>
              <w:gridCol w:w="633"/>
              <w:gridCol w:w="844"/>
              <w:gridCol w:w="528"/>
              <w:gridCol w:w="528"/>
              <w:gridCol w:w="1056"/>
              <w:gridCol w:w="1056"/>
              <w:gridCol w:w="580"/>
            </w:tblGrid>
            <w:tr>
              <w:trPr>
                <w:tblHeader w:val="on"/>
              </w:trPr>
              <w:tc>
                <w:tcPr/>
                <w:p>
                  <w:pPr>
                    <w:pStyle w:val="Compact"/>
                    <w:jc w:val="left"/>
                    <w:jc w:val="center"/>
                  </w:pPr>
                  <w:r>
                    <w:t xml:space="preserve">Model</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Max. tree depth</w:t>
                  </w:r>
                </w:p>
              </w:tc>
              <w:tc>
                <w:tcPr/>
                <w:p>
                  <w:pPr>
                    <w:pStyle w:val="Compact"/>
                    <w:jc w:val="right"/>
                    <w:jc w:val="center"/>
                  </w:pPr>
                  <w:r>
                    <w:t xml:space="preserve">50% cover</w:t>
                  </w:r>
                </w:p>
              </w:tc>
              <w:tc>
                <w:tcPr/>
                <w:p>
                  <w:pPr>
                    <w:pStyle w:val="Compact"/>
                    <w:jc w:val="right"/>
                    <w:jc w:val="center"/>
                  </w:pPr>
                  <w:r>
                    <w:t xml:space="preserve">95% cover</w:t>
                  </w:r>
                </w:p>
              </w:tc>
              <w:tc>
                <w:tcPr/>
                <w:p>
                  <w:pPr>
                    <w:pStyle w:val="Compact"/>
                    <w:jc w:val="right"/>
                    <w:jc w:val="center"/>
                  </w:pPr>
                  <w:r>
                    <w:t xml:space="preserve">50% cover (grouped)</w:t>
                  </w:r>
                </w:p>
              </w:tc>
              <w:tc>
                <w:tcPr/>
                <w:p>
                  <w:pPr>
                    <w:pStyle w:val="Compact"/>
                    <w:jc w:val="right"/>
                    <w:jc w:val="center"/>
                  </w:pPr>
                  <w:r>
                    <w:t xml:space="preserve">95% cover (grouped)</w:t>
                  </w:r>
                </w:p>
              </w:tc>
              <w:tc>
                <w:tcPr/>
                <w:p>
                  <w:pPr>
                    <w:pStyle w:val="Compact"/>
                    <w:jc w:val="right"/>
                    <w:jc w:val="center"/>
                  </w:pPr>
                  <w:r>
                    <w:t xml:space="preserve">Dispersion</w:t>
                  </w:r>
                </w:p>
              </w:tc>
            </w:tr>
            <w:tr>
              <w:tc>
                <w:tcPr/>
                <w:p>
                  <w:pPr>
                    <w:pStyle w:val="Compact"/>
                    <w:jc w:val="left"/>
                    <w:jc w:val="center"/>
                  </w:pPr>
                  <w:r>
                    <w:t xml:space="preserve">type_I</w:t>
                  </w:r>
                </w:p>
              </w:tc>
              <w:tc>
                <w:tcPr/>
                <w:p>
                  <w:pPr>
                    <w:pStyle w:val="Compact"/>
                    <w:jc w:val="right"/>
                    <w:jc w:val="center"/>
                  </w:pPr>
                  <w:r>
                    <w:t xml:space="preserve">1.005</w:t>
                  </w:r>
                </w:p>
              </w:tc>
              <w:tc>
                <w:tcPr/>
                <w:p>
                  <w:pPr>
                    <w:pStyle w:val="Compact"/>
                    <w:jc w:val="right"/>
                    <w:jc w:val="center"/>
                  </w:pPr>
                  <w:r>
                    <w:t xml:space="preserve">908.012</w:t>
                  </w:r>
                </w:p>
              </w:tc>
              <w:tc>
                <w:tcPr/>
                <w:p>
                  <w:pPr>
                    <w:pStyle w:val="Compact"/>
                    <w:jc w:val="right"/>
                    <w:jc w:val="center"/>
                  </w:pPr>
                  <w:r>
                    <w:t xml:space="preserve">1476.722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0.683</w:t>
                  </w:r>
                </w:p>
              </w:tc>
              <w:tc>
                <w:tcPr/>
                <w:p>
                  <w:pPr>
                    <w:pStyle w:val="Compact"/>
                    <w:jc w:val="right"/>
                    <w:jc w:val="center"/>
                  </w:pPr>
                  <w:r>
                    <w:t xml:space="preserve">0.984</w:t>
                  </w:r>
                </w:p>
              </w:tc>
              <w:tc>
                <w:tcPr/>
                <w:p>
                  <w:pPr>
                    <w:pStyle w:val="Compact"/>
                    <w:jc w:val="right"/>
                    <w:jc w:val="center"/>
                  </w:pPr>
                  <w:r>
                    <w:t xml:space="preserve">0.985</w:t>
                  </w:r>
                </w:p>
              </w:tc>
              <w:tc>
                <w:tcPr/>
                <w:p>
                  <w:pPr>
                    <w:pStyle w:val="Compact"/>
                    <w:jc w:val="right"/>
                    <w:jc w:val="center"/>
                  </w:pPr>
                  <w:r>
                    <w:t xml:space="preserve">1</w:t>
                  </w:r>
                </w:p>
              </w:tc>
              <w:tc>
                <w:tcPr/>
                <w:p>
                  <w:pPr>
                    <w:pStyle w:val="Compact"/>
                    <w:jc w:val="right"/>
                    <w:jc w:val="center"/>
                  </w:pPr>
                  <w:r>
                    <w:t xml:space="preserve">2.119</w:t>
                  </w:r>
                </w:p>
              </w:tc>
            </w:tr>
            <w:tr>
              <w:tc>
                <w:tcPr/>
                <w:p>
                  <w:pPr>
                    <w:pStyle w:val="Compact"/>
                    <w:jc w:val="left"/>
                    <w:jc w:val="center"/>
                  </w:pPr>
                  <w:r>
                    <w:t xml:space="preserve">power</w:t>
                  </w:r>
                </w:p>
              </w:tc>
              <w:tc>
                <w:tcPr/>
                <w:p>
                  <w:pPr>
                    <w:pStyle w:val="Compact"/>
                    <w:jc w:val="right"/>
                    <w:jc w:val="center"/>
                  </w:pPr>
                  <w:r>
                    <w:t xml:space="preserve">1.003</w:t>
                  </w:r>
                </w:p>
              </w:tc>
              <w:tc>
                <w:tcPr/>
                <w:p>
                  <w:pPr>
                    <w:pStyle w:val="Compact"/>
                    <w:jc w:val="right"/>
                    <w:jc w:val="center"/>
                  </w:pPr>
                  <w:r>
                    <w:t xml:space="preserve">1166.011</w:t>
                  </w:r>
                </w:p>
              </w:tc>
              <w:tc>
                <w:tcPr/>
                <w:p>
                  <w:pPr>
                    <w:pStyle w:val="Compact"/>
                    <w:jc w:val="right"/>
                    <w:jc w:val="center"/>
                  </w:pPr>
                  <w:r>
                    <w:t xml:space="preserve">2100.224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0.701</w:t>
                  </w:r>
                </w:p>
              </w:tc>
              <w:tc>
                <w:tcPr/>
                <w:p>
                  <w:pPr>
                    <w:pStyle w:val="Compact"/>
                    <w:jc w:val="right"/>
                    <w:jc w:val="center"/>
                  </w:pPr>
                  <w:r>
                    <w:t xml:space="preserve">0.964</w:t>
                  </w:r>
                </w:p>
              </w:tc>
              <w:tc>
                <w:tcPr/>
                <w:p>
                  <w:pPr>
                    <w:pStyle w:val="Compact"/>
                    <w:jc w:val="right"/>
                    <w:jc w:val="center"/>
                  </w:pPr>
                  <w:r>
                    <w:t xml:space="preserve">0.978</w:t>
                  </w:r>
                </w:p>
              </w:tc>
              <w:tc>
                <w:tcPr/>
                <w:p>
                  <w:pPr>
                    <w:pStyle w:val="Compact"/>
                    <w:jc w:val="right"/>
                    <w:jc w:val="center"/>
                  </w:pPr>
                  <w:r>
                    <w:t xml:space="preserve">1</w:t>
                  </w:r>
                </w:p>
              </w:tc>
              <w:tc>
                <w:tcPr/>
                <w:p>
                  <w:pPr>
                    <w:pStyle w:val="Compact"/>
                    <w:jc w:val="right"/>
                    <w:jc w:val="center"/>
                  </w:pPr>
                  <w:r>
                    <w:t xml:space="preserve">8.543</w:t>
                  </w:r>
                </w:p>
              </w:tc>
            </w:tr>
            <w:tr>
              <w:tc>
                <w:tcPr/>
                <w:p>
                  <w:pPr>
                    <w:pStyle w:val="Compact"/>
                    <w:jc w:val="left"/>
                    <w:jc w:val="center"/>
                  </w:pPr>
                  <w:r>
                    <w:t xml:space="preserve">B_type_I</w:t>
                  </w:r>
                </w:p>
              </w:tc>
              <w:tc>
                <w:tcPr/>
                <w:p>
                  <w:pPr>
                    <w:pStyle w:val="Compact"/>
                    <w:jc w:val="right"/>
                    <w:jc w:val="center"/>
                  </w:pPr>
                  <w:r>
                    <w:t xml:space="preserve">1.005</w:t>
                  </w:r>
                </w:p>
              </w:tc>
              <w:tc>
                <w:tcPr/>
                <w:p>
                  <w:pPr>
                    <w:pStyle w:val="Compact"/>
                    <w:jc w:val="right"/>
                    <w:jc w:val="center"/>
                  </w:pPr>
                  <w:r>
                    <w:t xml:space="preserve">1321.356</w:t>
                  </w:r>
                </w:p>
              </w:tc>
              <w:tc>
                <w:tcPr/>
                <w:p>
                  <w:pPr>
                    <w:pStyle w:val="Compact"/>
                    <w:jc w:val="right"/>
                    <w:jc w:val="center"/>
                  </w:pPr>
                  <w:r>
                    <w:t xml:space="preserve">1763.291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0.670</w:t>
                  </w:r>
                </w:p>
              </w:tc>
              <w:tc>
                <w:tcPr/>
                <w:p>
                  <w:pPr>
                    <w:pStyle w:val="Compact"/>
                    <w:jc w:val="right"/>
                    <w:jc w:val="center"/>
                  </w:pPr>
                  <w:r>
                    <w:t xml:space="preserve">0.980</w:t>
                  </w:r>
                </w:p>
              </w:tc>
              <w:tc>
                <w:tcPr/>
                <w:p>
                  <w:pPr>
                    <w:pStyle w:val="Compact"/>
                    <w:jc w:val="right"/>
                    <w:jc w:val="center"/>
                  </w:pPr>
                  <w:r>
                    <w:t xml:space="preserve">0.964</w:t>
                  </w:r>
                </w:p>
              </w:tc>
              <w:tc>
                <w:tcPr/>
                <w:p>
                  <w:pPr>
                    <w:pStyle w:val="Compact"/>
                    <w:jc w:val="right"/>
                    <w:jc w:val="center"/>
                  </w:pPr>
                  <w:r>
                    <w:t xml:space="preserve">1</w:t>
                  </w:r>
                </w:p>
              </w:tc>
              <w:tc>
                <w:tcPr/>
                <w:p>
                  <w:pPr>
                    <w:pStyle w:val="Compact"/>
                    <w:jc w:val="right"/>
                    <w:jc w:val="center"/>
                  </w:pPr>
                  <w:r>
                    <w:t xml:space="preserve">2.236</w:t>
                  </w:r>
                </w:p>
              </w:tc>
            </w:tr>
            <w:tr>
              <w:tc>
                <w:tcPr/>
                <w:p>
                  <w:pPr>
                    <w:pStyle w:val="Compact"/>
                    <w:jc w:val="left"/>
                    <w:jc w:val="center"/>
                  </w:pPr>
                  <w:r>
                    <w:t xml:space="preserve">B_power</w:t>
                  </w:r>
                </w:p>
              </w:tc>
              <w:tc>
                <w:tcPr/>
                <w:p>
                  <w:pPr>
                    <w:pStyle w:val="Compact"/>
                    <w:jc w:val="right"/>
                    <w:jc w:val="center"/>
                  </w:pPr>
                  <w:r>
                    <w:t xml:space="preserve">1.009</w:t>
                  </w:r>
                </w:p>
              </w:tc>
              <w:tc>
                <w:tcPr/>
                <w:p>
                  <w:pPr>
                    <w:pStyle w:val="Compact"/>
                    <w:jc w:val="right"/>
                    <w:jc w:val="center"/>
                  </w:pPr>
                  <w:r>
                    <w:t xml:space="preserve">834.701</w:t>
                  </w:r>
                </w:p>
              </w:tc>
              <w:tc>
                <w:tcPr/>
                <w:p>
                  <w:pPr>
                    <w:pStyle w:val="Compact"/>
                    <w:jc w:val="right"/>
                    <w:jc w:val="center"/>
                  </w:pPr>
                  <w:r>
                    <w:t xml:space="preserve">1595.619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0.700</w:t>
                  </w:r>
                </w:p>
              </w:tc>
              <w:tc>
                <w:tcPr/>
                <w:p>
                  <w:pPr>
                    <w:pStyle w:val="Compact"/>
                    <w:jc w:val="right"/>
                    <w:jc w:val="center"/>
                  </w:pPr>
                  <w:r>
                    <w:t xml:space="preserve">0.979</w:t>
                  </w:r>
                </w:p>
              </w:tc>
              <w:tc>
                <w:tcPr/>
                <w:p>
                  <w:pPr>
                    <w:pStyle w:val="Compact"/>
                    <w:jc w:val="right"/>
                    <w:jc w:val="center"/>
                  </w:pPr>
                  <w:r>
                    <w:t xml:space="preserve">0.836</w:t>
                  </w:r>
                </w:p>
              </w:tc>
              <w:tc>
                <w:tcPr/>
                <w:p>
                  <w:pPr>
                    <w:pStyle w:val="Compact"/>
                    <w:jc w:val="right"/>
                    <w:jc w:val="center"/>
                  </w:pPr>
                  <w:r>
                    <w:t xml:space="preserve">1</w:t>
                  </w:r>
                </w:p>
              </w:tc>
              <w:tc>
                <w:tcPr/>
                <w:p>
                  <w:pPr>
                    <w:pStyle w:val="Compact"/>
                    <w:jc w:val="right"/>
                    <w:jc w:val="center"/>
                  </w:pPr>
                  <w:r>
                    <w:t xml:space="preserve">3.948</w:t>
                  </w:r>
                </w:p>
              </w:tc>
            </w:tr>
            <w:tr>
              <w:tc>
                <w:tcPr/>
                <w:p>
                  <w:pPr>
                    <w:pStyle w:val="Compact"/>
                    <w:jc w:val="left"/>
                    <w:jc w:val="center"/>
                  </w:pPr>
                  <w:r>
                    <w:t xml:space="preserve">clade</w:t>
                  </w:r>
                </w:p>
              </w:tc>
              <w:tc>
                <w:tcPr/>
                <w:p>
                  <w:pPr>
                    <w:pStyle w:val="Compact"/>
                    <w:jc w:val="right"/>
                    <w:jc w:val="center"/>
                  </w:pPr>
                  <w:r>
                    <w:t xml:space="preserve">1.004</w:t>
                  </w:r>
                </w:p>
              </w:tc>
              <w:tc>
                <w:tcPr/>
                <w:p>
                  <w:pPr>
                    <w:pStyle w:val="Compact"/>
                    <w:jc w:val="right"/>
                    <w:jc w:val="center"/>
                  </w:pPr>
                  <w:r>
                    <w:t xml:space="preserve">1140.252</w:t>
                  </w:r>
                </w:p>
              </w:tc>
              <w:tc>
                <w:tcPr/>
                <w:p>
                  <w:pPr>
                    <w:pStyle w:val="Compact"/>
                    <w:jc w:val="right"/>
                    <w:jc w:val="center"/>
                  </w:pPr>
                  <w:r>
                    <w:t xml:space="preserve">1747.850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0.613</w:t>
                  </w:r>
                </w:p>
              </w:tc>
              <w:tc>
                <w:tcPr/>
                <w:p>
                  <w:pPr>
                    <w:pStyle w:val="Compact"/>
                    <w:jc w:val="right"/>
                    <w:jc w:val="center"/>
                  </w:pPr>
                  <w:r>
                    <w:t xml:space="preserve">0.973</w:t>
                  </w:r>
                </w:p>
              </w:tc>
              <w:tc>
                <w:tcPr/>
                <w:p>
                  <w:pPr>
                    <w:pStyle w:val="Compact"/>
                    <w:jc w:val="right"/>
                    <w:jc w:val="center"/>
                  </w:pPr>
                  <w:r>
                    <w:t xml:space="preserve">0.935</w:t>
                  </w:r>
                </w:p>
              </w:tc>
              <w:tc>
                <w:tcPr/>
                <w:p>
                  <w:pPr>
                    <w:pStyle w:val="Compact"/>
                    <w:jc w:val="right"/>
                    <w:jc w:val="center"/>
                  </w:pPr>
                  <w:r>
                    <w:t xml:space="preserve">1</w:t>
                  </w:r>
                </w:p>
              </w:tc>
              <w:tc>
                <w:tcPr/>
                <w:p>
                  <w:pPr>
                    <w:pStyle w:val="Compact"/>
                    <w:jc w:val="right"/>
                    <w:jc w:val="center"/>
                  </w:pPr>
                  <w:r>
                    <w:t xml:space="preserve">4.198</w:t>
                  </w:r>
                </w:p>
              </w:tc>
            </w:tr>
            <w:tr>
              <w:tc>
                <w:tcPr/>
                <w:p>
                  <w:pPr>
                    <w:pStyle w:val="Compact"/>
                    <w:jc w:val="left"/>
                    <w:jc w:val="center"/>
                  </w:pPr>
                  <w:r>
                    <w:t xml:space="preserve">type_I_axes</w:t>
                  </w:r>
                </w:p>
              </w:tc>
              <w:tc>
                <w:tcPr/>
                <w:p>
                  <w:pPr>
                    <w:pStyle w:val="Compact"/>
                    <w:jc w:val="right"/>
                    <w:jc w:val="center"/>
                  </w:pPr>
                  <w:r>
                    <w:t xml:space="preserve">1.005</w:t>
                  </w:r>
                </w:p>
              </w:tc>
              <w:tc>
                <w:tcPr/>
                <w:p>
                  <w:pPr>
                    <w:pStyle w:val="Compact"/>
                    <w:jc w:val="right"/>
                    <w:jc w:val="center"/>
                  </w:pPr>
                  <w:r>
                    <w:t xml:space="preserve">749.084</w:t>
                  </w:r>
                </w:p>
              </w:tc>
              <w:tc>
                <w:tcPr/>
                <w:p>
                  <w:pPr>
                    <w:pStyle w:val="Compact"/>
                    <w:jc w:val="right"/>
                    <w:jc w:val="center"/>
                  </w:pPr>
                  <w:r>
                    <w:t xml:space="preserve">1451.114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0.685</w:t>
                  </w:r>
                </w:p>
              </w:tc>
              <w:tc>
                <w:tcPr/>
                <w:p>
                  <w:pPr>
                    <w:pStyle w:val="Compact"/>
                    <w:jc w:val="right"/>
                    <w:jc w:val="center"/>
                  </w:pPr>
                  <w:r>
                    <w:t xml:space="preserve">0.988</w:t>
                  </w:r>
                </w:p>
              </w:tc>
              <w:tc>
                <w:tcPr/>
                <w:p>
                  <w:pPr>
                    <w:pStyle w:val="Compact"/>
                    <w:jc w:val="right"/>
                    <w:jc w:val="center"/>
                  </w:pPr>
                  <w:r>
                    <w:t xml:space="preserve">0.974</w:t>
                  </w:r>
                </w:p>
              </w:tc>
              <w:tc>
                <w:tcPr/>
                <w:p>
                  <w:pPr>
                    <w:pStyle w:val="Compact"/>
                    <w:jc w:val="right"/>
                    <w:jc w:val="center"/>
                  </w:pPr>
                  <w:r>
                    <w:t xml:space="preserve">1</w:t>
                  </w:r>
                </w:p>
              </w:tc>
              <w:tc>
                <w:tcPr/>
                <w:p>
                  <w:pPr>
                    <w:pStyle w:val="Compact"/>
                    <w:jc w:val="right"/>
                    <w:jc w:val="center"/>
                  </w:pPr>
                  <w:r>
                    <w:t xml:space="preserve">1.452</w:t>
                  </w:r>
                </w:p>
              </w:tc>
            </w:tr>
            <w:tr>
              <w:tc>
                <w:tcPr/>
                <w:p>
                  <w:pPr>
                    <w:pStyle w:val="Compact"/>
                    <w:jc w:val="left"/>
                    <w:jc w:val="center"/>
                  </w:pPr>
                  <w:r>
                    <w:t xml:space="preserve">power_axes</w:t>
                  </w:r>
                </w:p>
              </w:tc>
              <w:tc>
                <w:tcPr/>
                <w:p>
                  <w:pPr>
                    <w:pStyle w:val="Compact"/>
                    <w:jc w:val="right"/>
                    <w:jc w:val="center"/>
                  </w:pPr>
                  <w:r>
                    <w:t xml:space="preserve">1.005</w:t>
                  </w:r>
                </w:p>
              </w:tc>
              <w:tc>
                <w:tcPr/>
                <w:p>
                  <w:pPr>
                    <w:pStyle w:val="Compact"/>
                    <w:jc w:val="right"/>
                    <w:jc w:val="center"/>
                  </w:pPr>
                  <w:r>
                    <w:t xml:space="preserve">748.550</w:t>
                  </w:r>
                </w:p>
              </w:tc>
              <w:tc>
                <w:tcPr/>
                <w:p>
                  <w:pPr>
                    <w:pStyle w:val="Compact"/>
                    <w:jc w:val="right"/>
                    <w:jc w:val="center"/>
                  </w:pPr>
                  <w:r>
                    <w:t xml:space="preserve">1489.957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0.704</w:t>
                  </w:r>
                </w:p>
              </w:tc>
              <w:tc>
                <w:tcPr/>
                <w:p>
                  <w:pPr>
                    <w:pStyle w:val="Compact"/>
                    <w:jc w:val="right"/>
                    <w:jc w:val="center"/>
                  </w:pPr>
                  <w:r>
                    <w:t xml:space="preserve">0.967</w:t>
                  </w:r>
                </w:p>
              </w:tc>
              <w:tc>
                <w:tcPr/>
                <w:p>
                  <w:pPr>
                    <w:pStyle w:val="Compact"/>
                    <w:jc w:val="right"/>
                    <w:jc w:val="center"/>
                  </w:pPr>
                  <w:r>
                    <w:t xml:space="preserve">0.947</w:t>
                  </w:r>
                </w:p>
              </w:tc>
              <w:tc>
                <w:tcPr/>
                <w:p>
                  <w:pPr>
                    <w:pStyle w:val="Compact"/>
                    <w:jc w:val="right"/>
                    <w:jc w:val="center"/>
                  </w:pPr>
                  <w:r>
                    <w:t xml:space="preserve">1</w:t>
                  </w:r>
                </w:p>
              </w:tc>
              <w:tc>
                <w:tcPr/>
                <w:p>
                  <w:pPr>
                    <w:pStyle w:val="Compact"/>
                    <w:jc w:val="right"/>
                    <w:jc w:val="center"/>
                  </w:pPr>
                  <w:r>
                    <w:t xml:space="preserve">9.113</w:t>
                  </w:r>
                </w:p>
              </w:tc>
            </w:tr>
          </w:tbl>
          <w:bookmarkEnd w:id="55"/>
          <w:p/>
        </w:tc>
      </w:tr>
    </w:tbl>
    <w:bookmarkEnd w:id="56"/>
    <w:bookmarkStart w:id="57" w:name="references"/>
    <w:p>
      <w:pPr>
        <w:pStyle w:val="Heading1"/>
      </w:pPr>
      <w:r>
        <w:t xml:space="preserve">References</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Debastiani, V. J. (2026). PCPS: principal coordinates of phylogenetic structure. R package version 1.0.9. doi:10.32614/CRAN.package.PCPS.</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Legendre, P., &amp; Gallagher, E. D. (2001). Ecologically meaningful transformations for ordination of species data.</w:t>
      </w:r>
      <w:r>
        <w:t xml:space="preserve"> </w:t>
      </w:r>
      <w:r>
        <w:rPr>
          <w:i/>
          <w:iCs/>
        </w:rPr>
        <w:t xml:space="preserve">Oecologia</w:t>
      </w:r>
      <w:r>
        <w:t xml:space="preserve">, 129, 271–280. https://doi.org/10.1007/s004420100716</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bookmarkEnd w:id="57"/>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2026-10-21T06:11:21Z</dcterms:created>
  <dcterms:modified xsi:type="dcterms:W3CDTF">2026-10-21T06:11:21Z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Branching times and dispersal, not tree imbalance, govern the performance of phylogenetic community–environment methods</vt:lpwstr>
  </property>
  <property fmtid="{D5CDD505-2E9C-101B-9397-08002B2CF9AE}" pid="9" name="toc-title">
    <vt:lpwstr>Table of contents</vt:lpwstr>
  </property>
</Properties>
</file>