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4.png" ContentType="image/png"/>
  <Override PartName="/word/media/rId21.png" ContentType="image/png"/>
  <Override PartName="/word/media/rId37.png" ContentType="image/png"/>
  <Override PartName="/word/media/rId41.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shape and metacommunity assembly govern the performance of phylogenetic community–environment methods</w:t>
      </w:r>
    </w:p>
    <w:p>
      <w:pPr>
        <w:pStyle w:val="Subtitle"/>
      </w:pPr>
      <w:r>
        <w:t xml:space="preserve">Abstract, Methods, Results and Discussion (draft)</w:t>
      </w:r>
    </w:p>
    <w:p>
      <w:pPr>
        <w:pStyle w:val="Date"/>
      </w:pPr>
      <w:r>
        <w:t xml:space="preserve">2026-10-20</w:t>
      </w:r>
    </w:p>
    <w:bookmarkStart w:id="20" w:name="abstract"/>
    <w:p>
      <w:pPr>
        <w:pStyle w:val="Heading1"/>
      </w:pPr>
      <w:r>
        <w:t xml:space="preserve">Abstract</w:t>
      </w:r>
    </w:p>
    <w:p>
      <w:pPr>
        <w:numPr>
          <w:ilvl w:val="0"/>
          <w:numId w:val="1001"/>
        </w:numPr>
      </w:pPr>
      <w:r>
        <w:t xml:space="preserve">Methods that relate the phylogenetic structure of metacommunities to environmental gradients, like the principal coordinates of phylogenetic structure (PCPS) and the phylogenetic community composition approach (PCC), were validated with static simulations on trees close to the Yule model. However, real phylogenies vary in topological imbalance and in the distribution of branching times, and dispersal and competition assemble metacommunities, so their published performance may not hold for empirical data.</w:t>
      </w:r>
    </w:p>
    <w:p>
      <w:pPr>
        <w:numPr>
          <w:ilvl w:val="0"/>
          <w:numId w:val="1001"/>
        </w:numPr>
      </w:pPr>
      <w:r>
        <w:t xml:space="preserve">We simulated metacommunities on a grid of tree shapes that crossed the distribution of branching times (γ) with topological imbalance (Colless index), with levels from anuran clades, in a static layer that reproduces the original validations and in a process-based layer with species sorting, mass effects and phylogenetic competition. We estimated the type I error and power of six tests, and how often four ordination and factorization methods recovered a clade planted along the gradient, with beta-binomial models of these rates.</w:t>
      </w:r>
    </w:p>
    <w:p>
      <w:pPr>
        <w:numPr>
          <w:ilvl w:val="0"/>
          <w:numId w:val="1001"/>
        </w:numPr>
      </w:pPr>
      <w:r>
        <w:t xml:space="preserve">Tree imbalance did not affect the type I error of any test. Phylogenetic signal in niche breadth inflated the type I error of the linear model on the second PCPS axis, up to 0.36 in trees with low γ, and of the PCC, up to 0.22. Low γ reduced the power of the linear model on the first PCPS axis by 0.40 and that of the PCC by 0.25, whereas PERMANOVA was almost insensitive to tree shape. Mass effects reduced power more than tree shape and almost abolished that of the PCC. The evoPCA and phylofactorization recovered the planted clade in 0.44–0.88 of the replicates in every tree shape, whereas PCPS depended strongly on γ and PCC rarely found the clade.</w:t>
      </w:r>
    </w:p>
    <w:p>
      <w:pPr>
        <w:numPr>
          <w:ilvl w:val="0"/>
          <w:numId w:val="1001"/>
        </w:numPr>
      </w:pPr>
      <w:r>
        <w:t xml:space="preserve">The performance of these methods seems to depend on the distribution of branching times and on the assembly process rather than on tree imbalance. Three regional anuran pools fell inside the simulated grid, so these results seem to apply to real metacommunities. We therefore recommend reporting γ of the analysed tree, caution with the second PCPS axis when niche breadth may be phylogenetically conserved, and using evoPCA or phylofactorization to identify the clades associated with a gradient.</w:t>
      </w:r>
    </w:p>
    <w:p>
      <w:pPr>
        <w:pStyle w:val="FirstParagraph"/>
      </w:pPr>
      <w:r>
        <w:t xml:space="preserve">Data and code availability for review: the code, the rates aggregated by condition and the scripts that reproduce every table and figure are available in an anonymized archive for review (https://doi.org/10.5281/zenodo.23500661); the public repository and its Zenodo archive will be cited after review.</w:t>
      </w:r>
    </w:p>
    <w:p>
      <w:pPr>
        <w:pStyle w:val="BodyText"/>
      </w:pPr>
      <w:r>
        <w:t xml:space="preserve">Keywords: γ statistic, metacommunity phylogenetics, phylogenetic fuzzy weighting, phylogenetic signal, simulation study, species sorting, tree balance, type I error</w:t>
      </w:r>
    </w:p>
    <w:bookmarkEnd w:id="20"/>
    <w:bookmarkStart w:id="36" w:name="methods"/>
    <w:p>
      <w:pPr>
        <w:pStyle w:val="Heading1"/>
      </w:pPr>
      <w:r>
        <w:t xml:space="preserve">Methods</w:t>
      </w:r>
    </w:p>
    <w:bookmarkStart w:id="25" w:name="overview-of-the-simulation-study"/>
    <w:p>
      <w:pPr>
        <w:pStyle w:val="Heading2"/>
      </w:pPr>
      <w:r>
        <w:t xml:space="preserve">Overview of the simulation study</w:t>
      </w:r>
    </w:p>
    <w:p>
      <w:pPr>
        <w:pStyle w:val="FirstParagraph"/>
      </w:pPr>
      <w:r>
        <w:t xml:space="preserve">We designed the simulation study following the aims, data-generating mechanisms, estimands, methods and performance measures structure recommended for simulation studies that evaluate statistical methods (DiRenzo et al., 2023; Williams et al., 2024). The study had three aims: (i) to estimate how the shape of the phylogenetic tree, measured as the distribution of branching times (the γ statistic; Pybus &amp; Harvey, 2000) and the imbalance of the topology (the Colless index; Colless, 1982), affects the type I error and the power of tests that relate the phylogenetic structure of metacommunities to an environmental gradient; (ii) to estimate how the same tests perform under different processes of metacommunity assembly, which, to the best of our knowledge, neither the articles that proposed these tests nor later evaluations of them have addressed (Peres-Neto &amp; Kembel, 2015; Duarte et al., 2016); and (iii) to estimate how well ordination and factorization methods recover a clade associated with the gradient. We generated metacommunities in two layers (</w:t>
      </w:r>
      <w:hyperlink w:anchor="fig-design">
        <w:r>
          <w:rPr>
            <w:rStyle w:val="Hyperlink"/>
          </w:rPr>
          <w:t xml:space="preserve">Fig. 1</w:t>
        </w:r>
      </w:hyperlink>
      <w:r>
        <w:t xml:space="preserve">). Layer A follows the static protocol of Peres-Neto, Leibold and Dray (2012), which was also used to validate the tests we evaluated, so our results can be compared directly with the published ones. Layer B simulates metacommunity dynamics with the process-based framework of Thompson et al. (2020), in which species sorting, mass effects and competition emerge from local population dynamics and dispersal.</w:t>
      </w:r>
    </w:p>
    <w:p>
      <w:pPr>
        <w:pStyle w:val="BodyText"/>
      </w:pPr>
      <w:r>
        <w:t xml:space="preserve">We stated four hypotheses before the main runs. We expected that (i) tree imbalance would move the type I error of the taxa shuffle away from the nominal level, since the phylogenetic weights of matrix</w:t>
      </w:r>
      <w:r>
        <w:t xml:space="preserve"> </w:t>
      </w:r>
      <m:oMath>
        <m:r>
          <m:rPr>
            <m:sty m:val="b"/>
          </m:rPr>
          <m:t>P</m:t>
        </m:r>
      </m:oMath>
      <w:r>
        <w:t xml:space="preserve"> </w:t>
      </w:r>
      <w:r>
        <w:t xml:space="preserve">are heterogeneous among tips in imbalanced trees (H1); (ii) phylogenetic signal in niche breadth or maximum abundance would inflate the type I error of all tests, with a magnitude that depends on tree shape (H2); (iii) very negative γ, that is, long internal branches near the root, would concentrate variation on the first PCPS axis and favour the recovery of basal over recent clades (H3); and (iv) the ranking of the methods in power and in clade recovery would change with tree shape (H4). The study was not registered. However, we wrote the design and the hypotheses down before the main runs (docs/PLANO_SIMULACAO.md, first committed on 16 October 2026 as commit 668fa60 of the code repository), and we report the departures from that plan in Appendix S1.</w:t>
      </w:r>
    </w:p>
    <w:tbl>
      <w:tblPr>
        <w:tblStyle w:val="Table"/>
        <w:tblW w:type="pct" w:w="5000"/>
        <w:tblLayout w:type="fixed"/>
        <w:tblLook w:firstRow="0" w:lastRow="0" w:firstColumn="0" w:lastColumn="0" w:noHBand="0" w:noVBand="0" w:val="0000"/>
      </w:tblPr>
      <w:tblGrid>
        <w:gridCol w:w="7920"/>
      </w:tblGrid>
      <w:tr>
        <w:tc>
          <w:tcPr/>
          <w:bookmarkStart w:id="24" w:name="fig-design"/>
          <w:p>
            <w:pPr>
              <w:pStyle w:val="Compact"/>
              <w:jc w:val="center"/>
            </w:pPr>
            <w:r>
              <w:drawing>
                <wp:inline>
                  <wp:extent cx="5753100" cy="2622454"/>
                  <wp:effectExtent b="0" l="0" r="0" t="0"/>
                  <wp:docPr descr="" title="" id="22" name="Picture"/>
                  <a:graphic>
                    <a:graphicData uri="http://schemas.openxmlformats.org/drawingml/2006/picture">
                      <pic:pic>
                        <pic:nvPicPr>
                          <pic:cNvPr descr="figures/fig1_schematic.png" id="23" name="Picture"/>
                          <pic:cNvPicPr>
                            <a:picLocks noChangeArrowheads="1" noChangeAspect="1"/>
                          </pic:cNvPicPr>
                        </pic:nvPicPr>
                        <pic:blipFill>
                          <a:blip r:embed="rId21"/>
                          <a:stretch>
                            <a:fillRect/>
                          </a:stretch>
                        </pic:blipFill>
                        <pic:spPr bwMode="auto">
                          <a:xfrm>
                            <a:off x="0" y="0"/>
                            <a:ext cx="5753100" cy="2622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and that the inference step uses the same two permutation null models for all tests on matrix</w:t>
            </w:r>
            <w:r>
              <w:t xml:space="preserve"> </w:t>
            </w:r>
            <m:oMath>
              <m:r>
                <m:rPr>
                  <m:sty m:val="b"/>
                </m:rPr>
                <m:t>P</m:t>
              </m:r>
            </m:oMath>
            <w:r>
              <w:t xml:space="preserve">.</w:t>
            </w:r>
          </w:p>
          <w:bookmarkEnd w:id="24"/>
        </w:tc>
      </w:tr>
    </w:tbl>
    <w:bookmarkEnd w:id="25"/>
    <w:bookmarkStart w:id="26" w:name="tree-shapes"/>
    <w:p>
      <w:pPr>
        <w:pStyle w:val="Heading2"/>
      </w:pPr>
      <w:r>
        <w:t xml:space="preserve">Tree shapes</w:t>
      </w:r>
    </w:p>
    <w:p>
      <w:pPr>
        <w:pStyle w:val="FirstParagraph"/>
      </w:pPr>
      <w:r>
        <w:t xml:space="preserve">We controlled γ and the Colless index independently by generating topology and branching times from separate processes. We drew topologies from Aldous’s β-splitting model (Aldous, 1996), in which</w:t>
      </w:r>
      <w:r>
        <w:t xml:space="preserve"> </w:t>
      </w:r>
      <m:oMath>
        <m:r>
          <m:t>β</m:t>
        </m:r>
        <m:r>
          <m:rPr>
            <m:sty m:val="p"/>
          </m:rPr>
          <m:t>=</m:t>
        </m:r>
        <m:r>
          <m:t>0</m:t>
        </m:r>
      </m:oMath>
      <w:r>
        <w:t xml:space="preserve"> </w:t>
      </w:r>
      <w:r>
        <w:t xml:space="preserve">gives Yule trees and smaller values give increasingly imbalanced trees,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which produces negative γ. Because γ depends only on the intervals between nodes and the Colless index only on the topology, this construction controls the two axes separately (Appendix S1). We took the levels of the grid from the anuran clades with 40–250 tips of the time-calibrated species-level tree of Portik et al. (2023), with the Colless index normalized against its Yule expectation and both statistics computed with the R package treestats v. 1.71.13 (Janzen &amp; Etienne, 2024). For each pool size N (50, 100 and 200 species, as in Duarte et al., 2016), γ took three levels, namely zero (as in a Yule tree), the median of the empirical clades and their 10% quantile, and the Colless index took three levels, zero, the median and the 90% quantile (Table S1). Thus, the 3 × 3 grid spans the empirical range of anuran tree shapes between the 10% and 90% quantiles, although it has no level with γ &gt; 0, and its Yule × Yule cell approximates the trees used in previous validations (Peres-Neto &amp; Kembel, 2015; Duarte et al., 2016). We drew 1,000 trees per cell and N, and replicate</w:t>
      </w:r>
      <w:r>
        <w:t xml:space="preserve"> </w:t>
      </w:r>
      <m:oMath>
        <m:r>
          <m:t>r</m:t>
        </m:r>
      </m:oMath>
      <w:r>
        <w:t xml:space="preserve"> </w:t>
      </w:r>
      <w:r>
        <w:t xml:space="preserve">of every scenario used tree</w:t>
      </w:r>
      <w:r>
        <w:t xml:space="preserve"> </w:t>
      </w:r>
      <m:oMath>
        <m:r>
          <m:t>r</m:t>
        </m:r>
      </m:oMath>
      <w:r>
        <w:t xml:space="preserve"> </w:t>
      </w:r>
      <w:r>
        <w:t xml:space="preserve">of its cell, so that the scenarios were paired by tree.</w:t>
      </w:r>
    </w:p>
    <w:bookmarkEnd w:id="26"/>
    <w:bookmarkStart w:id="27" w:name="layer-a-static-metacommunities"/>
    <w:p>
      <w:pPr>
        <w:pStyle w:val="Heading2"/>
      </w:pPr>
      <w:r>
        <w:t xml:space="preserve">Layer A: static metacommunities</w:t>
      </w:r>
    </w:p>
    <w:p>
      <w:pPr>
        <w:pStyle w:val="FirstParagraph"/>
      </w:pPr>
      <w:r>
        <w:t xml:space="preserve">Each metacommunity had 100 sites along an environmental gradient</w:t>
      </w:r>
      <w:r>
        <w:t xml:space="preserve"> </w:t>
      </w:r>
      <m:oMath>
        <m:r>
          <m:t>E</m:t>
        </m:r>
      </m:oMath>
      <w:r>
        <w:t xml:space="preserve"> </w:t>
      </w:r>
      <w:r>
        <w:t xml:space="preserve">drawn from a uniform distribution between 0 and 100. The expected abundance of species</w:t>
      </w:r>
      <w:r>
        <w:t xml:space="preserve"> </w:t>
      </w:r>
      <m:oMath>
        <m:r>
          <m:t>j</m:t>
        </m:r>
      </m:oMath>
      <w:r>
        <w:t xml:space="preserve"> </w:t>
      </w:r>
      <w:r>
        <w:t xml:space="preserve">at site</w:t>
      </w:r>
      <w:r>
        <w:t xml:space="preserve"> </w:t>
      </w:r>
      <m:oMath>
        <m:r>
          <m:t>i</m:t>
        </m:r>
      </m:oMath>
      <w:r>
        <w:t xml:space="preserve"> </w:t>
      </w:r>
      <w:r>
        <w:t xml:space="preserve">followed a Gaussian response,</w:t>
      </w:r>
    </w:p>
    <w:p>
      <w:pPr>
        <w:pStyle w:val="BodyText"/>
      </w:pPr>
      <m:oMathPara>
        <m:oMathParaPr>
          <m:jc m:val="center"/>
        </m:oMathParaPr>
        <m:oMath>
          <m:sSub>
            <m:e>
              <m:r>
                <m:t>L</m:t>
              </m:r>
            </m:e>
            <m:sub>
              <m:r>
                <m:t>i</m:t>
              </m:r>
              <m:r>
                <m:t>j</m:t>
              </m:r>
            </m:sub>
          </m:sSub>
          <m:r>
            <m:rPr>
              <m:sty m:val="p"/>
            </m:rPr>
            <m:t>=</m:t>
          </m:r>
          <m:sSub>
            <m:e>
              <m:r>
                <m:t>h</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r>
            <m:rPr>
              <m:sty m:val="p"/>
            </m:rPr>
            <m:t>,</m:t>
          </m:r>
        </m:oMath>
      </m:oMathPara>
    </w:p>
    <w:p>
      <w:pPr>
        <w:pStyle w:val="FirstParagraph"/>
      </w:pPr>
      <w:r>
        <w:t xml:space="preserve">and we drew the observed abundance from a Poisson distribution with mean</w:t>
      </w:r>
      <w:r>
        <w:t xml:space="preserve"> </w:t>
      </w:r>
      <m:oMath>
        <m:sSub>
          <m:e>
            <m:r>
              <m:t>L</m:t>
            </m:r>
          </m:e>
          <m:sub>
            <m:r>
              <m:t>i</m:t>
            </m:r>
            <m:r>
              <m:t>j</m:t>
            </m:r>
          </m:sub>
        </m:sSub>
      </m:oMath>
      <w:r>
        <w:t xml:space="preserve"> </w:t>
      </w:r>
      <w:r>
        <w:t xml:space="preserve">(Peres-Neto et al., 2012). We simulated the optimum</w:t>
      </w:r>
      <w:r>
        <w:t xml:space="preserve"> </w:t>
      </w:r>
      <m:oMath>
        <m:sSub>
          <m:e>
            <m:r>
              <m:t>u</m:t>
            </m:r>
          </m:e>
          <m:sub>
            <m:r>
              <m:t>j</m:t>
            </m:r>
          </m:sub>
        </m:sSub>
      </m:oMath>
      <w:r>
        <w:t xml:space="preserve"> </w:t>
      </w:r>
      <w:r>
        <w:t xml:space="preserve">as a continuous trait on the tree under Brownian motion transformed by Pagel’s λ (Pagel, 1999) and rescaled it to the interval [−1, 101]; niche breadth</w:t>
      </w:r>
      <w:r>
        <w:t xml:space="preserve"> </w:t>
      </w:r>
      <m:oMath>
        <m:sSub>
          <m:e>
            <m:r>
              <m:t>σ</m:t>
            </m:r>
          </m:e>
          <m:sub>
            <m:r>
              <m:t>j</m:t>
            </m:r>
          </m:sub>
        </m:sSub>
      </m:oMath>
      <w:r>
        <w:t xml:space="preserve"> </w:t>
      </w:r>
      <w:r>
        <w:t xml:space="preserve">came from a normal distribution with mean 10 and standard deviation 10, truncated at zero, and maximum abundance</w:t>
      </w:r>
      <w:r>
        <w:t xml:space="preserve"> </w:t>
      </w:r>
      <m:oMath>
        <m:sSub>
          <m:e>
            <m:r>
              <m:t>h</m:t>
            </m:r>
          </m:e>
          <m:sub>
            <m:r>
              <m:t>j</m:t>
            </m:r>
          </m:sub>
        </m:sSub>
      </m:oMath>
      <w:r>
        <w:t xml:space="preserve"> </w:t>
      </w:r>
      <w:r>
        <w:t xml:space="preserve">from a uniform distribution between 0 and 30. In addition,</w:t>
      </w:r>
      <w:r>
        <w:t xml:space="preserve"> </w:t>
      </w:r>
      <m:oMath>
        <m:sSub>
          <m:e>
            <m:r>
              <m:t>σ</m:t>
            </m:r>
          </m:e>
          <m:sub>
            <m:r>
              <m:t>j</m:t>
            </m:r>
          </m:sub>
        </m:sSub>
      </m:oMath>
      <w:r>
        <w:t xml:space="preserve"> </w:t>
      </w:r>
      <w:r>
        <w:t xml:space="preserve">and</w:t>
      </w:r>
      <w:r>
        <w:t xml:space="preserve"> </w:t>
      </w:r>
      <m:oMath>
        <m:sSub>
          <m:e>
            <m:r>
              <m:t>h</m:t>
            </m:r>
          </m:e>
          <m:sub>
            <m:r>
              <m:t>j</m:t>
            </m:r>
          </m:sub>
        </m:sSub>
      </m:oMath>
      <w:r>
        <w:t xml:space="preserve"> </w:t>
      </w:r>
      <w:r>
        <w:t xml:space="preserve">could carry phylogenetic signal, with the same marginal distribution as without signal, so that the two cases differed only in how the values were arranged on the tree (Appendix S1). We removed empty sites and pruned absent species from the tree before analysis, as one would with real data, and analysed both incidence and abundance data.</w:t>
      </w:r>
    </w:p>
    <w:bookmarkEnd w:id="27"/>
    <w:bookmarkStart w:id="28" w:name="layer-b-process-based-metacommunities"/>
    <w:p>
      <w:pPr>
        <w:pStyle w:val="Heading2"/>
      </w:pPr>
      <w:r>
        <w:t xml:space="preserve">Layer B: process-based metacommunities</w:t>
      </w:r>
    </w:p>
    <w:p>
      <w:pPr>
        <w:pStyle w:val="FirstParagraph"/>
      </w:pPr>
      <w:r>
        <w:t xml:space="preserve">Layer B followed the equations of Thompson et al. (2020), which we implemented in R. At each time step, the expected abundance of species</w:t>
      </w:r>
      <w:r>
        <w:t xml:space="preserve"> </w:t>
      </w:r>
      <m:oMath>
        <m:r>
          <m:t>j</m:t>
        </m:r>
      </m:oMath>
      <w:r>
        <w:t xml:space="preserve"> </w:t>
      </w:r>
      <w:r>
        <w:t xml:space="preserve">at site</w:t>
      </w:r>
      <w:r>
        <w:t xml:space="preserve"> </w:t>
      </w:r>
      <m:oMath>
        <m:r>
          <m:t>i</m:t>
        </m:r>
      </m:oMath>
      <w:r>
        <w:t xml:space="preserve"> </w:t>
      </w:r>
      <w:r>
        <w:t xml:space="preserve">was its density-independent growth rate, a Gaussian function of the mismatch between</w:t>
      </w:r>
      <w:r>
        <w:t xml:space="preserve"> </w:t>
      </w:r>
      <m:oMath>
        <m:sSub>
          <m:e>
            <m:r>
              <m:t>u</m:t>
            </m:r>
          </m:e>
          <m:sub>
            <m:r>
              <m:t>j</m:t>
            </m:r>
          </m:sub>
        </m:sSub>
      </m:oMath>
      <w:r>
        <w:t xml:space="preserve"> </w:t>
      </w:r>
      <w:r>
        <w:t xml:space="preserve">and</w:t>
      </w:r>
      <w:r>
        <w:t xml:space="preserve"> </w:t>
      </w:r>
      <m:oMath>
        <m:sSub>
          <m:e>
            <m:r>
              <m:t>E</m:t>
            </m:r>
          </m:e>
          <m:sub>
            <m:r>
              <m:t>i</m:t>
            </m:r>
          </m:sub>
        </m:sSub>
      </m:oMath>
      <w:r>
        <w:t xml:space="preserve"> </w:t>
      </w:r>
      <w:r>
        <w:t xml:space="preserve">with breadth</w:t>
      </w:r>
      <w:r>
        <w:t xml:space="preserve"> </w:t>
      </w:r>
      <m:oMath>
        <m:sSub>
          <m:e>
            <m:r>
              <m:t>σ</m:t>
            </m:r>
          </m:e>
          <m:sub>
            <m:r>
              <m:t>j</m:t>
            </m:r>
          </m:sub>
        </m:sSub>
      </m:oMath>
      <w:r>
        <w:t xml:space="preserve"> </w:t>
      </w:r>
      <w:r>
        <w:t xml:space="preserve">and maximum</w:t>
      </w:r>
      <w:r>
        <w:t xml:space="preserve"> </w:t>
      </w:r>
      <m:oMath>
        <m:sSub>
          <m:e>
            <m:r>
              <m:t>r</m:t>
            </m:r>
          </m:e>
          <m:sub>
            <m:r>
              <m:t>j</m:t>
            </m:r>
          </m:sub>
        </m:sSub>
      </m:oMath>
      <w:r>
        <w:t xml:space="preserve">, multiplied by its abundance and divided by one plus the summed competitive effects of all species at the site, following a Beverton–Holt model (Beverton &amp; Holt, 1957). Abundances were then drawn from a Poisson distribution, and a proportion</w:t>
      </w:r>
      <w:r>
        <w:t xml:space="preserve"> </w:t>
      </w:r>
      <m:oMath>
        <m:r>
          <m:t>a</m:t>
        </m:r>
      </m:oMath>
      <w:r>
        <w:t xml:space="preserve"> </w:t>
      </w:r>
      <w:r>
        <w:t xml:space="preserve">of the individuals dispersed uniformly among sites, so that sites had no spatial structure and remained exchangeable, which keeps the site shuffle a valid null model. The dynamics ran for 1,000 steps, and we analysed the final state as incidence data; the full model and its settings are given in Appendix S1. We crossed two dispersal regimes with two competition structures, giving four archetypes. Dispersal was low (</w:t>
      </w:r>
      <m:oMath>
        <m:r>
          <m:t>a</m:t>
        </m:r>
        <m:r>
          <m:rPr>
            <m:sty m:val="p"/>
          </m:rPr>
          <m:t>=</m:t>
        </m:r>
        <m:r>
          <m:t>0.01</m:t>
        </m:r>
      </m:oMath>
      <w:r>
        <w:t xml:space="preserve">) in species sorting and high (</w:t>
      </w:r>
      <m:oMath>
        <m:r>
          <m:t>a</m:t>
        </m:r>
        <m:r>
          <m:rPr>
            <m:sty m:val="p"/>
          </m:rPr>
          <m:t>=</m:t>
        </m:r>
        <m:r>
          <m:t>0.5</m:t>
        </m:r>
      </m:oMath>
      <w:r>
        <w:t xml:space="preserve">) in mass effects, and competition was either intraspecific only or also interspecific and structured by phylogeny, so that close relatives competed more strongly. Since competition and dispersal remove species, the cell of the grid defined the tree of the regional pool rather than the tree of the analysed metacommunity, and we calibrated the size of the pool so that the mean number of species left after the dynamics was close to N. Mass effects with phylogenetic competition could not reach N = 200, and we dropped this combination. Layer B used five cells of the grid (the four corners and the centre) and 1,000 replicates per combination.</w:t>
      </w:r>
    </w:p>
    <w:bookmarkEnd w:id="28"/>
    <w:bookmarkStart w:id="30" w:name="scenarios-and-estimands"/>
    <w:p>
      <w:pPr>
        <w:pStyle w:val="Heading2"/>
      </w:pPr>
      <w:r>
        <w:t xml:space="preserve">Scenarios and estimands</w:t>
      </w:r>
    </w:p>
    <w:p>
      <w:pPr>
        <w:pStyle w:val="FirstParagraph"/>
      </w:pPr>
      <w:r>
        <w:t xml:space="preserve">The eight trait scenarios were the same in both layers (</w:t>
      </w:r>
      <w:hyperlink w:anchor="tbl-scenarios">
        <w:r>
          <w:rPr>
            <w:rStyle w:val="Hyperlink"/>
          </w:rPr>
          <w:t xml:space="preserve">Table 1</w:t>
        </w:r>
      </w:hyperlink>
      <w:r>
        <w:t xml:space="preserve">). In S0 and S1, we analysed a gradient independent of the one that generated the data, with species optima without (S0) or with (S1) phylogenetic signal, so any association between phylogenetic structure and the analysed gradient arises by chance. Scenarios S2, S2σ and S2h used the gradient that generated the data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scenarios under the alternative hypothesis had optima with intermediate (S3a, λ = 0.5) or full (S3b, λ = 1) phylogenetic signal, and S3σ added signal in niche breadth. Accordingly, the estimand of every test was its rejection rate at α = 0.05, which is the type I error in S0–S2h and the power in S3a–S3σ. For aim (iii), the estimand was the probability that a method identifies a planted clade.</w:t>
      </w:r>
    </w:p>
    <w:tbl>
      <w:tblPr>
        <w:tblStyle w:val="Table"/>
        <w:tblW w:type="pct" w:w="5000"/>
        <w:tblLayout w:type="fixed"/>
        <w:tblLook w:firstRow="0" w:lastRow="0" w:firstColumn="0" w:lastColumn="0" w:noHBand="0" w:noVBand="0" w:val="0000"/>
      </w:tblPr>
      <w:tblGrid>
        <w:gridCol w:w="7920"/>
      </w:tblGrid>
      <w:tr>
        <w:tc>
          <w:tcPr/>
          <w:bookmarkStart w:id="29" w:name="tbl-scenarios"/>
          <w:p>
            <w:pPr>
              <w:jc w:val="center"/>
            </w:pPr>
            <w:pPr>
              <w:jc w:val="left"/>
              <w:spacing w:before="200"/>
              <w:pStyle w:val="ImageCaption"/>
            </w:pPr>
            <w:r>
              <w:t xml:space="preserve">Table 1: Trait scenarios of both layers.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29"/>
          <w:p/>
        </w:tc>
      </w:tr>
    </w:tbl>
    <w:bookmarkEnd w:id="30"/>
    <w:bookmarkStart w:id="31" w:name="methods-compared"/>
    <w:p>
      <w:pPr>
        <w:pStyle w:val="Heading2"/>
      </w:pPr>
      <w:r>
        <w:t xml:space="preserve">Methods compared</w:t>
      </w:r>
    </w:p>
    <w:p>
      <w:pPr>
        <w:pStyle w:val="FirstParagraph"/>
      </w:pPr>
      <w:r>
        <w:t xml:space="preserve">All tests relate the matrix</w:t>
      </w:r>
      <w:r>
        <w:t xml:space="preserve"> </w:t>
      </w:r>
      <m:oMath>
        <m:r>
          <m:rPr>
            <m:sty m:val="b"/>
          </m:rPr>
          <m:t>P</m:t>
        </m:r>
      </m:oMath>
      <w:r>
        <w:t xml:space="preserve"> </w:t>
      </w:r>
      <w:r>
        <w:t xml:space="preserve">of phylogeny-weighted species composition (Pillar &amp; Duarte, 2010; Duarte et al., 2016), or the phylogenetic eigenvectors, to the gradient. We computed</w:t>
      </w:r>
      <w:r>
        <w:t xml:space="preserve"> </w:t>
      </w:r>
      <m:oMath>
        <m:r>
          <m:rPr>
            <m:sty m:val="b"/>
          </m:rPr>
          <m:t>P</m:t>
        </m:r>
      </m:oMath>
      <w:r>
        <w:t xml:space="preserve"> </w:t>
      </w:r>
      <w:r>
        <w:t xml:space="preserve">with phylogenetic fuzzy weighting and the square-rooted Bray–Curtis dissimilarity between sites (</w:t>
      </w:r>
      <m:oMath>
        <m:sSub>
          <m:e>
            <m:r>
              <m:t>D</m:t>
            </m:r>
          </m:e>
          <m:sub>
            <m:r>
              <m:t>P</m:t>
            </m:r>
          </m:sub>
        </m:sSub>
      </m:oMath>
      <w:r>
        <w:t xml:space="preserve">), and tested its association with</w:t>
      </w:r>
      <w:r>
        <w:t xml:space="preserve"> </w:t>
      </w:r>
      <m:oMath>
        <m:r>
          <m:t>E</m:t>
        </m:r>
      </m:oMath>
      <w:r>
        <w:t xml:space="preserve"> </w:t>
      </w:r>
      <w:r>
        <w:t xml:space="preserve">with a permutational multivariate analysis of variance (PERMANOVA; Anderson, 2001) and a Mantel test (Mantel, 1967), as in Duarte et al. (2016). We also extracted the principal coordinates of phylogenetic structure (PCPS; Duarte, 2011; Duarte et al., 2012) from</w:t>
      </w:r>
      <w:r>
        <w:t xml:space="preserve"> </w:t>
      </w:r>
      <m:oMath>
        <m:sSub>
          <m:e>
            <m:r>
              <m:t>D</m:t>
            </m:r>
          </m:e>
          <m:sub>
            <m:r>
              <m:t>P</m:t>
            </m:r>
          </m:sub>
        </m:sSub>
      </m:oMath>
      <w:r>
        <w:t xml:space="preserve"> </w:t>
      </w:r>
      <w:r>
        <w:t xml:space="preserve">and fitted a linear model of each of the first two axes on</w:t>
      </w:r>
      <w:r>
        <w:t xml:space="preserve"> </w:t>
      </w:r>
      <m:oMath>
        <m:r>
          <m:t>E</m:t>
        </m:r>
      </m:oMath>
      <w:r>
        <w:t xml:space="preserve"> </w:t>
      </w:r>
      <w:r>
        <w:t xml:space="preserve">(GLM PCPS1 and GLM PCPS2); in Layer B, we also fitted a redundancy analysis of both axes on</w:t>
      </w:r>
      <w:r>
        <w:t xml:space="preserve"> </w:t>
      </w:r>
      <m:oMath>
        <m:r>
          <m:t>E</m:t>
        </m:r>
      </m:oMath>
      <w:r>
        <w:t xml:space="preserve"> </w:t>
      </w:r>
      <w:r>
        <w:t xml:space="preserve">(RDA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We report the largest of the two P-values (max test), which controls the type I error when either null hypothesis holds (Peres-Neto &amp; Kembel, 2015; Duarte et al., 2016). The observed statistics of our permutation code equal those of the R packages vegan v. 2.7-6 (Oksanen et al., 2026) and PCPS v. 1.0.9 (Debastiani, 2026), which we checked in unit tests.</w:t>
      </w:r>
    </w:p>
    <w:bookmarkEnd w:id="31"/>
    <w:bookmarkStart w:id="32" w:name="recovery-of-a-planted-clade"/>
    <w:p>
      <w:pPr>
        <w:pStyle w:val="Heading2"/>
      </w:pPr>
      <w:r>
        <w:t xml:space="preserve">Recovery of a planted clade</w:t>
      </w:r>
    </w:p>
    <w:p>
      <w:pPr>
        <w:pStyle w:val="FirstParagraph"/>
      </w:pPr>
      <w:r>
        <w:t xml:space="preserve">To evaluate aim (iii), we planted a clade associated with the gradient in each replicate of Layer A. We drew one internal node whose clade held 10–30% of the tips, either among the older or among the younger half of the eligible nodes, so that basal and recent clades of similar size could be compared. The optima of all species were</w:t>
      </w:r>
    </w:p>
    <w:p>
      <w:pPr>
        <w:pStyle w:val="BodyText"/>
      </w:pPr>
      <m:oMathPara>
        <m:oMathParaPr>
          <m:jc m:val="center"/>
        </m:oMathParaPr>
        <m:oMath>
          <m:sSub>
            <m:e>
              <m:r>
                <m:t>u</m:t>
              </m:r>
            </m:e>
            <m:sub>
              <m:r>
                <m:t>j</m:t>
              </m:r>
            </m:sub>
          </m:sSub>
          <m:r>
            <m:rPr>
              <m:sty m:val="p"/>
            </m:rPr>
            <m:t>=</m:t>
          </m:r>
          <m:r>
            <m:rPr>
              <m:sty m:val="p"/>
            </m:rPr>
            <m:t>−</m:t>
          </m:r>
          <m:r>
            <m:t>1</m:t>
          </m:r>
          <m:r>
            <m:rPr>
              <m:sty m:val="p"/>
            </m:rPr>
            <m:t>+</m:t>
          </m:r>
          <m:r>
            <m:t>102</m:t>
          </m:r>
          <m:r>
            <m:t> </m:t>
          </m:r>
          <m:r>
            <m:t>Φ</m:t>
          </m:r>
          <m:d>
            <m:dPr>
              <m:begChr m:val="("/>
              <m:sepChr m:val=""/>
              <m:endChr m:val=")"/>
              <m:grow/>
            </m:dPr>
            <m:e>
              <m:sSub>
                <m:e>
                  <m:r>
                    <m:t>z</m:t>
                  </m:r>
                </m:e>
                <m:sub>
                  <m:r>
                    <m:t>j</m:t>
                  </m:r>
                </m:sub>
              </m:sSub>
              <m:r>
                <m:rPr>
                  <m:sty m:val="p"/>
                </m:rPr>
                <m:t>+</m:t>
              </m:r>
              <m:r>
                <m:t>δ</m:t>
              </m:r>
              <m:sSub>
                <m:e>
                  <m:r>
                    <m:t>I</m:t>
                  </m:r>
                </m:e>
                <m:sub>
                  <m:r>
                    <m:t>j</m:t>
                  </m:r>
                </m:sub>
              </m:sSub>
            </m:e>
          </m:d>
          <m:r>
            <m:rPr>
              <m:sty m:val="p"/>
            </m:rPr>
            <m:t>,</m:t>
          </m:r>
        </m:oMath>
      </m:oMathPara>
    </w:p>
    <w:p>
      <w:pPr>
        <w:pStyle w:val="FirstParagraph"/>
      </w:pPr>
      <w:r>
        <w:t xml:space="preserve">where</w:t>
      </w:r>
      <w:r>
        <w:t xml:space="preserve"> </w:t>
      </w:r>
      <m:oMath>
        <m:sSub>
          <m:e>
            <m:r>
              <m:t>z</m:t>
            </m:r>
          </m:e>
          <m:sub>
            <m:r>
              <m:t>j</m:t>
            </m:r>
          </m:sub>
        </m:sSub>
      </m:oMath>
      <w:r>
        <w:t xml:space="preserve"> </w:t>
      </w:r>
      <w:r>
        <w:t xml:space="preserve">are independent standard normal deviates,</w:t>
      </w:r>
      <w:r>
        <w:t xml:space="preserve"> </w:t>
      </w:r>
      <m:oMath>
        <m:sSub>
          <m:e>
            <m:r>
              <m:t>I</m:t>
            </m:r>
          </m:e>
          <m:sub>
            <m:r>
              <m:t>j</m:t>
            </m:r>
          </m:sub>
        </m:sSub>
      </m:oMath>
      <w:r>
        <w:t xml:space="preserve"> </w:t>
      </w:r>
      <w:r>
        <w:t xml:space="preserve">indicates membership of the planted clade,</w:t>
      </w:r>
      <w:r>
        <w:t xml:space="preserve"> </w:t>
      </w:r>
      <m:oMath>
        <m:r>
          <m:t>δ</m:t>
        </m:r>
      </m:oMath>
      <w:r>
        <w:t xml:space="preserve"> </w:t>
      </w:r>
      <w:r>
        <w:t xml:space="preserve">is the shift and Φ is the standard normal distribution function; the other species therefore had no phylogenetic signal in their optima, and the shift has the same meaning for every tree size. We used shifts of 0.5, 1 and 2, all nine cells of the grid, N = 50, 100 and 200 with incidence data, and N = 100 with abundance data, with 1,000 replicates per combination, and the planted clade, the optima and the gradient of a replicate were the same across shifts and data types. We compared PCPS, PCC, the evolutionary principal component analysis (evoPCA; Pavoine, 2016), computed with the R package adiv v. 2.2.1 (Pavoine, 2020), and phylofactorization (Washburne et al., 2017). Each method gave a score to every internal node: for the three ordinations, the absolute correlation between membership of its clade and the species scores on the axis most correlated with</w:t>
      </w:r>
      <w:r>
        <w:t xml:space="preserve"> </w:t>
      </w:r>
      <m:oMath>
        <m:r>
          <m:t>E</m:t>
        </m:r>
      </m:oMath>
      <w:r>
        <w:t xml:space="preserve"> </w:t>
      </w:r>
      <w:r>
        <w:t xml:space="preserve">among the first four, and for phylofactorization the objective of the algorithm (Appendix S1). A method recovered the clade when its best-scoring clade was the planted one or its complement. As complementary measures, which give partial credit to a method that chooses a nested or a slightly larger clade, we recorded the rank of the planted node among all nodes and the Jaccard similarity between the best-scoring and the planted clades.</w:t>
      </w:r>
    </w:p>
    <w:bookmarkEnd w:id="32"/>
    <w:bookmarkStart w:id="33" w:name="X53da85fff317b1dec52893db24bd78d79ba735e"/>
    <w:p>
      <w:pPr>
        <w:pStyle w:val="Heading2"/>
      </w:pPr>
      <w:r>
        <w:t xml:space="preserve">Performance measures and statistical models</w:t>
      </w:r>
    </w:p>
    <w:p>
      <w:pPr>
        <w:pStyle w:val="FirstParagraph"/>
      </w:pPr>
      <w:r>
        <w:t xml:space="preserve">The performance measure of each test was its rejection rate across the</w:t>
      </w:r>
      <w:r>
        <w:t xml:space="preserve"> </w:t>
      </w:r>
      <m:oMath>
        <m:r>
          <m:t>K</m:t>
        </m:r>
        <m:r>
          <m:rPr>
            <m:sty m:val="p"/>
          </m:rPr>
          <m:t>=</m:t>
        </m:r>
        <m:r>
          <m:t>1</m:t>
        </m:r>
        <m:r>
          <m:rPr>
            <m:sty m:val="p"/>
          </m:rPr>
          <m:t>,</m:t>
        </m:r>
        <m:r>
          <m:t>000</m:t>
        </m:r>
      </m:oMath>
      <w:r>
        <w:t xml:space="preserve"> </w:t>
      </w:r>
      <w:r>
        <w:t xml:space="preserve">replicates of a condition, and that of each clade-recovery method was its proportion of hits. The Monte Carlo standard error of a rate</w:t>
      </w:r>
      <w:r>
        <w:t xml:space="preserve"> </w:t>
      </w:r>
      <m:oMath>
        <m:r>
          <m:t>p</m:t>
        </m:r>
      </m:oMath>
      <w:r>
        <w:t xml:space="preserve"> </w:t>
      </w:r>
      <w:r>
        <w:t xml:space="preserve">is</w:t>
      </w:r>
      <w:r>
        <w:t xml:space="preserve"> </w:t>
      </w:r>
      <m:oMath>
        <m:rad>
          <m:radPr>
            <m:degHide m:val="on"/>
          </m:radPr>
          <m:deg/>
          <m:e>
            <m:r>
              <m:t>p</m:t>
            </m:r>
            <m:d>
              <m:dPr>
                <m:begChr m:val="("/>
                <m:sepChr m:val=""/>
                <m:endChr m:val=")"/>
                <m:grow/>
              </m:dPr>
              <m:e>
                <m:r>
                  <m:t>1</m:t>
                </m:r>
                <m:r>
                  <m:rPr>
                    <m:sty m:val="p"/>
                  </m:rPr>
                  <m:t>−</m:t>
                </m:r>
                <m:r>
                  <m:t>p</m:t>
                </m:r>
              </m:e>
            </m:d>
            <m:r>
              <m:rPr>
                <m:sty m:val="p"/>
              </m:rPr>
              <m:t>/</m:t>
            </m:r>
            <m:r>
              <m:t>K</m:t>
            </m:r>
          </m:e>
        </m:rad>
      </m:oMath>
      <w:r>
        <w:t xml:space="preserve">, which is 0.007 at</w:t>
      </w:r>
      <w:r>
        <w:t xml:space="preserve"> </w:t>
      </w:r>
      <m:oMath>
        <m:r>
          <m:t>p</m:t>
        </m:r>
        <m:r>
          <m:rPr>
            <m:sty m:val="p"/>
          </m:rPr>
          <m:t>=</m:t>
        </m:r>
        <m:r>
          <m:t>0.05</m:t>
        </m:r>
      </m:oMath>
      <w:r>
        <w:t xml:space="preserve"> </w:t>
      </w:r>
      <w:r>
        <w:t xml:space="preserve">and at most 0.016 at</w:t>
      </w:r>
      <w:r>
        <w:t xml:space="preserve"> </w:t>
      </w:r>
      <m:oMath>
        <m:r>
          <m:t>p</m:t>
        </m:r>
        <m:r>
          <m:rPr>
            <m:sty m:val="p"/>
          </m:rPr>
          <m:t>=</m:t>
        </m:r>
        <m:r>
          <m:t>0.5</m:t>
        </m:r>
      </m:oMath>
      <w:r>
        <w:t xml:space="preserve">, so a 95% Monte Carlo interval around the nominal level spans about ±0.014. We chose</w:t>
      </w:r>
      <w:r>
        <w:t xml:space="preserve"> </w:t>
      </w:r>
      <m:oMath>
        <m:r>
          <m:t>K</m:t>
        </m:r>
      </m:oMath>
      <w:r>
        <w:t xml:space="preserve"> </w:t>
      </w:r>
      <w:r>
        <w:t xml:space="preserve">so that this interval falls within Bradley’s liberal criterion for acceptable type I error, [0.025, 0.075] (Bradley, 1978). We report every rate with its Monte Carlo standard error in Table S2, and the credible intervals of the formal models below include the binomial variation among replicates. We then modelled the rates aggregated by condition with beta-binomial models fitted in the R package brms v. 2.23.0 (Bürkner, 2017) with CmdStan v. 2.39.0 through cmdstanr v. 0.9.0 (Gabry et al., 2025), with one model for the type I error and one for the power in each layer, and one for clade recovery. We entered the levels of γ and of the Colless index as factors, with their interaction, which estimates the full γ × imbalance surface without assuming its form, and let the shape effects differ among tests (or methods), scenarios, N and data type (Appendix S1). The beta-binomial accounts for the dispersion of the rates, which was 2.1–8.5 times larger than binomial in quasibinomial models with the same structure. Priors were declared explicitly on the logit scale, normal(0, 1.5) for the coefficients, normal(−2.9, 1.5) for the intercept of the type I models, centred on logit(0.05), and gamma(2, 0.01) for the precision φ. We checked convergence with the rank-normalized</w:t>
      </w:r>
      <w:r>
        <w:t xml:space="preserve"> </w:t>
      </w:r>
      <m:oMath>
        <m:acc>
          <m:accPr>
            <m:chr m:val="̂"/>
          </m:accPr>
          <m:e>
            <m:r>
              <m:t>R</m:t>
            </m:r>
          </m:e>
        </m:acc>
      </m:oMath>
      <w:r>
        <w:t xml:space="preserve">, the bulk and tail effective sample sizes and the numbers of divergent transitions and of transitions at the maximum tree depth, and model fit with posterior predictive checks. We summarize the results as posterior rates and contrasts between tree shapes or archetypes, with medians and 95% credible intervals (CI), and report the raw rates where they exceed the modelled ones.</w:t>
      </w:r>
    </w:p>
    <w:bookmarkEnd w:id="33"/>
    <w:bookmarkStart w:id="34" w:name="empirical-reference-and-case-study"/>
    <w:p>
      <w:pPr>
        <w:pStyle w:val="Heading2"/>
      </w:pPr>
      <w:r>
        <w:t xml:space="preserve">Empirical reference and case study</w:t>
      </w:r>
    </w:p>
    <w:p>
      <w:pPr>
        <w:pStyle w:val="FirstParagraph"/>
      </w:pPr>
      <w:r>
        <w:t xml:space="preserve">To show where real regional species pools fall in the grid of tree shapes, and how the methods behave with real data, we used 14 tadpole metacommunities compiled from the literature and from unpublished data (Box 1). We harmonized species names with the Amphibian Species of the World (Frost, 2026; through the internal dataset of AmphiNom, updated on 16 October 2025) using the R package AmphiNom v. 1.1.0 (Liedtke, 2019), excluded undetermined taxa, and matched the remaining 123 species to the tips of the Portik et al. (2023) tree. We built three nested pools (Atlantic Forest; Atlantic Forest and interior of São Paulo; all South American metacommunities) pruned the tree to each, and computed γ and the normalized Colless index on the point-estimate tree and on its 100 time-calibrated bootstrap trees. For the case study, we used the metacommunities with at least 10 ponds and pond depth measured in every pond, namely two of the 14 and one additional published dataset: Serra da Bocaina (13 ponds; Provete et al., 2014), southern Brazil (32 ponds; Both et al., 2011) and northwestern São Paulo (40 ponds; Prado &amp; Rossa-Feres, 2014). We applied all tests and the four clade-scoring methods to incidence data with pond depth as the gradient, and also with canopy cover in Bocaina, the variable associated with its phylogenetic composition in a previous analysis with PCPS (Provete, 2018).</w:t>
      </w:r>
    </w:p>
    <w:bookmarkEnd w:id="34"/>
    <w:bookmarkStart w:id="35" w:name="implementation-and-reproducibility"/>
    <w:p>
      <w:pPr>
        <w:pStyle w:val="Heading2"/>
      </w:pPr>
      <w:r>
        <w:t xml:space="preserve">Implementation and reproducibility</w:t>
      </w:r>
    </w:p>
    <w:p>
      <w:pPr>
        <w:pStyle w:val="FirstParagraph"/>
      </w:pPr>
      <w:r>
        <w:t xml:space="preserve">We ran all analyses in R v. 4.6.1 (R Core Team, 2026), with the versions of every package recorded in the lockfile of renv v. 1.3.1 (Ushey &amp; Wickham, 2026); trees were handled with ape v. 5.8-1 (Paradis &amp; Schliep, 2019). We orchestrated the simulations with targets v. 1.12.0 (Landau, 2021) and crew v. 1.3.3 (Landau, 2026) in a Docker image, with seeds derived from a single pipeline seed (Appendix S1). Code is available in an anonymized archive for review (https://doi.org/10.5281/zenodo.23500661), together with the rates aggregated by condition and the scripts that compute the performance measures and the models from them, which reproduce every table and figure without rerunning the simulations.</w:t>
      </w:r>
    </w:p>
    <w:bookmarkEnd w:id="35"/>
    <w:bookmarkEnd w:id="36"/>
    <w:bookmarkStart w:id="53" w:name="results"/>
    <w:p>
      <w:pPr>
        <w:pStyle w:val="Heading1"/>
      </w:pPr>
      <w:r>
        <w:t xml:space="preserve">Results</w:t>
      </w:r>
    </w:p>
    <w:p>
      <w:pPr>
        <w:pStyle w:val="FirstParagraph"/>
      </w:pPr>
      <w:r>
        <w:t xml:space="preserve">The static layer reproduced the published validations (Appendix S2): in the Yule trees of Duarte et al. (2016), 66 of 72 published rejection rates fell within the 95% binomial interval of our estimates, and the PCC matched the rates of Peres-Neto and Kembel (2015) in the scenarios that do not depend on the tree. All formal models converged (</w:t>
      </w:r>
      <m:oMath>
        <m:acc>
          <m:accPr>
            <m:chr m:val="̂"/>
          </m:accPr>
          <m:e>
            <m:r>
              <m:t>R</m:t>
            </m:r>
          </m:e>
        </m:acc>
      </m:oMath>
      <w:r>
        <w:t xml:space="preserve"> </w:t>
      </w:r>
      <w:r>
        <w:t xml:space="preserve">≤ 1.01, no divergent transitions), and their posterior predictive intervals covered the observed rates (Appendix S2, Table S3).</w:t>
      </w:r>
    </w:p>
    <w:p>
      <w:pPr>
        <w:pStyle w:val="BodyText"/>
      </w:pPr>
      <w:r>
        <w:t xml:space="preserve">Tree imbalance did not affect the type I error of any test. In all 75 combinations of test, null scenario and N, the difference in the distance of the type I error from the nominal level between highly imbalanced and Yule trees was within ±0.012, and no 95% CI excluded zero, with incidence or abundance data (</w:t>
      </w:r>
      <w:hyperlink w:anchor="fig-type1">
        <w:r>
          <w:rPr>
            <w:rStyle w:val="Hyperlink"/>
          </w:rPr>
          <w:t xml:space="preserve">Fig. 2</w:t>
        </w:r>
      </w:hyperlink>
      <w:r>
        <w:t xml:space="preserve">). In S0, where optima had no phylogenetic signal and the gradient was independent, all tests were conservative, and four of them became more conservative in trees with low γ (by 0.008–0.020). Therefore, H1 was not supported at the resolution of our design, although we did not test the medium level of imbalance separately from the high one.</w:t>
      </w:r>
    </w:p>
    <w:p>
      <w:pPr>
        <w:pStyle w:val="BodyText"/>
      </w:pPr>
      <w:r>
        <w:t xml:space="preserve">Phylogenetic signal in niche breadth inflated the type I error of only two tests. Compared with the same scenario without signal (S2), signal in σ (S2σ) increased the rejection rate of GLM PCPS2 by 0.02 (95% CI 0.01–0.03) in Yule trees at N = 100, and by 0.05 (0.04–0.06), 0.10 (0.08–0.12) and 0.21 (0.19–0.23) with low γ at N = 50, 100 and 200 (</w:t>
      </w:r>
      <w:hyperlink w:anchor="fig-type1">
        <w:r>
          <w:rPr>
            <w:rStyle w:val="Hyperlink"/>
          </w:rPr>
          <w:t xml:space="preserve">Fig. 2</w:t>
        </w:r>
      </w:hyperlink>
      <w:r>
        <w:t xml:space="preserve">). The raw rates reached 0.36 at N = 200 in low-γ trees. The PCC was also inflated, by 0.05 (0.03–0.06) in Yule trees and by 0.02 (0.01–0.03) with low γ at N = 100, with raw rates of up to 0.22 at N = 200 in Yule trees. Interestingly, PERMANOVA, GLM PCPS1 and the Mantel test became more conservative under signal in σ (by 0.005–0.030), and signal in maximum abundance (S2h) did not change the rejection rate of any test. With abundance data, the inflation of GLM PCPS2 was smaller (0.08, 0.06–0.09, with low γ at N = 100). As a result, H2 was rejected as stated: the nuisance structure created by a phylogenetically conserved niche breadth seems to affect only the methods that rely on the second PCPS axis or on phylogenetic eigenvectors, and its effect on GLM PCPS2 depends strongly on the distribution of branching times.</w:t>
      </w:r>
    </w:p>
    <w:tbl>
      <w:tblPr>
        <w:tblStyle w:val="Table"/>
        <w:tblW w:type="pct" w:w="5000"/>
        <w:tblLayout w:type="fixed"/>
        <w:tblLook w:firstRow="0" w:lastRow="0" w:firstColumn="0" w:lastColumn="0" w:noHBand="0" w:noVBand="0" w:val="0000"/>
      </w:tblPr>
      <w:tblGrid>
        <w:gridCol w:w="7920"/>
      </w:tblGrid>
      <w:tr>
        <w:tc>
          <w:tcPr/>
          <w:bookmarkStart w:id="40" w:name="fig-type1"/>
          <w:p>
            <w:pPr>
              <w:pStyle w:val="Compact"/>
              <w:jc w:val="center"/>
            </w:pPr>
            <w:r>
              <w:drawing>
                <wp:inline>
                  <wp:extent cx="5753100" cy="4738352"/>
                  <wp:effectExtent b="0" l="0" r="0" t="0"/>
                  <wp:docPr descr="" title="" id="38" name="Picture"/>
                  <a:graphic>
                    <a:graphicData uri="http://schemas.openxmlformats.org/drawingml/2006/picture">
                      <pic:pic>
                        <pic:nvPicPr>
                          <pic:cNvPr descr="figures/fig2_type1.png" id="39" name="Picture"/>
                          <pic:cNvPicPr>
                            <a:picLocks noChangeArrowheads="1" noChangeAspect="1"/>
                          </pic:cNvPicPr>
                        </pic:nvPicPr>
                        <pic:blipFill>
                          <a:blip r:embed="rId37"/>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40"/>
        </w:tc>
      </w:tr>
    </w:tbl>
    <w:p>
      <w:pPr>
        <w:pStyle w:val="BodyText"/>
      </w:pPr>
      <w:r>
        <w:t xml:space="preserve">The distribution of branching times, but not imbalance, changed the power of most tests (</w:t>
      </w:r>
      <w:hyperlink w:anchor="fig-power">
        <w:r>
          <w:rPr>
            <w:rStyle w:val="Hyperlink"/>
          </w:rPr>
          <w:t xml:space="preserve">Fig. 3</w:t>
        </w:r>
      </w:hyperlink>
      <w:r>
        <w:t xml:space="preserve">). At N = 100 with incidence data, low γ reduced the power of GLM PCPS1 from 0.74 to 0.34 in S3b (contrast −0.40, 95% CI −0.45 to −0.34), with similar losses in S3a and S3σ, and that of the PCC from 0.98 to 0.73 (−0.25, −0.30 to −0.21). The Mantel test lost 0.05–0.14 at N = 100 and up to 0.23 at N = 50. In contrast, the power of PERMANOVA did not change with γ at N = 100 in S3b (0.01, −0.02 to 0.05), was lower with low γ at N = 50 (−0.03 to −0.17 across scenarios) and higher at N = 200 (+0.04 to +0.08). High imbalance reduced power by at most 0.09. Consequently, the ranking of the tests changed with tree shape: in S3b, the PCC was the most powerful test in Yule trees and the third with low γ, and in S3a GLM PCPS1 fell from third to fourth. The effect of γ also changed with N in opposite directions among tests, since the loss of GLM PCPS1 increased with N (−0.38 at N = 50 and −0.46 at N = 200 in S3b), whereas that of the PCC decreased (−0.48 at N = 50 and −0.06 at N = 200). Thus, H4 was supported for power.</w:t>
      </w:r>
    </w:p>
    <w:tbl>
      <w:tblPr>
        <w:tblStyle w:val="Table"/>
        <w:tblW w:type="pct" w:w="5000"/>
        <w:tblLayout w:type="fixed"/>
        <w:tblLook w:firstRow="0" w:lastRow="0" w:firstColumn="0" w:lastColumn="0" w:noHBand="0" w:noVBand="0" w:val="0000"/>
      </w:tblPr>
      <w:tblGrid>
        <w:gridCol w:w="7920"/>
      </w:tblGrid>
      <w:tr>
        <w:tc>
          <w:tcPr/>
          <w:bookmarkStart w:id="44" w:name="fig-power"/>
          <w:p>
            <w:pPr>
              <w:pStyle w:val="Compact"/>
              <w:jc w:val="center"/>
            </w:pPr>
            <w:r>
              <w:drawing>
                <wp:inline>
                  <wp:extent cx="5753100" cy="3044241"/>
                  <wp:effectExtent b="0" l="0" r="0" t="0"/>
                  <wp:docPr descr="" title="" id="42" name="Picture"/>
                  <a:graphic>
                    <a:graphicData uri="http://schemas.openxmlformats.org/drawingml/2006/picture">
                      <pic:pic>
                        <pic:nvPicPr>
                          <pic:cNvPr descr="figures/fig3_power.png" id="43" name="Picture"/>
                          <pic:cNvPicPr>
                            <a:picLocks noChangeArrowheads="1" noChangeAspect="1"/>
                          </pic:cNvPicPr>
                        </pic:nvPicPr>
                        <pic:blipFill>
                          <a:blip r:embed="rId41"/>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4"/>
        </w:tc>
      </w:tr>
    </w:tbl>
    <w:p>
      <w:pPr>
        <w:pStyle w:val="BodyText"/>
      </w:pPr>
      <w:r>
        <w:t xml:space="preserve">The assembly process mattered more than tree shape for power (</w:t>
      </w:r>
      <w:hyperlink w:anchor="fig-layerB">
        <w:r>
          <w:rPr>
            <w:rStyle w:val="Hyperlink"/>
          </w:rPr>
          <w:t xml:space="preserve">Fig. 4</w:t>
        </w:r>
      </w:hyperlink>
      <w:r>
        <w:t xml:space="preserve">). Under species sorting without competition, power at N = 100 in S3b in Yule pool trees ranged from 0.78 (GLM PCPS1) and 0.83 (RDA PCPS) to 0.87 (PERMANOVA), 0.92 (Mantel) and 0.96 (PCC), whereas GLM PCPS2 had almost no power (0.03), as in Layer A. Mass effects reduced the power of every test except GLM PCPS2, which gained 0.08 (0.06–0.11) from its low baseline. Relative to species sorting, PERMANOVA lost 0.62 (0.58–0.65) in Yule pool trees and 0.72 (0.69–0.75) with low γ, the Mantel test 0.75 and 0.79, RDA PCPS 0.58 and 0.55, GLM PCPS1 0.55 and 0.27, and the PCC 0.93 (0.92–0.94) and 0.76, so that the PCC detected the phylogenetic signal in almost no replicates. Surprisingly, adding phylogenetic competition to mass effects partly restored the power of every test except the PCC; for instance, PERMANOVA lost 0.46 (0.42–0.50) instead of 0.62 in Yule pool trees. Under species sorting, phylogenetic competition changed power by −0.12 to +0.11. These two contrasts should be read with care, because competition prunes close relatives and changes the shape of the analysed tree relative to the pool tree, so the effect of the process cannot be separated from that of a change in tree shape; this pruning is strongest under mass effects, where the Colless index of the analysed tree was about 75% lower than that of the pool. Under the null hypothesis, no lower CI bound exceeded 0.075 at N = 100, although some raw rates of GLM PCPS2 in S2σ and of the PCC in S2h exceeded that limit at N = 100 and, more often, at N = 200 (Appendix S2).</w:t>
      </w:r>
    </w:p>
    <w:tbl>
      <w:tblPr>
        <w:tblStyle w:val="Table"/>
        <w:tblW w:type="pct" w:w="5000"/>
        <w:tblLayout w:type="fixed"/>
        <w:tblLook w:firstRow="0" w:lastRow="0" w:firstColumn="0" w:lastColumn="0" w:noHBand="0" w:noVBand="0" w:val="0000"/>
      </w:tblPr>
      <w:tblGrid>
        <w:gridCol w:w="7920"/>
      </w:tblGrid>
      <w:tr>
        <w:tc>
          <w:tcPr/>
          <w:bookmarkStart w:id="48" w:name="fig-layerB"/>
          <w:p>
            <w:pPr>
              <w:pStyle w:val="Compact"/>
              <w:jc w:val="center"/>
            </w:pPr>
            <w:r>
              <w:drawing>
                <wp:inline>
                  <wp:extent cx="5753100" cy="3723605"/>
                  <wp:effectExtent b="0" l="0" r="0" t="0"/>
                  <wp:docPr descr="" title="" id="46" name="Picture"/>
                  <a:graphic>
                    <a:graphicData uri="http://schemas.openxmlformats.org/drawingml/2006/picture">
                      <pic:pic>
                        <pic:nvPicPr>
                          <pic:cNvPr descr="figures/fig4_layerB_power.png" id="47" name="Picture"/>
                          <pic:cNvPicPr>
                            <a:picLocks noChangeArrowheads="1" noChangeAspect="1"/>
                          </pic:cNvPicPr>
                        </pic:nvPicPr>
                        <pic:blipFill>
                          <a:blip r:embed="rId45"/>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Layer B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48"/>
        </w:tc>
      </w:tr>
    </w:tbl>
    <w:p>
      <w:pPr>
        <w:pStyle w:val="BodyText"/>
      </w:pPr>
      <w:r>
        <w:t xml:space="preserve">The evoPCA and phylofactorization recovered the planted clade far more often than PCPS and PCC (</w:t>
      </w:r>
      <w:hyperlink w:anchor="fig-clade">
        <w:r>
          <w:rPr>
            <w:rStyle w:val="Hyperlink"/>
          </w:rPr>
          <w:t xml:space="preserve">Fig. 5</w:t>
        </w:r>
      </w:hyperlink>
      <w:r>
        <w:t xml:space="preserve">). With a shift of 2 and incidence data, evoPCA and phylofactorization identified the planted node in 0.44–0.88 of the replicates, depending on N and depth, and recovered basal clades more often than recent ones (0.79 against 0.66 at N = 100). PCPS recovered the clade in 0.12–0.42 of the replicates and PCC in only 0.08–0.12. The complementary measures agree with this ranking: at N = 100, the median rank of the planted node was 1 for evoPCA and phylofactorization, 2 (basal clades) and 6 (recent clades) for PCPS, and 7 and 9 for PCC, and the mean Jaccard similarity between the chosen and the planted clades was 0.89–0.94, 0.60–0.75 and 0.45–0.50, respectively. Hence, PCPS often chose a clade that overlapped the planted one, whereas PCC usually chose a different part of the tree, which seems to reflect that its four leading eigenvectors follow the deepest splits. With a shift of 0.5, no method exceeded 0.21.</w:t>
      </w:r>
    </w:p>
    <w:p>
      <w:pPr>
        <w:pStyle w:val="BodyText"/>
      </w:pPr>
      <w:r>
        <w:t xml:space="preserve">Tree shape changed recovery only for PCPS and PCC. With low γ, PCPS recovered basal clades in 0.58 of the replicates against 0.21 in Yule trees, and recent clades in 0.35 against 0.04 (N = 100), and this advantage grew with N (+0.23 to +0.45 across N and depths). The PCC lost 0.10–0.14 in basal clades with low γ and gained 0.07–0.09 in recent ones, whereas the recovery of evoPCA and phylofactorization did not change with γ (all 95% CI included zero), and high imbalance reduced recovery by 0.01–0.10 in all methods. Interestingly, low γ improved PCPS for recent as well as for basal clades, so H3 was only partly supported: the advantage of basal clades seems to be a matter of degree rather than a different behaviour of the method, and the share of variation on the first PCPS axis decreased rather than increased with low γ in the descriptive summaries of Layer A. With abundance data, the patterns were the same (Appendix S2). Taken together, H4 was also supported for clade recovery, but only through the change in rank between PCPS and PCC.</w:t>
      </w:r>
    </w:p>
    <w:tbl>
      <w:tblPr>
        <w:tblStyle w:val="Table"/>
        <w:tblW w:type="pct" w:w="5000"/>
        <w:tblLayout w:type="fixed"/>
        <w:tblLook w:firstRow="0" w:lastRow="0" w:firstColumn="0" w:lastColumn="0" w:noHBand="0" w:noVBand="0" w:val="0000"/>
      </w:tblPr>
      <w:tblGrid>
        <w:gridCol w:w="7920"/>
      </w:tblGrid>
      <w:tr>
        <w:tc>
          <w:tcPr/>
          <w:bookmarkStart w:id="52" w:name="fig-clade"/>
          <w:p>
            <w:pPr>
              <w:pStyle w:val="Compact"/>
              <w:jc w:val="center"/>
            </w:pPr>
            <w:r>
              <w:drawing>
                <wp:inline>
                  <wp:extent cx="5416061" cy="2886935"/>
                  <wp:effectExtent b="0" l="0" r="0" t="0"/>
                  <wp:docPr descr="" title="" id="50" name="Picture"/>
                  <a:graphic>
                    <a:graphicData uri="http://schemas.openxmlformats.org/drawingml/2006/picture">
                      <pic:pic>
                        <pic:nvPicPr>
                          <pic:cNvPr descr="figures/fig5_clade.png" id="51" name="Picture"/>
                          <pic:cNvPicPr>
                            <a:picLocks noChangeArrowheads="1" noChangeAspect="1"/>
                          </pic:cNvPicPr>
                        </pic:nvPicPr>
                        <pic:blipFill>
                          <a:blip r:embed="rId49"/>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2"/>
        </w:tc>
      </w:tr>
    </w:tbl>
    <w:bookmarkEnd w:id="53"/>
    <w:bookmarkStart w:id="58" w:name="Xada27c83b7f8db009b1df1795077522469ebf9f"/>
    <w:p>
      <w:pPr>
        <w:pStyle w:val="Heading1"/>
      </w:pPr>
      <w:r>
        <w:t xml:space="preserve">Box 1. Real pools and real metacommunities</w:t>
      </w:r>
    </w:p>
    <w:p>
      <w:pPr>
        <w:pStyle w:val="FirstParagraph"/>
      </w:pPr>
      <w:r>
        <w:t xml:space="preserve">The three regional pools of anurans fell inside the grid of tree shapes (</w:t>
      </w:r>
      <w:hyperlink w:anchor="fig-box1">
        <w:r>
          <w:rPr>
            <w:rStyle w:val="Hyperlink"/>
          </w:rPr>
          <w:t xml:space="preserve">Fig. 6</w:t>
        </w:r>
      </w:hyperlink>
      <w:r>
        <w:t xml:space="preserve">). The Atlantic Forest pool (60 species) had γ = −2.51 and a normalized Colless index of 0.67; adding the metacommunities of the interior of São Paulo (81 species) lowered γ to −3.16 with the same Colless index (0.67), and the South American pool (123 species) had γ = −3.90 and a Colless index of 1.99. Thus, γ of the three pools lies between the Yule and the median levels of the grid, and imbalance between the Yule and the median levels except in the largest pool, which lies between the median and the 90% quantile. Across the 100 bootstrap trees of Portik et al. (2023), γ varied by about one unit and the Colless index by up to 1.1 units, and the point-estimate tree sat at the lower edge of the distribution of γ, probably because the bootstrap trees differ in topology and have deeper roots. As a consequence, the low-γ cells, where we found the largest effects of tree shape, are more extreme than these pools, but within the range of the anuran clades used to define the grid.</w:t>
      </w:r>
    </w:p>
    <w:p>
      <w:pPr>
        <w:pStyle w:val="BodyText"/>
      </w:pPr>
      <w:r>
        <w:t xml:space="preserve">The three metacommunities of the case study had small trees with contrasting shapes. Bocaina (Provete et al., 2014; 15 species in 13 ponds) and southern Brazil (Both et al., 2011; 21 species in 32 ponds) had negative γ (−1.59 and −1.53), whereas northwestern São Paulo (Prado &amp; Rossa-Feres, 2014; 26 species in 40 ponds) had positive γ (1.39), outside the range of the grid. No test rejected the null hypothesis of no association between phylogenetic structure and pond depth with the max test (all P ≥ 0.107). In Bocaina, canopy cover was marginally associated with phylogenetic composition under the site shuffle (P = 0.048 for PERMANOVA and 0.050–0.053 for GLM PCPS1, RDA PCPS and PCC), but not under the taxa shuffle (P = 0.23–0.56). This seems to indicate that canopy cover is related to the composition of these ponds, in line with the analysis with PCPS of Provete (2018), but that the phylogenetic arrangement of the species adds no detectable signal once the tips are permuted, which is the inference the max test protects. The clade-scoring methods partly agreed: in Bocaina, PCC, evoPCA and phylofactorization chose the same clade of five Dendropsophus and Scinax species along the depth gradient, and in northwestern São Paulo PCC and evoPCA chose the three microhylids; the agreement of the PCC is unexpected, given its poor recovery in the simulations. However, with 13–40 ponds and without a significant test, these clades describe the strongest phylogenetic contrast along the gradient rather than a demonstrated association.</w:t>
      </w:r>
    </w:p>
    <w:tbl>
      <w:tblPr>
        <w:tblStyle w:val="Table"/>
        <w:tblW w:type="pct" w:w="5000"/>
        <w:tblLayout w:type="fixed"/>
        <w:tblLook w:firstRow="0" w:lastRow="0" w:firstColumn="0" w:lastColumn="0" w:noHBand="0" w:noVBand="0" w:val="0000"/>
      </w:tblPr>
      <w:tblGrid>
        <w:gridCol w:w="7920"/>
      </w:tblGrid>
      <w:tr>
        <w:tc>
          <w:tcPr/>
          <w:bookmarkStart w:id="57" w:name="fig-box1"/>
          <w:p>
            <w:pPr>
              <w:pStyle w:val="Compact"/>
              <w:jc w:val="center"/>
            </w:pPr>
            <w:r>
              <w:drawing>
                <wp:inline>
                  <wp:extent cx="4890135" cy="3261010"/>
                  <wp:effectExtent b="0" l="0" r="0" t="0"/>
                  <wp:docPr descr="" title="" id="55" name="Picture"/>
                  <a:graphic>
                    <a:graphicData uri="http://schemas.openxmlformats.org/drawingml/2006/picture">
                      <pic:pic>
                        <pic:nvPicPr>
                          <pic:cNvPr descr="figures/box1_pools.png" id="56" name="Picture"/>
                          <pic:cNvPicPr>
                            <a:picLocks noChangeArrowheads="1" noChangeAspect="1"/>
                          </pic:cNvPicPr>
                        </pic:nvPicPr>
                        <pic:blipFill>
                          <a:blip r:embed="rId54"/>
                          <a:stretch>
                            <a:fillRect/>
                          </a:stretch>
                        </pic:blipFill>
                        <pic:spPr bwMode="auto">
                          <a:xfrm>
                            <a:off x="0" y="0"/>
                            <a:ext cx="4890135" cy="3261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Tree shape of three nested regional pools of anurans (filled points and bars, median and 2.5–97.5% quantiles across 100 bootstrap trees; open diamonds, point-estimate tree) against the targets of the simulation grid (open symbols, by N) and the anuran clades with 40–250 tips of Portik et al. (2023) (grey points). Notice that the pools fall inside the grid and close to its Yule and median levels, and that the point-estimate tree has a lower γ than most bootstrap trees.</w:t>
            </w:r>
          </w:p>
          <w:bookmarkEnd w:id="57"/>
        </w:tc>
      </w:tr>
    </w:tbl>
    <w:bookmarkEnd w:id="58"/>
    <w:bookmarkStart w:id="59" w:name="discussion"/>
    <w:p>
      <w:pPr>
        <w:pStyle w:val="Heading1"/>
      </w:pPr>
      <w:r>
        <w:t xml:space="preserve">Discussion</w:t>
      </w:r>
    </w:p>
    <w:p>
      <w:pPr>
        <w:pStyle w:val="FirstParagraph"/>
      </w:pPr>
      <w:r>
        <w:t xml:space="preserve">The shape of the phylogenetic tree and the process that assembles a metacommunity changed the performance of every method we evaluated, but not in the way we expected. The distribution of branching times, rather than the imbalance of the topology, governed the power of most tests and the clade recovery of PCPS and PCC, and a phylogenetically conserved niche breadth inflated the type I error of only the two methods that rely on the second PCPS axis or on phylogenetic eigenvectors. Mass effects reduced the power of every test except GLM PCPS2 more than any tree shape did. To the best of our knowledge, and based on searches of the literature, this is the first simulation study that evaluates tests on phylogeny-weighted species composition across controlled gradients of branching times and imbalance, with both static and process-based metacommunities, and that compares them with branch-wise methods in their ability to locate the clade associated with an environmental gradient. In the following paragraphs, we discuss each of these results and their consequences for empirical studies.</w:t>
      </w:r>
    </w:p>
    <w:p>
      <w:pPr>
        <w:pStyle w:val="BodyText"/>
      </w:pPr>
      <w:r>
        <w:t xml:space="preserve">Tree imbalance did not affect the type I error of any test, whereas very negative γ reduced the power of the GLM on the first PCPS axis and of the PCC. This agrees with comparative methods, in which randomization tests of phylogenetic signal keep the nominal level (Blomberg et al., 2003), whereas the size and topology of the tree change the expected values and the power of the statistics (Münkemüller et al., 2012). Accordingly, in an empirical case study, the bias of the net relatedness index caused by poor phylogenetic resolution depended on tree shape and consisted mostly of type II errors (Molina-Venegas &amp; Roquet, 2014), and metrics such as the mean pairwise distance, which weight deep branches, respond to the stemminess of the tree (Mazel et al., 2016). The loss of power with low γ seems to follow from how phylogenetic eigenvectors summarize trees with long internal branches near the root. The eigenstructure of a phylogenetic matrix is set by the tree (Diniz-Filho et al., 1998), and in such trees a few deep splits probably dominate it, so the first PCPS axis and the leading eigenvectors of the PCC probably capture the deepest dichotomy even when the gradient sorts species along another one. In contrast, PERMANOVA was less sensitive to γ (no change at N = 100 and a loss of 0.03–0.17 at N = 50), although the Mantel test, which also uses the whole matrix</w:t>
      </w:r>
      <w:r>
        <w:t xml:space="preserve"> </w:t>
      </w:r>
      <m:oMath>
        <m:sSub>
          <m:e>
            <m:r>
              <m:t>D</m:t>
            </m:r>
          </m:e>
          <m:sub>
            <m:r>
              <m:t>P</m:t>
            </m:r>
          </m:sub>
        </m:sSub>
      </m:oMath>
      <w:r>
        <w:t xml:space="preserve">, lost up to 0.23, so the use of the whole matrix does not seem to protect a test by itself. However, we did not record the eigenvalue spectra or the axis loadings of each replicate, so we cannot confirm this mechanism with our data. Taken together, single-axis tests on phylogenetic eigenvectors seem to be fragile whenever the phylogenetic structure is spread over several axes, as already argued for the selection of eigenvectors in comparative analyses (Diniz-Filho et al., 2012).</w:t>
      </w:r>
    </w:p>
    <w:p>
      <w:pPr>
        <w:pStyle w:val="BodyText"/>
      </w:pPr>
      <w:r>
        <w:t xml:space="preserve">Phylogenetic signal in niche breadth created false positives that previous evaluations could not detect. The simulations of Duarte et al. (2016, 2018) and Peres-Neto et al. (2017) drew niche breadth independently of the phylogeny, and those of Duarte et al. (2016) and Peres-Neto et al. (2017) also drew maximum abundance in this way, so their type I errors refer to a null hypothesis in which these nuisance parameters carry no phylogenetic signal. When σ is conserved, clades differ in how widely they spread along the gradient, which is a phylogenetic pattern in composition that is unrelated to the association between optima and environment. Permutation tests become liberal when the randomization breaks down a structure of the data that is unrelated to the null hypothesis (Hardy, 2008), and species-level variation in the response to the environment that is ignored by the test inflates the type I error of site-based tests of trait–environment association (ter Braak et al., 2017). This seems to explain why the second PCPS axis, which is orthogonal to the basal contrast captured by the first one, and the PCC were inflated, whereas PERMANOVA and the Mantel test, which average over all axes of</w:t>
      </w:r>
      <w:r>
        <w:t xml:space="preserve"> </w:t>
      </w:r>
      <m:oMath>
        <m:sSub>
          <m:e>
            <m:r>
              <m:t>D</m:t>
            </m:r>
          </m:e>
          <m:sub>
            <m:r>
              <m:t>P</m:t>
            </m:r>
          </m:sub>
        </m:sSub>
      </m:oMath>
      <w:r>
        <w:t xml:space="preserve">, were not. Interestingly, the largest inflation of GLM PCPS2 occurred in trees with low γ and at N = 200, which suggests that both the depth of the conserved structure and the number of species determine how much of it reaches a single axis. In addition, the more conservative behaviour of the other tests under signal in σ agrees with the conservative max test already reported for phylogenetic fuzzy weighting (Duarte et al., 2016). Unfortunately, the empirical distribution of phylogenetic signal in niche breadth is unknown for most groups, so we cannot say how often this situation arises in real metacommunities. Constrained randomizations that preserve phylogenetic structure, such as Moran spectral randomization (Braga et al., 2018), and model-based tests with phylogenetic random effects (Li &amp; Ives, 2017; Tsang &amp; Cadotte, 2025) seem to be promising alternatives to the taxa shuffle in this case.</w:t>
      </w:r>
    </w:p>
    <w:p>
      <w:pPr>
        <w:pStyle w:val="BodyText"/>
      </w:pPr>
      <w:r>
        <w:t xml:space="preserve">The assembly process mattered more than tree shape. Mass effects reduced the power of every test except GLM PCPS2 and almost abolished that of the PCC. This is expected from the theory of source–sink metacommunities, in which high dispersal homogenizes composition among sites and erodes β-diversity (Mouquet &amp; Loreau, 2003; Thompson et al., 2020), and it agrees with the low power of phylogenetic diversity indices under mass and priority effects even when traits were strongly conserved (Mason &amp; Pavoine, 2013). Our design probably represents the most extreme case, because the dispersal kernel was uniform and the sites had no spatial structure, and a spatially implicit model failed to predict the composition of spatially explicit metacommunities at high dispersal in a resource-competition model (Ai &amp; Ellwood, 2022); in spatially explicit landscapes, mass effects allow species to dominate subregions instead of homogenizing the whole metacommunity (Thompson et al., 2020), which would leave more signal for the tests. Surprisingly, phylogenetic competition partly restored the power lost under mass effects for every test except the PCC. However, competition also pruned close relatives, and under mass effects it reduced the Colless index of the analysed tree by about 75% relative to the pool, so the effect of the process cannot be separated from that of the change in the shape of the analysed tree. Moreover, our competition kernel assumed that close relatives compete more strongly, an assumption that is weakly supported empirically (Cahill et al., 2008; Godoy et al., 2014; Gerhold et al., 2015), and competition can also exclude distant relatives when fitness differences are phylogenetically conserved (Mayfield &amp; Levine, 2010). Therefore, this result should be read as an upper bound for a particular competition structure rather than as a general effect of competition. Taken together, a non-significant test in a metacommunity with high dispersal does not seem to indicate the absence of environmental filtering on lineages, in line with the warning that the interpretation of community phylogenetic tests should account for dispersal (Kembel, 2009).</w:t>
      </w:r>
    </w:p>
    <w:p>
      <w:pPr>
        <w:pStyle w:val="BodyText"/>
      </w:pPr>
      <w:r>
        <w:t xml:space="preserve">The methods that treat branches as units recovered the planted clade far more often than those based on phylogenetic eigenvectors. evoPCA ordinates the abundances of evolutionary units, so the stem branch of a clade enters the ordination as a variable (Pavoine, 2016), and phylofactorization searches explicitly for the edge that best separates clades with contrasting responses (Washburne et al., 2017, 2019). As a result, phylofactorization evaluates every edge and evoPCA treats every branch as a variable, and their recovery did not depend on γ. In contrast, PCPS probably recovers a clade only when its stem node is among those weighted by the leading axes, which depends on the distribution of node depths and seems to explain why low γ improved its recovery of both basal and recent clades. Thus, H3 was only partly supported, since the advantage of basal clades under PCPS seems to be a matter of degree. Empirical applications of PCPS have also found that environmental effects concentrate on a few nodes (Duarte et al., 2012), which agrees with this interpretation. The PCC was not designed to locate clades, since it tests a global association between phylogenetic eigenvectors, composition and environment (Peres-Neto &amp; Kembel, 2015), and our results confirm that its leading eigenvectors rarely isolate the clade of interest. Node-based analyses of species distributions (Borregaard et al., 2014) follow a similar node-by-node logic and could be added to future comparisons.</w:t>
      </w:r>
    </w:p>
    <w:p>
      <w:pPr>
        <w:pStyle w:val="BodyText"/>
      </w:pPr>
      <w:r>
        <w:t xml:space="preserve">Our grid spans the tree shapes of anuran clades, although real regional pools seem to occupy its moderate levels. Negative γ is the norm in empirical phylogenies, with slowdowns in diversification in most clades of several groups (McPeek, 2008; Phillimore &amp; Price, 2008), and the major clades of frogs diversified rapidly at the Cretaceous–Paleogene boundary (Feng et al., 2017). The three regional pools of anurans fell inside our grid, between its Yule and median levels of γ (Box 1), so the low-γ cells, where the effects of tree shape were largest, are more extreme than these pools. However, γ is sensitive to incomplete and nonrandom sampling of lineages (Cusimano &amp; Renner, 2010; Brock et al., 2011), so we used it only as a descriptor of the shape of the analysed tree, not as evidence of a diversification process. Our study also has limitations. First, the grid had no level with γ &gt; 0, which one of the three metacommunities of the case study had. Second, Layer B had no spatial structure and used only incidence data and five cells of the grid. Third, every metacommunity had 100 sites, and we did not vary the length of the gradient or the number of sites, which also change power. Finally, the case study had 13–40 ponds and no significant association, so it illustrates how the methods behave with real data rather than validating them.</w:t>
      </w:r>
    </w:p>
    <w:p>
      <w:pPr>
        <w:pStyle w:val="BodyText"/>
      </w:pPr>
      <w:r>
        <w:t xml:space="preserve">In summary, we recommend that empirical studies (i) report γ and the normalized Colless index of the analysed tree, since tree shape changes the power and the ranking of the tests; (ii) not rely on a single test, since the ranking of the tests changed with tree shape, N and dispersal, and prefer PERMANOVA with the max test to tests on single PCPS axes or phylogenetic eigenvectors when the tree has very negative γ and the pool has 100 or more species; (iii) interpret the second PCPS axis and the PCC with caution when niche breadth may be phylogenetically conserved; (iv) interpret a lack of power under high dispersal as a property of the metacommunity rather than as evidence against niche-based assembly; and (v) use evoPCA or phylofactorization, rather than PCPS axes, to identify the clades associated with a gradient. These recommendations seem to hold across the range of tree shapes found in anuran clades with negative γ, but they remain to be tested in trees with γ &gt; 0 and in spatially structured metacommunities.</w:t>
      </w:r>
    </w:p>
    <w:bookmarkEnd w:id="59"/>
    <w:bookmarkStart w:id="60" w:name="references-verified"/>
    <w:p>
      <w:pPr>
        <w:pStyle w:val="Heading1"/>
      </w:pPr>
      <w:r>
        <w:t xml:space="preserve">References (verified)</w:t>
      </w:r>
    </w:p>
    <w:p>
      <w:pPr>
        <w:pStyle w:val="FirstParagraph"/>
      </w:pPr>
      <w:r>
        <w:t xml:space="preserve">Ai, D., &amp; Ellwood, M. D. F. (2022). A spatially implicit model fails to predict the structure of spatially explicit metacommunities under high dispersal.</w:t>
      </w:r>
      <w:r>
        <w:t xml:space="preserve"> </w:t>
      </w:r>
      <w:r>
        <w:rPr>
          <w:i/>
          <w:iCs/>
        </w:rPr>
        <w:t xml:space="preserve">Ecological Modelling</w:t>
      </w:r>
      <w:r>
        <w:t xml:space="preserve">, 474, 110151. https://doi.org/10.1016/j.ecolmodel.2022.110151</w:t>
      </w:r>
    </w:p>
    <w:p>
      <w:pPr>
        <w:pStyle w:val="BodyText"/>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Anderson, M. J. (2001). A new method for non-parametric multivariate analysis of variance.</w:t>
      </w:r>
      <w:r>
        <w:t xml:space="preserve"> </w:t>
      </w:r>
      <w:r>
        <w:rPr>
          <w:i/>
          <w:iCs/>
        </w:rPr>
        <w:t xml:space="preserve">Austral Ecology</w:t>
      </w:r>
      <w:r>
        <w:t xml:space="preserve">, 26, 32–46. https://doi.org/10.1111/j.1442-9993.2001.01070.pp.x</w:t>
      </w:r>
    </w:p>
    <w:p>
      <w:pPr>
        <w:pStyle w:val="BodyText"/>
      </w:pPr>
      <w:r>
        <w:t xml:space="preserve">Beverton, R. J. H., &amp; Holt, S. J. (1957).</w:t>
      </w:r>
      <w:r>
        <w:t xml:space="preserve"> </w:t>
      </w:r>
      <w:r>
        <w:rPr>
          <w:i/>
          <w:iCs/>
        </w:rPr>
        <w:t xml:space="preserve">On the dynamics of exploited fish populations</w:t>
      </w:r>
      <w:r>
        <w:t xml:space="preserve">. Fishery Investigations Series II, Vol. 19. London: HMSO (reprinted 1993, Springer, doi:10.1007/978-94-011-2106-4).</w:t>
      </w:r>
    </w:p>
    <w:p>
      <w:pPr>
        <w:pStyle w:val="BodyText"/>
      </w:pPr>
      <w:r>
        <w:t xml:space="preserve">Blomberg, S. P., Garland, T., &amp; Ives, A. R. (2003). Testing for phylogenetic signal in comparative data: behavioral traits are more labile.</w:t>
      </w:r>
      <w:r>
        <w:t xml:space="preserve"> </w:t>
      </w:r>
      <w:r>
        <w:rPr>
          <w:i/>
          <w:iCs/>
        </w:rPr>
        <w:t xml:space="preserve">Evolution</w:t>
      </w:r>
      <w:r>
        <w:t xml:space="preserve">, 57, 717–745. https://doi.org/10.1111/j.0014-3820.2003.tb00285.x</w:t>
      </w:r>
    </w:p>
    <w:p>
      <w:pPr>
        <w:pStyle w:val="BodyText"/>
      </w:pPr>
      <w:r>
        <w:t xml:space="preserve">Borregaard, M. K., Rahbek, C., Fjeldså, J., Parra, J. L., Whittaker, R. J., &amp; Graham, C. H. (2014). Node-based analysis of species distributions.</w:t>
      </w:r>
      <w:r>
        <w:t xml:space="preserve"> </w:t>
      </w:r>
      <w:r>
        <w:rPr>
          <w:i/>
          <w:iCs/>
        </w:rPr>
        <w:t xml:space="preserve">Methods in Ecology and Evolution</w:t>
      </w:r>
      <w:r>
        <w:t xml:space="preserve">, 5, 1225–1235. https://doi.org/10.1111/2041-210X.12283</w:t>
      </w:r>
    </w:p>
    <w:p>
      <w:pPr>
        <w:pStyle w:val="BodyText"/>
      </w:pPr>
      <w:r>
        <w:t xml:space="preserve">Both, C., Melo, A. S., Cechin, S. Z., &amp; Hartz, S. M. (2011). Tadpole co-occurrence in ponds: when do guilds and time matter?</w:t>
      </w:r>
      <w:r>
        <w:t xml:space="preserve"> </w:t>
      </w:r>
      <w:r>
        <w:rPr>
          <w:i/>
          <w:iCs/>
        </w:rPr>
        <w:t xml:space="preserve">Acta Oecologica</w:t>
      </w:r>
      <w:r>
        <w:t xml:space="preserve">, 37, 140–145. https://doi.org/10.1016/j.actao.2011.01.008</w:t>
      </w:r>
    </w:p>
    <w:p>
      <w:pPr>
        <w:pStyle w:val="BodyText"/>
      </w:pPr>
      <w:r>
        <w:t xml:space="preserve">ter Braak, C. J. F., Peres-Neto, P. R., &amp; Dray, S. (2017). A critical issue in model-based inference for studying trait-based community assembly and a solution.</w:t>
      </w:r>
      <w:r>
        <w:t xml:space="preserve"> </w:t>
      </w:r>
      <w:r>
        <w:rPr>
          <w:i/>
          <w:iCs/>
        </w:rPr>
        <w:t xml:space="preserve">PeerJ</w:t>
      </w:r>
      <w:r>
        <w:t xml:space="preserve">, 5, e2885. https://doi.org/10.7717/peerj.2885</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Braga, J., ter Braak, C. J. F., Thuiller, W., &amp; Dray, S. (2018). Integrating spatial and phylogenetic information in the fourth-corner analysis to test trait–environment relationships.</w:t>
      </w:r>
      <w:r>
        <w:t xml:space="preserve"> </w:t>
      </w:r>
      <w:r>
        <w:rPr>
          <w:i/>
          <w:iCs/>
        </w:rPr>
        <w:t xml:space="preserve">Ecology</w:t>
      </w:r>
      <w:r>
        <w:t xml:space="preserve">, 99, 2667–2674. https://doi.org/10.1002/ecy.2530</w:t>
      </w:r>
    </w:p>
    <w:p>
      <w:pPr>
        <w:pStyle w:val="BodyText"/>
      </w:pPr>
      <w:r>
        <w:t xml:space="preserve">Brock, C. D., Harmon, L. J., &amp; Alfaro, M. E. (2011). Testing for temporal variation in diversification rates when sampling is incomplete and nonrandom.</w:t>
      </w:r>
      <w:r>
        <w:t xml:space="preserve"> </w:t>
      </w:r>
      <w:r>
        <w:rPr>
          <w:i/>
          <w:iCs/>
        </w:rPr>
        <w:t xml:space="preserve">Systematic Biology</w:t>
      </w:r>
      <w:r>
        <w:t xml:space="preserve">, 60, 410–419. https://doi.org/10.1093/sysbio/syr007</w:t>
      </w:r>
    </w:p>
    <w:p>
      <w:pPr>
        <w:pStyle w:val="BodyText"/>
      </w:pPr>
      <w:r>
        <w:t xml:space="preserve">Bürkner, P.-C. (2017). brms: an R package for Bayesian multilevel models using Stan.</w:t>
      </w:r>
      <w:r>
        <w:t xml:space="preserve"> </w:t>
      </w:r>
      <w:r>
        <w:rPr>
          <w:i/>
          <w:iCs/>
        </w:rPr>
        <w:t xml:space="preserve">Journal of Statistical Software</w:t>
      </w:r>
      <w:r>
        <w:t xml:space="preserve">, 80(1), 1–28. https://doi.org/10.18637/jss.v080.i01</w:t>
      </w:r>
    </w:p>
    <w:p>
      <w:pPr>
        <w:pStyle w:val="BodyText"/>
      </w:pPr>
      <w:r>
        <w:t xml:space="preserve">Cahill, J. F., Kembel, S. W., Lamb, E. G., &amp; Keddy, P. A. (2008). Does phylogenetic relatedness influence the strength of competition among vascular plants?</w:t>
      </w:r>
      <w:r>
        <w:t xml:space="preserve"> </w:t>
      </w:r>
      <w:r>
        <w:rPr>
          <w:i/>
          <w:iCs/>
        </w:rPr>
        <w:t xml:space="preserve">Perspectives in Plant Ecology, Evolution and Systematics</w:t>
      </w:r>
      <w:r>
        <w:t xml:space="preserve">, 10, 41–50. https://doi.org/10.1016/j.ppees.2007.10.001</w:t>
      </w:r>
    </w:p>
    <w:p>
      <w:pPr>
        <w:pStyle w:val="BodyText"/>
      </w:pPr>
      <w:r>
        <w:t xml:space="preserve">Colless, D. H. (1982). Review of Phylogenetics: the theory and practice of phylogenetic systematics.</w:t>
      </w:r>
      <w:r>
        <w:t xml:space="preserve"> </w:t>
      </w:r>
      <w:r>
        <w:rPr>
          <w:i/>
          <w:iCs/>
        </w:rPr>
        <w:t xml:space="preserve">Systematic Zoology</w:t>
      </w:r>
      <w:r>
        <w:t xml:space="preserve">, 31, 100–104. [CITAR: conferir página final] https://doi.org/10.2307/2413420</w:t>
      </w:r>
    </w:p>
    <w:p>
      <w:pPr>
        <w:pStyle w:val="BodyText"/>
      </w:pPr>
      <w:r>
        <w:t xml:space="preserve">Cusimano, N., &amp; Renner, S. S. (2010). Slowdowns in diversification rates from real phylogenies may not be real.</w:t>
      </w:r>
      <w:r>
        <w:t xml:space="preserve"> </w:t>
      </w:r>
      <w:r>
        <w:rPr>
          <w:i/>
          <w:iCs/>
        </w:rPr>
        <w:t xml:space="preserve">Systematic Biology</w:t>
      </w:r>
      <w:r>
        <w:t xml:space="preserve">, 59, 458–464. https://doi.org/10.1093/sysbio/syq032</w:t>
      </w:r>
    </w:p>
    <w:p>
      <w:pPr>
        <w:pStyle w:val="BodyText"/>
      </w:pPr>
      <w:r>
        <w:t xml:space="preserve">Debastiani, V. J. (2026). PCPS: principal coordinates of phylogenetic structure. R package version 1.0.9. doi:10.32614/CRAN.package.PCPS.</w:t>
      </w:r>
    </w:p>
    <w:p>
      <w:pPr>
        <w:pStyle w:val="BodyText"/>
      </w:pPr>
      <w:r>
        <w:t xml:space="preserve">Diniz-Filho, J. A. F., Bini, L. M., Rangel, T. F., Morales-Castilla, I., Olalla-Tárraga, M. Á., Rodríguez, M. Á., &amp; Hawkins, B. A. (2012). On the selection of phylogenetic eigenvectors for ecological analyses.</w:t>
      </w:r>
      <w:r>
        <w:t xml:space="preserve"> </w:t>
      </w:r>
      <w:r>
        <w:rPr>
          <w:i/>
          <w:iCs/>
        </w:rPr>
        <w:t xml:space="preserve">Ecography</w:t>
      </w:r>
      <w:r>
        <w:t xml:space="preserve">, 35, 239–249. https://doi.org/10.1111/j.1600-0587.2011.06949.x</w:t>
      </w:r>
    </w:p>
    <w:p>
      <w:pPr>
        <w:pStyle w:val="BodyText"/>
      </w:pPr>
      <w:r>
        <w:t xml:space="preserve">Diniz-Filho, J. A. F., de Sant’Ana, C. E. R., &amp; Bini, L. M. (1998). An eigenvector method for estimating phylogenetic inertia.</w:t>
      </w:r>
      <w:r>
        <w:t xml:space="preserve"> </w:t>
      </w:r>
      <w:r>
        <w:rPr>
          <w:i/>
          <w:iCs/>
        </w:rPr>
        <w:t xml:space="preserve">Evolution</w:t>
      </w:r>
      <w:r>
        <w:t xml:space="preserve">, 52, 1247–1262. https://doi.org/10.1111/j.1558-5646.1998.tb02006.x</w:t>
      </w:r>
    </w:p>
    <w:p>
      <w:pPr>
        <w:pStyle w:val="BodyText"/>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 https://doi.org/10.1111/2041-210X.14030</w:t>
      </w:r>
    </w:p>
    <w:p>
      <w:pPr>
        <w:pStyle w:val="BodyText"/>
      </w:pPr>
      <w:r>
        <w:t xml:space="preserve">Duarte, L. D. S. (2011). Phylogenetic habitat filtering influences forest nucleation in grasslands.</w:t>
      </w:r>
      <w:r>
        <w:t xml:space="preserve"> </w:t>
      </w:r>
      <w:r>
        <w:rPr>
          <w:i/>
          <w:iCs/>
        </w:rPr>
        <w:t xml:space="preserve">Oikos</w:t>
      </w:r>
      <w:r>
        <w:t xml:space="preserve">, 120, 208–215. https://doi.org/10.1111/j.1600-0706.2010.18898.x</w:t>
      </w:r>
    </w:p>
    <w:p>
      <w:pPr>
        <w:pStyle w:val="BodyText"/>
      </w:pPr>
      <w:r>
        <w:t xml:space="preserve">Duarte, L. D. S., Debastiani, V. J., Carlucci, M. B., &amp; Diniz-Filho, J. A. F. (2018). Analyzing community-weighted trait means across environmental gradients: should phylogeny stay or should it go?</w:t>
      </w:r>
      <w:r>
        <w:t xml:space="preserve"> </w:t>
      </w:r>
      <w:r>
        <w:rPr>
          <w:i/>
          <w:iCs/>
        </w:rPr>
        <w:t xml:space="preserve">Ecology</w:t>
      </w:r>
      <w:r>
        <w:t xml:space="preserve">, 99, 385–398. https://doi.org/10.1002/ecy.2081</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Duarte, L. D. S., Prieto, P. V., &amp; Pillar, V. D. (2012). Assessing spatial and environmental drivers of phylogenetic structure in Brazilian Araucaria forests.</w:t>
      </w:r>
      <w:r>
        <w:t xml:space="preserve"> </w:t>
      </w:r>
      <w:r>
        <w:rPr>
          <w:i/>
          <w:iCs/>
        </w:rPr>
        <w:t xml:space="preserve">Ecography</w:t>
      </w:r>
      <w:r>
        <w:t xml:space="preserve">, 35, 952–960. https://doi.org/10.1111/j.1600-0587.2011.07193.x</w:t>
      </w:r>
    </w:p>
    <w:p>
      <w:pPr>
        <w:pStyle w:val="BodyText"/>
      </w:pPr>
      <w:r>
        <w:t xml:space="preserve">Feng, Y.-J., Blackburn, D. C., Liang, D., Hillis, D. M., Wake, D. B., Cannatella, D. C., &amp; Zhang, P. (2017). Phylogenomics reveals rapid, simultaneous diversification of three major clades of Gondwanan frogs at the Cretaceous–Paleogene boundary.</w:t>
      </w:r>
      <w:r>
        <w:t xml:space="preserve"> </w:t>
      </w:r>
      <w:r>
        <w:rPr>
          <w:i/>
          <w:iCs/>
        </w:rPr>
        <w:t xml:space="preserve">Proceedings of the National Academy of Sciences</w:t>
      </w:r>
      <w:r>
        <w:t xml:space="preserve">, 114, E5864–E5870. https://doi.org/10.1073/pnas.1704632114</w:t>
      </w:r>
    </w:p>
    <w:p>
      <w:pPr>
        <w:pStyle w:val="BodyText"/>
      </w:pPr>
      <w:r>
        <w:t xml:space="preserve">Frost, D. R. (2026).</w:t>
      </w:r>
      <w:r>
        <w:t xml:space="preserve"> </w:t>
      </w:r>
      <w:r>
        <w:rPr>
          <w:i/>
          <w:iCs/>
        </w:rPr>
        <w:t xml:space="preserve">Amphibian Species of the World: an online reference</w:t>
      </w:r>
      <w:r>
        <w:t xml:space="preserve">. Version 6.2. American Museum of Natural History. https://amphibiansoftheworld.amnh.org/index.php https://doi.org/10.5531/db.vz.0001</w:t>
      </w:r>
    </w:p>
    <w:p>
      <w:pPr>
        <w:pStyle w:val="BodyText"/>
      </w:pPr>
      <w:r>
        <w:t xml:space="preserve">Gabry, J., Češnovar, R., Johnson, A., &amp; Bronder, S. (2025). cmdstanr: R interface to CmdStan. R package version 0.9.0. https://github.com/stan-dev/cmdstanr.</w:t>
      </w:r>
    </w:p>
    <w:p>
      <w:pPr>
        <w:pStyle w:val="BodyText"/>
      </w:pPr>
      <w:r>
        <w:t xml:space="preserve">Gerhold, P., Cahill, J. F., Winter, M., Bartish, I. V., &amp; Prinzing, A. (2015). Phylogenetic patterns are not proxies of community assembly mechanisms (they are far better).</w:t>
      </w:r>
      <w:r>
        <w:t xml:space="preserve"> </w:t>
      </w:r>
      <w:r>
        <w:rPr>
          <w:i/>
          <w:iCs/>
        </w:rPr>
        <w:t xml:space="preserve">Functional Ecology</w:t>
      </w:r>
      <w:r>
        <w:t xml:space="preserve">, 29, 600–614. https://doi.org/10.1111/1365-2435.12425</w:t>
      </w:r>
    </w:p>
    <w:p>
      <w:pPr>
        <w:pStyle w:val="BodyText"/>
      </w:pPr>
      <w:r>
        <w:t xml:space="preserve">Godoy, O., Kraft, N. J. B., &amp; Levine, J. M. (2014). Phylogenetic relatedness and the determinants of competitive outcomes.</w:t>
      </w:r>
      <w:r>
        <w:t xml:space="preserve"> </w:t>
      </w:r>
      <w:r>
        <w:rPr>
          <w:i/>
          <w:iCs/>
        </w:rPr>
        <w:t xml:space="preserve">Ecology Letters</w:t>
      </w:r>
      <w:r>
        <w:t xml:space="preserve">, 17, 836–844. https://doi.org/10.1111/ele.12289</w:t>
      </w:r>
    </w:p>
    <w:p>
      <w:pPr>
        <w:pStyle w:val="BodyText"/>
      </w:pPr>
      <w:r>
        <w:t xml:space="preserve">Hardy, O. J. (2008). Testing the spatial phylogenetic structure of local communities: statistical performances of different null models and test statistics on a locally neutral community.</w:t>
      </w:r>
      <w:r>
        <w:t xml:space="preserve"> </w:t>
      </w:r>
      <w:r>
        <w:rPr>
          <w:i/>
          <w:iCs/>
        </w:rPr>
        <w:t xml:space="preserve">Journal of Ecology</w:t>
      </w:r>
      <w:r>
        <w:t xml:space="preserve">, 96, 914–926. https://doi.org/10.1111/j.1365-2745.2008.01421.x</w:t>
      </w:r>
    </w:p>
    <w:p>
      <w:pPr>
        <w:pStyle w:val="BodyText"/>
      </w:pPr>
      <w:r>
        <w:t xml:space="preserve">Janzen, T., &amp; Etienne, R. S. (2024). Phylogenetic tree statistics: a systematic overview using the new R package treestats.</w:t>
      </w:r>
      <w:r>
        <w:t xml:space="preserve"> </w:t>
      </w:r>
      <w:r>
        <w:rPr>
          <w:i/>
          <w:iCs/>
        </w:rPr>
        <w:t xml:space="preserve">Molecular Phylogenetics and Evolution</w:t>
      </w:r>
      <w:r>
        <w:t xml:space="preserve">, 200, 108168. https://doi.org/10.1016/j.ympev.2024.108168</w:t>
      </w:r>
    </w:p>
    <w:p>
      <w:pPr>
        <w:pStyle w:val="BodyText"/>
      </w:pPr>
      <w:r>
        <w:t xml:space="preserve">Kembel, S. W. (2009). Disentangling niche and neutral influences on community assembly: assessing the performance of community phylogenetic structure tests.</w:t>
      </w:r>
      <w:r>
        <w:t xml:space="preserve"> </w:t>
      </w:r>
      <w:r>
        <w:rPr>
          <w:i/>
          <w:iCs/>
        </w:rPr>
        <w:t xml:space="preserve">Ecology Letters</w:t>
      </w:r>
      <w:r>
        <w:t xml:space="preserve">, 12, 949–960. https://doi.org/10.1111/j.1461-0248.2009.01354.x</w:t>
      </w:r>
    </w:p>
    <w:p>
      <w:pPr>
        <w:pStyle w:val="BodyText"/>
      </w:pPr>
      <w:r>
        <w:t xml:space="preserve">Landau, W. M. (2021). The targets R package: a dynamic Make-like function-oriented pipeline toolkit for reproducibility and high-performance computing.</w:t>
      </w:r>
      <w:r>
        <w:t xml:space="preserve"> </w:t>
      </w:r>
      <w:r>
        <w:rPr>
          <w:i/>
          <w:iCs/>
        </w:rPr>
        <w:t xml:space="preserve">Journal of Open Source Software</w:t>
      </w:r>
      <w:r>
        <w:t xml:space="preserve">, 6(57), 2959. https://doi.org/10.21105/joss.02959</w:t>
      </w:r>
    </w:p>
    <w:p>
      <w:pPr>
        <w:pStyle w:val="BodyText"/>
      </w:pPr>
      <w:r>
        <w:t xml:space="preserve">Landau, W. M. (2026). crew: a distributed worker launcher framework. R package version 1.3.3. doi:10.32614/CRAN.package.crew.</w:t>
      </w:r>
    </w:p>
    <w:p>
      <w:pPr>
        <w:pStyle w:val="BodyText"/>
      </w:pPr>
      <w:r>
        <w:t xml:space="preserve">Li, D., &amp; Ives, A. R. (2017). The statistical need to include phylogeny in trait-based analyses of community composition.</w:t>
      </w:r>
      <w:r>
        <w:t xml:space="preserve"> </w:t>
      </w:r>
      <w:r>
        <w:rPr>
          <w:i/>
          <w:iCs/>
        </w:rPr>
        <w:t xml:space="preserve">Methods in Ecology and Evolution</w:t>
      </w:r>
      <w:r>
        <w:t xml:space="preserve">, 8, 1192–1199. https://doi.org/10.1111/2041-210X.12767</w:t>
      </w:r>
    </w:p>
    <w:p>
      <w:pPr>
        <w:pStyle w:val="BodyText"/>
      </w:pPr>
      <w:r>
        <w:t xml:space="preserve">Liedtke, H. C. (2019). AmphiNom: an amphibian systematics tool.</w:t>
      </w:r>
      <w:r>
        <w:t xml:space="preserve"> </w:t>
      </w:r>
      <w:r>
        <w:rPr>
          <w:i/>
          <w:iCs/>
        </w:rPr>
        <w:t xml:space="preserve">Systematics and Biodiversity</w:t>
      </w:r>
      <w:r>
        <w:t xml:space="preserve">, 17, 1–6. https://doi.org/10.1080/14772000.2018.1518935</w:t>
      </w:r>
    </w:p>
    <w:p>
      <w:pPr>
        <w:pStyle w:val="BodyText"/>
      </w:pPr>
      <w:r>
        <w:t xml:space="preserve">Mantel, N. (1967). The detection of disease clustering and a generalized regression approach.</w:t>
      </w:r>
      <w:r>
        <w:t xml:space="preserve"> </w:t>
      </w:r>
      <w:r>
        <w:rPr>
          <w:i/>
          <w:iCs/>
        </w:rPr>
        <w:t xml:space="preserve">Cancer Research</w:t>
      </w:r>
      <w:r>
        <w:t xml:space="preserve">, 27, 209–220.</w:t>
      </w:r>
    </w:p>
    <w:p>
      <w:pPr>
        <w:pStyle w:val="BodyText"/>
      </w:pPr>
      <w:r>
        <w:t xml:space="preserve">Mason, N. W. H., &amp; Pavoine, S. (2013). Does trait conservatism guarantee that indicators of phylogenetic community structure will reveal niche-based assembly processes along stress gradients?</w:t>
      </w:r>
      <w:r>
        <w:t xml:space="preserve"> </w:t>
      </w:r>
      <w:r>
        <w:rPr>
          <w:i/>
          <w:iCs/>
        </w:rPr>
        <w:t xml:space="preserve">Journal of Vegetation Science</w:t>
      </w:r>
      <w:r>
        <w:t xml:space="preserve">, 24, 820–833. https://doi.org/10.1111/jvs.12033</w:t>
      </w:r>
    </w:p>
    <w:p>
      <w:pPr>
        <w:pStyle w:val="BodyText"/>
      </w:pPr>
      <w:r>
        <w:t xml:space="preserve">Mayfield, M. M., &amp; Levine, J. M. (2010). Opposing effects of competitive exclusion on the phylogenetic structure of communities.</w:t>
      </w:r>
      <w:r>
        <w:t xml:space="preserve"> </w:t>
      </w:r>
      <w:r>
        <w:rPr>
          <w:i/>
          <w:iCs/>
        </w:rPr>
        <w:t xml:space="preserve">Ecology Letters</w:t>
      </w:r>
      <w:r>
        <w:t xml:space="preserve">, 13, 1085–1093. https://doi.org/10.1111/j.1461-0248.2010.01509.x</w:t>
      </w:r>
    </w:p>
    <w:p>
      <w:pPr>
        <w:pStyle w:val="BodyText"/>
      </w:pPr>
      <w:r>
        <w:t xml:space="preserve">Mazel, F., Davies, T. J., Gallien, L., Renaud, J., Groussin, M., Münkemüller, T., &amp; Thuiller, W. (2016). Influence of tree shape and evolutionary time-scale on phylogenetic diversity metrics.</w:t>
      </w:r>
      <w:r>
        <w:t xml:space="preserve"> </w:t>
      </w:r>
      <w:r>
        <w:rPr>
          <w:i/>
          <w:iCs/>
        </w:rPr>
        <w:t xml:space="preserve">Ecography</w:t>
      </w:r>
      <w:r>
        <w:t xml:space="preserve">, 39, 913–920. https://doi.org/10.1111/ecog.01694</w:t>
      </w:r>
    </w:p>
    <w:p>
      <w:pPr>
        <w:pStyle w:val="BodyText"/>
      </w:pPr>
      <w:r>
        <w:t xml:space="preserve">McPeek, M. A. (2008). The ecological dynamics of clade diversification and community assembly.</w:t>
      </w:r>
      <w:r>
        <w:t xml:space="preserve"> </w:t>
      </w:r>
      <w:r>
        <w:rPr>
          <w:i/>
          <w:iCs/>
        </w:rPr>
        <w:t xml:space="preserve">The American Naturalist</w:t>
      </w:r>
      <w:r>
        <w:t xml:space="preserve">, 172, E270–E284. https://doi.org/10.1086/593137</w:t>
      </w:r>
    </w:p>
    <w:p>
      <w:pPr>
        <w:pStyle w:val="BodyText"/>
      </w:pPr>
      <w:r>
        <w:t xml:space="preserve">Molina-Venegas, R., &amp; Roquet, C. (2014). Directional biases in phylogenetic structure quantification: a Mediterranean case study.</w:t>
      </w:r>
      <w:r>
        <w:t xml:space="preserve"> </w:t>
      </w:r>
      <w:r>
        <w:rPr>
          <w:i/>
          <w:iCs/>
        </w:rPr>
        <w:t xml:space="preserve">Ecography</w:t>
      </w:r>
      <w:r>
        <w:t xml:space="preserve">, 37, 572–580. https://doi.org/10.1111/j.1600-0587.2013.00442.x</w:t>
      </w:r>
    </w:p>
    <w:p>
      <w:pPr>
        <w:pStyle w:val="BodyText"/>
      </w:pPr>
      <w:r>
        <w:t xml:space="preserve">Mouquet, N., &amp; Loreau, M. (2003). Community patterns in source-sink metacommunities.</w:t>
      </w:r>
      <w:r>
        <w:t xml:space="preserve"> </w:t>
      </w:r>
      <w:r>
        <w:rPr>
          <w:i/>
          <w:iCs/>
        </w:rPr>
        <w:t xml:space="preserve">The American Naturalist</w:t>
      </w:r>
      <w:r>
        <w:t xml:space="preserve">, 162, 544–557. https://doi.org/10.1086/378857</w:t>
      </w:r>
    </w:p>
    <w:p>
      <w:pPr>
        <w:pStyle w:val="BodyText"/>
      </w:pPr>
      <w:r>
        <w:t xml:space="preserve">Münkemüller, T., Lavergne, S., Bzeznik, B., Dray, S., Jombart, T., Schiffers, K., &amp; Thuiller, W. (2012). How to measure and test phylogenetic signal.</w:t>
      </w:r>
      <w:r>
        <w:t xml:space="preserve"> </w:t>
      </w:r>
      <w:r>
        <w:rPr>
          <w:i/>
          <w:iCs/>
        </w:rPr>
        <w:t xml:space="preserve">Methods in Ecology and Evolution</w:t>
      </w:r>
      <w:r>
        <w:t xml:space="preserve">, 3, 743–756. https://doi.org/10.1111/j.2041-210X.2012.00196.x</w:t>
      </w:r>
    </w:p>
    <w:p>
      <w:pPr>
        <w:pStyle w:val="BodyText"/>
      </w:pPr>
      <w:r>
        <w:t xml:space="preserve">Oksanen, J., Simpson, G. L., Blanchet, F. G., Kindt, R., Legendre, P., Minchin, P. R., et al. (2026). vegan: community ecology package. R package version 2.7-6. doi:10.32614/CRAN.package.vegan.</w:t>
      </w:r>
    </w:p>
    <w:p>
      <w:pPr>
        <w:pStyle w:val="BodyText"/>
      </w:pPr>
      <w:r>
        <w:t xml:space="preserve">Pagel, M. (1999). Inferring the historical patterns of biological evolution.</w:t>
      </w:r>
      <w:r>
        <w:t xml:space="preserve"> </w:t>
      </w:r>
      <w:r>
        <w:rPr>
          <w:i/>
          <w:iCs/>
        </w:rPr>
        <w:t xml:space="preserve">Nature</w:t>
      </w:r>
      <w:r>
        <w:t xml:space="preserve">, 401, 877–884. https://doi.org/10.1038/44766</w:t>
      </w:r>
    </w:p>
    <w:p>
      <w:pPr>
        <w:pStyle w:val="BodyText"/>
      </w:pPr>
      <w:r>
        <w:t xml:space="preserve">Paradis, E., &amp; Schliep, K. (2019). ape 5.0: an environment for modern phylogenetics and evolutionary analyses in R.</w:t>
      </w:r>
      <w:r>
        <w:t xml:space="preserve"> </w:t>
      </w:r>
      <w:r>
        <w:rPr>
          <w:i/>
          <w:iCs/>
        </w:rPr>
        <w:t xml:space="preserve">Bioinformatics</w:t>
      </w:r>
      <w:r>
        <w:t xml:space="preserve">, 35, 526–528. https://doi.org/10.1093/bioinformatics/bty633</w:t>
      </w:r>
    </w:p>
    <w:p>
      <w:pPr>
        <w:pStyle w:val="BodyText"/>
      </w:pPr>
      <w:r>
        <w:t xml:space="preserve">Pavoine, S. (2016). A guide through a family of phylogenetic dissimilarity measures among sites.</w:t>
      </w:r>
      <w:r>
        <w:t xml:space="preserve"> </w:t>
      </w:r>
      <w:r>
        <w:rPr>
          <w:i/>
          <w:iCs/>
        </w:rPr>
        <w:t xml:space="preserve">Oikos</w:t>
      </w:r>
      <w:r>
        <w:t xml:space="preserve">, 125, 1719–1732. https://doi.org/10.1111/oik.03262</w:t>
      </w:r>
    </w:p>
    <w:p>
      <w:pPr>
        <w:pStyle w:val="BodyText"/>
      </w:pPr>
      <w:r>
        <w:t xml:space="preserve">Pavoine, S. (2020). adiv: an R package to analyse biodiversity in ecology.</w:t>
      </w:r>
      <w:r>
        <w:t xml:space="preserve"> </w:t>
      </w:r>
      <w:r>
        <w:rPr>
          <w:i/>
          <w:iCs/>
        </w:rPr>
        <w:t xml:space="preserve">Methods in Ecology and Evolution</w:t>
      </w:r>
      <w:r>
        <w:t xml:space="preserve">, 11, 1106–1112. https://doi.org/10.1111/2041-210X.13430</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Peres-Neto, P. R., Dray, S., &amp; ter Braak, C. J. F. (2017). Linking trait variation to the environment: critical issues with community-weighted mean correlation resolved by the fourth-corner approach.</w:t>
      </w:r>
      <w:r>
        <w:t xml:space="preserve"> </w:t>
      </w:r>
      <w:r>
        <w:rPr>
          <w:i/>
          <w:iCs/>
        </w:rPr>
        <w:t xml:space="preserve">Ecography</w:t>
      </w:r>
      <w:r>
        <w:t xml:space="preserve">, 40, 806–816. https://doi.org/10.1111/ecog.02302</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 S14–S30. https://doi.org/10.1890/11-0494.1</w:t>
      </w:r>
    </w:p>
    <w:p>
      <w:pPr>
        <w:pStyle w:val="BodyText"/>
      </w:pPr>
      <w:r>
        <w:t xml:space="preserve">Phillimore, A. B., &amp; Price, T. D. (2008). Density-dependent cladogenesis in birds.</w:t>
      </w:r>
      <w:r>
        <w:t xml:space="preserve"> </w:t>
      </w:r>
      <w:r>
        <w:rPr>
          <w:i/>
          <w:iCs/>
        </w:rPr>
        <w:t xml:space="preserve">PLoS Biology</w:t>
      </w:r>
      <w:r>
        <w:t xml:space="preserve">, 6, e71. https://doi.org/10.1371/journal.pbio.0060071</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 https://doi.org/10.1111/j.1461-0248.2010.01456.x</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Prado, V. H. M., &amp; Rossa-Feres, D. C. (2014). The influence of niche and neutral processes on a neotropical anuran metacommunity.</w:t>
      </w:r>
      <w:r>
        <w:t xml:space="preserve"> </w:t>
      </w:r>
      <w:r>
        <w:rPr>
          <w:i/>
          <w:iCs/>
        </w:rPr>
        <w:t xml:space="preserve">Austral Ecology</w:t>
      </w:r>
      <w:r>
        <w:t xml:space="preserve">, 39, 540–547. https://doi.org/10.1111/aec.12114</w:t>
      </w:r>
    </w:p>
    <w:p>
      <w:pPr>
        <w:pStyle w:val="BodyText"/>
      </w:pPr>
      <w:r>
        <w:t xml:space="preserve">Provete, D. B. (2018). Canopy cover and structural complexity affect the phylogenetic composition of a pond-dwelling Neotropical anuran metacommunity.</w:t>
      </w:r>
      <w:r>
        <w:t xml:space="preserve"> </w:t>
      </w:r>
      <w:r>
        <w:rPr>
          <w:i/>
          <w:iCs/>
        </w:rPr>
        <w:t xml:space="preserve">bioRxiv</w:t>
      </w:r>
      <w:r>
        <w:t xml:space="preserve">, doi:10.1101/252478.</w:t>
      </w:r>
    </w:p>
    <w:p>
      <w:pPr>
        <w:pStyle w:val="BodyText"/>
      </w:pPr>
      <w:r>
        <w:t xml:space="preserve">Provete, D. B., Gonçalves-Souza, T., Garey, M. V., Martins, I. A., &amp; Rossa-Feres, D. C. (2014). Broad-scale spatial patterns of canopy cover and pond morphology affect the structure of a Neotropical amphibian metacommunity.</w:t>
      </w:r>
      <w:r>
        <w:t xml:space="preserve"> </w:t>
      </w:r>
      <w:r>
        <w:rPr>
          <w:i/>
          <w:iCs/>
        </w:rPr>
        <w:t xml:space="preserve">Hydrobiologia</w:t>
      </w:r>
      <w:r>
        <w:t xml:space="preserve">, 734, 69–79. https://doi.org/10.1007/s10750-014-1870-0</w:t>
      </w:r>
    </w:p>
    <w:p>
      <w:pPr>
        <w:pStyle w:val="BodyText"/>
      </w:pPr>
      <w:r>
        <w:t xml:space="preserve">Pybus, O. G., &amp; Harvey, P. H. (2000). Testing macro-evolutionary models using incomplete molecular phylogenies.</w:t>
      </w:r>
      <w:r>
        <w:t xml:space="preserve"> </w:t>
      </w:r>
      <w:r>
        <w:rPr>
          <w:i/>
          <w:iCs/>
        </w:rPr>
        <w:t xml:space="preserve">Proceedings of the Royal Society B</w:t>
      </w:r>
      <w:r>
        <w:t xml:space="preserve">, 267, 2267–2272. https://doi.org/10.1098/rspb.2000.1278</w:t>
      </w:r>
    </w:p>
    <w:p>
      <w:pPr>
        <w:pStyle w:val="BodyText"/>
      </w:pPr>
      <w:r>
        <w:t xml:space="preserve">R Core Team (2026).</w:t>
      </w:r>
      <w:r>
        <w:t xml:space="preserve"> </w:t>
      </w:r>
      <w:r>
        <w:rPr>
          <w:i/>
          <w:iCs/>
        </w:rPr>
        <w:t xml:space="preserve">R: a language and environment for statistical computing</w:t>
      </w:r>
      <w:r>
        <w:t xml:space="preserve">. Vienna: R Foundation for Statistical Computing. doi:10.32614/R.manuals.</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Tsang, T. P. N., &amp; Cadotte, M. W. (2025). Species overlap and phylogenetic relatedness result in community statistical non-independence (and what to do about it).</w:t>
      </w:r>
      <w:r>
        <w:t xml:space="preserve"> </w:t>
      </w:r>
      <w:r>
        <w:rPr>
          <w:i/>
          <w:iCs/>
        </w:rPr>
        <w:t xml:space="preserve">Ecology Letters</w:t>
      </w:r>
      <w:r>
        <w:t xml:space="preserve">, 28, e70267. https://doi.org/10.1111/ele.70267</w:t>
      </w:r>
    </w:p>
    <w:p>
      <w:pPr>
        <w:pStyle w:val="BodyText"/>
      </w:pPr>
      <w:r>
        <w:t xml:space="preserve">Ushey, K., &amp; Wickham, H. (2026). renv: project environments. R package version 1.3.1. doi:10.32614/CRAN.package.renv.</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p>
      <w:pPr>
        <w:pStyle w:val="BodyText"/>
      </w:pPr>
      <w:r>
        <w:t xml:space="preserve">Washburne, A. D., Silverman, J. D., Morton, J. T., Becker, D. J., Crowley, D., Mukherjee, S., David, L. A., &amp; Plowright, R. K. (2019). Phylofactorization: a graph partitioning algorithm to identify phylogenetic scales of ecological data.</w:t>
      </w:r>
      <w:r>
        <w:t xml:space="preserve"> </w:t>
      </w:r>
      <w:r>
        <w:rPr>
          <w:i/>
          <w:iCs/>
        </w:rPr>
        <w:t xml:space="preserve">Ecological Monographs</w:t>
      </w:r>
      <w:r>
        <w:t xml:space="preserve">, 89, e01353. https://doi.org/10.1002/ecm.1353</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 https://doi.org/10.1111/2041-210X.14415</w:t>
      </w:r>
    </w:p>
    <w:bookmarkEnd w:id="60"/>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4" Target="media/rId54.png" /><Relationship Type="http://schemas.openxmlformats.org/officeDocument/2006/relationships/image" Id="rId21" Target="media/rId21.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shape and metacommunity assembly govern the performance of phylogenetic community–environment methods</dc:title>
  <dc:creator/>
  <cp:keywords/>
  <dcterms:created xsi:type="dcterms:W3CDTF">2026-10-20T13:47:40Z</dcterms:created>
  <dcterms:modified xsi:type="dcterms:W3CDTF">2026-10-20T13:47:40Z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date">
    <vt:lpwstr>2026-10-20</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Abstract, Methods, Results and Discussion (draft)</vt:lpwstr>
  </property>
  <property fmtid="{D5CDD505-2E9C-101B-9397-08002B2CF9AE}" pid="10" name="toc-title">
    <vt:lpwstr>Table of contents</vt:lpwstr>
  </property>
</Properties>
</file>