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21.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Abstract, Methods, Results and Discussion (draft)</w:t>
      </w:r>
    </w:p>
    <w:p>
      <w:pPr>
        <w:pStyle w:val="Date"/>
      </w:pPr>
      <w:r>
        <w:t xml:space="preserve">2026-10-20</w:t>
      </w:r>
    </w:p>
    <w:bookmarkStart w:id="20" w:name="abstract"/>
    <w:p>
      <w:pPr>
        <w:pStyle w:val="Heading1"/>
      </w:pPr>
      <w:r>
        <w:t xml:space="preserve">Abstract</w:t>
      </w:r>
    </w:p>
    <w:p>
      <w:pPr>
        <w:numPr>
          <w:ilvl w:val="0"/>
          <w:numId w:val="1001"/>
        </w:numPr>
      </w:pPr>
      <w:r>
        <w:t xml:space="preserve">Methods that relate the phylogenetic structure of metacommunities to environmental gradients, like the principal coordinates of phylogenetic structure (PCPS) and the phylogenetic community composition approach (PCC), were validated with static simulations on trees close to the Yule model. However, real phylogenies vary in topological imbalance and in the distribution of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almost insensitive to tree shape. Mass effects reduced power more than tree shape and almost abolished that of the PCC. The evoPCA and phylofactorization recovered the planted clade in 0.44–0.88 of the replicates in every tree shape, whereas PCPS depended strongly on γ and PCC rarely found the clade.</w:t>
      </w:r>
    </w:p>
    <w:p>
      <w:pPr>
        <w:numPr>
          <w:ilvl w:val="0"/>
          <w:numId w:val="1001"/>
        </w:numPr>
      </w:pPr>
      <w:r>
        <w:t xml:space="preserve">The performance of these methods seems to depend on the distribution of branching times and on the assembly process rather than on tree imbalance. Three regional anuran pools fell inside the simulated grid, so these results seem to apply to real metacommunities. We therefore recommend reporting γ of the analysed tree, caution with the second PCPS axis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provided as an anonymized zip file with this submission;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36" w:name="methods"/>
    <w:p>
      <w:pPr>
        <w:pStyle w:val="Heading1"/>
      </w:pPr>
      <w:r>
        <w:t xml:space="preserve">Methods</w:t>
      </w:r>
    </w:p>
    <w:bookmarkStart w:id="25"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4" w:name="fig-design"/>
          <w:p>
            <w:pPr>
              <w:pStyle w:val="Compact"/>
              <w:jc w:val="center"/>
            </w:pPr>
            <w:r>
              <w:drawing>
                <wp:inline>
                  <wp:extent cx="5753100" cy="2622454"/>
                  <wp:effectExtent b="0" l="0" r="0" t="0"/>
                  <wp:docPr descr="" title="" id="22" name="Picture"/>
                  <a:graphic>
                    <a:graphicData uri="http://schemas.openxmlformats.org/drawingml/2006/picture">
                      <pic:pic>
                        <pic:nvPicPr>
                          <pic:cNvPr descr="figures/fig1_schematic.png" id="23" name="Picture"/>
                          <pic:cNvPicPr>
                            <a:picLocks noChangeArrowheads="1" noChangeAspect="1"/>
                          </pic:cNvPicPr>
                        </pic:nvPicPr>
                        <pic:blipFill>
                          <a:blip r:embed="rId21"/>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4"/>
        </w:tc>
      </w:tr>
    </w:tbl>
    <w:bookmarkEnd w:id="25"/>
    <w:bookmarkStart w:id="26"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6"/>
    <w:bookmarkStart w:id="27"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7"/>
    <w:bookmarkStart w:id="28"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8"/>
    <w:bookmarkStart w:id="30"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9"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9"/>
          <w:p/>
        </w:tc>
      </w:tr>
    </w:tbl>
    <w:bookmarkEnd w:id="30"/>
    <w:bookmarkStart w:id="31"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1"/>
    <w:bookmarkStart w:id="32"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2"/>
    <w:bookmarkStart w:id="33"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the anonymized archive that accompanies this submission (Data Availability Statement), together with the rates aggregated by condition and the scripts that compute the performance measures and the models from them, which reproduce every table and figure without rerunning the simulations.</w:t>
      </w:r>
    </w:p>
    <w:bookmarkEnd w:id="35"/>
    <w:bookmarkEnd w:id="36"/>
    <w:bookmarkStart w:id="53"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0" w:name="fig-type1"/>
          <w:p>
            <w:pPr>
              <w:pStyle w:val="Compact"/>
              <w:jc w:val="center"/>
            </w:pPr>
            <w:r>
              <w:drawing>
                <wp:inline>
                  <wp:extent cx="5753100" cy="4738352"/>
                  <wp:effectExtent b="0" l="0" r="0" t="0"/>
                  <wp:docPr descr="" title="" id="38" name="Picture"/>
                  <a:graphic>
                    <a:graphicData uri="http://schemas.openxmlformats.org/drawingml/2006/picture">
                      <pic:pic>
                        <pic:nvPicPr>
                          <pic:cNvPr descr="figures/fig2_type1.png" id="39" name="Picture"/>
                          <pic:cNvPicPr>
                            <a:picLocks noChangeArrowheads="1" noChangeAspect="1"/>
                          </pic:cNvPicPr>
                        </pic:nvPicPr>
                        <pic:blipFill>
                          <a:blip r:embed="rId37"/>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0"/>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4" w:name="fig-power"/>
          <w:p>
            <w:pPr>
              <w:pStyle w:val="Compact"/>
              <w:jc w:val="center"/>
            </w:pPr>
            <w:r>
              <w:drawing>
                <wp:inline>
                  <wp:extent cx="5753100" cy="3044241"/>
                  <wp:effectExtent b="0" l="0" r="0" t="0"/>
                  <wp:docPr descr="" title="" id="42" name="Picture"/>
                  <a:graphic>
                    <a:graphicData uri="http://schemas.openxmlformats.org/drawingml/2006/picture">
                      <pic:pic>
                        <pic:nvPicPr>
                          <pic:cNvPr descr="figures/fig3_power.png" id="43" name="Picture"/>
                          <pic:cNvPicPr>
                            <a:picLocks noChangeArrowheads="1" noChangeAspect="1"/>
                          </pic:cNvPicPr>
                        </pic:nvPicPr>
                        <pic:blipFill>
                          <a:blip r:embed="rId41"/>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4"/>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8" w:name="fig-layerB"/>
          <w:p>
            <w:pPr>
              <w:pStyle w:val="Compact"/>
              <w:jc w:val="center"/>
            </w:pPr>
            <w:r>
              <w:drawing>
                <wp:inline>
                  <wp:extent cx="5753100" cy="3723605"/>
                  <wp:effectExtent b="0" l="0" r="0" t="0"/>
                  <wp:docPr descr="" title="" id="46" name="Picture"/>
                  <a:graphic>
                    <a:graphicData uri="http://schemas.openxmlformats.org/drawingml/2006/picture">
                      <pic:pic>
                        <pic:nvPicPr>
                          <pic:cNvPr descr="figures/fig4_layerB_power.png" id="47" name="Picture"/>
                          <pic:cNvPicPr>
                            <a:picLocks noChangeArrowheads="1" noChangeAspect="1"/>
                          </pic:cNvPicPr>
                        </pic:nvPicPr>
                        <pic:blipFill>
                          <a:blip r:embed="rId45"/>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8"/>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2" w:name="fig-clade"/>
          <w:p>
            <w:pPr>
              <w:pStyle w:val="Compact"/>
              <w:jc w:val="center"/>
            </w:pPr>
            <w:r>
              <w:drawing>
                <wp:inline>
                  <wp:extent cx="5416061" cy="2886935"/>
                  <wp:effectExtent b="0" l="0" r="0" t="0"/>
                  <wp:docPr descr="" title="" id="50" name="Picture"/>
                  <a:graphic>
                    <a:graphicData uri="http://schemas.openxmlformats.org/drawingml/2006/picture">
                      <pic:pic>
                        <pic:nvPicPr>
                          <pic:cNvPr descr="figures/fig5_clade.png" id="51" name="Picture"/>
                          <pic:cNvPicPr>
                            <a:picLocks noChangeArrowheads="1" noChangeAspect="1"/>
                          </pic:cNvPicPr>
                        </pic:nvPicPr>
                        <pic:blipFill>
                          <a:blip r:embed="rId49"/>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2"/>
        </w:tc>
      </w:tr>
    </w:tbl>
    <w:bookmarkEnd w:id="53"/>
    <w:bookmarkStart w:id="58"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7" w:name="fig-box1"/>
          <w:p>
            <w:pPr>
              <w:pStyle w:val="Compact"/>
              <w:jc w:val="center"/>
            </w:pPr>
            <w:r>
              <w:drawing>
                <wp:inline>
                  <wp:extent cx="4890135" cy="3261010"/>
                  <wp:effectExtent b="0" l="0" r="0" t="0"/>
                  <wp:docPr descr="" title="" id="55" name="Picture"/>
                  <a:graphic>
                    <a:graphicData uri="http://schemas.openxmlformats.org/drawingml/2006/picture">
                      <pic:pic>
                        <pic:nvPicPr>
                          <pic:cNvPr descr="figures/box1_pools.png" id="56" name="Picture"/>
                          <pic:cNvPicPr>
                            <a:picLocks noChangeArrowheads="1" noChangeAspect="1"/>
                          </pic:cNvPicPr>
                        </pic:nvPicPr>
                        <pic:blipFill>
                          <a:blip r:embed="rId54"/>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7"/>
        </w:tc>
      </w:tr>
    </w:tbl>
    <w:bookmarkEnd w:id="58"/>
    <w:bookmarkStart w:id="59"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the power of most tests and the clade recovery of PCPS and PCC, and a phylogenetically conserved niche breadth inflated the type I error of only the two methods that rely on the second PCPS axis or on phylogenetic eigenvectors.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and the power of the statistics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was less sensitive to γ (no change at N = 100 and a loss of 0.03–0.17 at N = 50), although the Mantel test, which also uses the whole matrix</w:t>
      </w:r>
      <w:r>
        <w:t xml:space="preserve"> </w:t>
      </w:r>
      <m:oMath>
        <m:sSub>
          <m:e>
            <m:r>
              <m:t>D</m:t>
            </m:r>
          </m:e>
          <m:sub>
            <m:r>
              <m:t>P</m:t>
            </m:r>
          </m:sub>
        </m:sSub>
      </m:oMath>
      <w:r>
        <w:t xml:space="preserve">, lost up to 0.23, so the use of the whole matrix does not seem to protect a test by itself.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independently of the phylogeny, and those of Duarte et al. (2016) and Peres-Neto et al. (2017) also drew maximum abundance in this way,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site-based tests of trait–environment association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of GLM PCPS2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and priority effects even when traits were strongly conserved (Mason &amp; Pavoine, 2013). Our design probably represents the most extreme case, because the dispersal kernel was uniform and the sites had no spatial structure;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phylofactorization evaluates every edge and evoPCA treats every branch as a variable, and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follow a similar node-by-node logic and could be added to future comparisons.</w:t>
      </w:r>
    </w:p>
    <w:p>
      <w:pPr>
        <w:pStyle w:val="BodyText"/>
      </w:pPr>
      <w:r>
        <w:t xml:space="preserve">Our grid spans the tree shapes of anuran clades, although real regional pools seem to occupy its moderate levels.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anurans fell inside our grid, between its Yule and median levels of γ (Box 1), so the low-γ cells, where the effects of tree shape were largest, are more extreme than these pools. However, γ is sensitive to incomplete and nonrandom sampling of lineages (Cusimano &amp; Renner, 2010; Brock et al., 2011),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with negative γ, but they remain to be tested in trees with γ &gt; 0 and in spatially structured metacommunities.</w:t>
      </w:r>
    </w:p>
    <w:bookmarkEnd w:id="59"/>
    <w:bookmarkStart w:id="60"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60"/>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2026-10-20T13:30:13Z</dcterms:created>
  <dcterms:modified xsi:type="dcterms:W3CDTF">2026-10-20T13:30:13Z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Abstract, Methods, Results and Discussion (draft)</vt:lpwstr>
  </property>
  <property fmtid="{D5CDD505-2E9C-101B-9397-08002B2CF9AE}" pid="10" name="toc-title">
    <vt:lpwstr>Table of contents</vt:lpwstr>
  </property>
</Properties>
</file>