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4"/>
    <w:bookmarkStart w:id="25"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v. 1.12.0 (Landau, 2021) derives one seed per branch, with workers launched by crew v. 1.3.3 (Landau, 2026).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41"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Layer A.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Layer B. Under species sorting without competition, power at N = 100 in S3b in Yule pool trees was 0.78 for GLM PCPS1, 0.83 for RDA PCPS, 0.87 for PERMANOVA, 0.92 for the Mantel test and 0.96 for the PCC, whereas GLM PCPS2 had almost no power (0.03), as in Layer A.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Without a planted effect (shift 0), the hit rate averaged over the cells was 0.007–0.021 for evoPCA, 0.003–0.017 for phylofactorization, 0.018–0.050 for PCPS and 0.034–0.046 for PCC across N, depth and data type (at most 0.072 in a single cell), and the median rank of the planted node was 15–27.5 for PCPS and PCC and 24–107 for evoPCA and phylofactorization (file clade_baseline.csv of the code archive). The formal model of clade recovery excludes shift 0.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Layer A, the share of variation on the first PCPS axis decreased rather than increased with low γ.</w:t>
      </w:r>
    </w:p>
    <w:bookmarkEnd w:id="29"/>
    <w:bookmarkStart w:id="30"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Layer A with the same design (without the PCC) and in Layer B (file procrustes_rates.csv of the code archive). At N = 100 and 200 with incidence data, and averaged over the Colless levels, the variant removed the inflation of GLM PCPS2 in S2σ (raw rates 0.002–0.009 in Layer A and 0.008–0.014 in Layer B under species sorting, against 0.096–0.294 and 0.055–0.127 without Procrustes). However, it was conservative even without nuisance structure (0.001–0.004 for GLM PCPS2 and 0.016–0.028 for GLM PCPS1 in S2 in Layer A, against nominal 0.05), and it reduced the power of GLM PCPS1, especially with low γ (in S3b, from 0.36 to 0.23 at N = 100 and from 0.44 to 0.27 at N = 200 in Layer A). For a single axis, the symmetric Procrustes is only a change of sign and scale and leaves the test unchanged. In the same run of Layer A, the RDA of PCPS axes 1–2 on the gradient, which needs no Procrustes, had rejection rates close to the nominal level in S2 (0.045–0.060 at N = 100 and 200), was conservative in S2σ (0.004–0.021), and lost little power with low γ (in S3b, 0.70, 0.74 and 0.78 at N = 100 and 0.91, 0.89 and 0.90 at N = 200 for low, median and Yule γ), whereas GLM PCPS1 fell from 0.78 to 0.36 at N = 100. Beta-binomial models with the structure of the main models, fitted to this run (R̂ ≤ 1.006, bulk and tail effective sample sizes ≥ 749 and ≥ 1,451, no divergent transitions; 95% posterior predictive coverage 0.97–0.99), gave the same picture: at N = 100 with incidence data and Yule imbalance, the posterior median power in S3b of the RDA PCPS was 0.65 with low γ against 0.76 in Yule trees, that of GLM PCPS1 0.34 against 0.74 and that of GLM PCPS1 with Procrustes 0.21 against 0.69, and the type I error of GLM PCPS2 with Procrustes was 0.002–0.003 in S2 and S2σ.</w:t>
      </w:r>
    </w:p>
    <w:bookmarkEnd w:id="30"/>
    <w:bookmarkStart w:id="31"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Layer A), 0.009 (type I error, Layer A), 0.014 (type I error, Layer B) and 0.015 (power, Layer B), and the proportion of conditions above the 0.05 threshold of priorsense was 0.2%, 1.7%, 2.7%, 2.2% and 5.2%, respectively. In Layer B,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p>
      <w:pPr>
        <w:pStyle w:val="BodyText"/>
      </w:pPr>
      <w:r>
        <w:t xml:space="preserve">Prior predictive simulations (each model refitted with sample_prior =</w:t>
      </w:r>
      <w:r>
        <w:t xml:space="preserve"> </w:t>
      </w:r>
      <w:r>
        <w:t xml:space="preserve">“only”</w:t>
      </w:r>
      <w:r>
        <w:t xml:space="preserve">; file prior_predictive.csv) showed that the priors centre the predicted rates on 0.05 for the type I models and on 0.5 for the others, but are diffuse on the rate scale: across conditions, 36% of the prior predictive rates of the type I models fell below 0.01 and 6% above 0.99, and 16% fell below 0.01 and 16% above 0.99 in the other models, because each rate sums many coefficients. Since the posterior rates were insensitive to the priors, this diffuseness seems not to affect the results.</w:t>
      </w:r>
    </w:p>
    <w:bookmarkEnd w:id="31"/>
    <w:bookmarkStart w:id="32" w:name="X2881ca09035f0b9073252f801279f1211c19ad9"/>
    <w:p>
      <w:pPr>
        <w:pStyle w:val="Heading2"/>
      </w:pPr>
      <w:r>
        <w:t xml:space="preserve">Tree shape of the pool and of the analysed tree in Layer B</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competition made γ more negative by 0.3–0.8 (file layerB_tree_shape.csv of the code archive).</w:t>
      </w:r>
    </w:p>
    <w:bookmarkEnd w:id="32"/>
    <w:bookmarkStart w:id="33" w:name="arch-effect-of-the-second-pcps-axis"/>
    <w:p>
      <w:pPr>
        <w:pStyle w:val="Heading2"/>
      </w:pPr>
      <w:r>
        <w:t xml:space="preserve">Arch effect of the second PCPS axis</w:t>
      </w:r>
    </w:p>
    <w:p>
      <w:pPr>
        <w:pStyle w:val="FirstParagraph"/>
      </w:pPr>
      <w:r>
        <w:t xml:space="preserve">In the diagnostic runs of S2 and S2σ (100 replicates per condition, two cells and N = 100 and 200; script 09_diag_s2sigma.R of the code archive), the second PCPS axis was strongly correlated with the square of the gradient in low-γ trees (median |r| = 0.84–0.86 in S2 and 0.73–0.80 in S2σ), and less so in Yule trees (0.40–0.55 and 0.21–0.31), whereas the first axis followed the gradient itself (median |r| = 0.39–0.91). The community-weighted mean of σ was also correlated with the square of the gradient (median |r| = 0.87–0.93), probably because species with broad niches occupy the middle of the gradient, and in S2σ with low γ the second axis was correlated with it (median |r| = 0.43–0.57). Thus, the second axis seems to be partly an arch of the first one, and in S2σ it also carries the phylogenetic pattern of niche breadth. In these runs, the taxa-shuffle rejection rate of the GLM on PCPS2 in S2σ with low γ was 0.16 (N = 100) and 0.30 (N = 200), and that of a GLM with a quadratic term of the gradient 0.03 and 0.10.</w:t>
      </w:r>
    </w:p>
    <w:bookmarkEnd w:id="33"/>
    <w:bookmarkStart w:id="34" w:name="equivalence-test-of-h1"/>
    <w:p>
      <w:pPr>
        <w:pStyle w:val="Heading2"/>
      </w:pPr>
      <w:r>
        <w:t xml:space="preserve">Equivalence test of H1</w:t>
      </w:r>
    </w:p>
    <w:p>
      <w:pPr>
        <w:pStyle w:val="FirstParagraph"/>
      </w:pPr>
      <w:r>
        <w:t xml:space="preserve">For every test, null scenario, N and data type, at Yule and at low γ, we computed the posterior probability that the type I error at high imbalance differed from that at Yule imbalance by less than 0.025, half the width of Bradley’s liberal interval (file h1_equivalence.csv of the code archive). This probability exceeded 0.95 in 297 of 300 conditions; the exceptions were GLM PCPS2 in S2σ at N = 200 (0.60 and 0.74 with low γ for incidence and abundance data, and 0.92 at Yule γ with incidence data), where the type I error was inflated.</w:t>
      </w:r>
    </w:p>
    <w:bookmarkEnd w:id="34"/>
    <w:bookmarkStart w:id="35" w:name="paired-contrasts-between-scenarios"/>
    <w:p>
      <w:pPr>
        <w:pStyle w:val="Heading2"/>
      </w:pPr>
      <w:r>
        <w:t xml:space="preserve">Paired contrasts between scenarios</w:t>
      </w:r>
    </w:p>
    <w:p>
      <w:pPr>
        <w:pStyle w:val="FirstParagraph"/>
      </w:pPr>
      <w:r>
        <w:t xml:space="preserve">Since replicate r of every scenario used tree r of its cell, the contrasts between scenarios can be computed replicate by replicate. For S2σ and S2h against S2, the paired Monte Carlo standard error of the difference in rejection rate was almost identical to the unpaired one (median ratio 0.998–1.007 across tests), and the number of contrasts whose 95% Monte Carlo interval excluded zero changed by at most one of 54 per test (file paired_contrasts.csv). Hence, given the tree, rejections were almost independent among scenarios, and ignoring the pairing in the formal models seems to cost no precision.</w:t>
      </w:r>
    </w:p>
    <w:bookmarkEnd w:id="35"/>
    <w:bookmarkStart w:id="36" w:name="clade-age-and-clade-recovery"/>
    <w:p>
      <w:pPr>
        <w:pStyle w:val="Heading2"/>
      </w:pPr>
      <w:r>
        <w:t xml:space="preserve">Clade age and clade recovery</w:t>
      </w:r>
    </w:p>
    <w:p>
      <w:pPr>
        <w:pStyle w:val="FirstParagraph"/>
      </w:pPr>
      <w:r>
        <w:t xml:space="preserve">The relative age of the stem node of the planted clade was recorded in every replicate. With a shift of 2, incidence data and N = 100, older clades were recovered more often by every method within each level of γ (evoPCA and phylofactorization, from 0.63–0.68 in the youngest to 0.79–0.82 in the oldest tertile of relative age; PCPS from 0.02 to 0.24 in Yule trees and from 0.22 to 0.62 with low γ), except the PCC, whose recovery did not increase with age at the median level of γ and decreased with low γ (from 0.15 to 0.04). In binomial GLMs with standardized relative age, γ level and their interaction, the effect of age was positive for every method (PCPS 1.63 ± 0.07 on the logit scale per standard deviation, PCC 0.97 ± 0.06, evoPCA 0.47 ± 0.04, phylofactorization 0.41 ± 0.04, at Yule γ) and stronger with low γ except for the PCC (files clade_age.csv and clade_age_glm.csv). Thus, the advantage of older clades is not only a consequence of γ, although both act together.</w:t>
      </w:r>
    </w:p>
    <w:bookmarkEnd w:id="36"/>
    <w:bookmarkStart w:id="37" w:name="lack-of-fit-of-the-mean-structure"/>
    <w:p>
      <w:pPr>
        <w:pStyle w:val="Heading2"/>
      </w:pPr>
      <w:r>
        <w:t xml:space="preserve">Lack of fit of the mean structure</w:t>
      </w:r>
    </w:p>
    <w:p>
      <w:pPr>
        <w:pStyle w:val="FirstParagraph"/>
      </w:pPr>
      <w:r>
        <w:t xml:space="preserve">Each aggregated row is one condition, so the data hold no information on variation among replicates beyond the binomial, and the extra-binomial dispersion of the quasibinomial models (Pearson χ² / df = 2.1–8.5; P &lt; 10</w:t>
      </w:r>
      <w:r>
        <w:rPr>
          <w:vertAlign w:val="superscript"/>
        </w:rPr>
        <w:t xml:space="preserve">−88</w:t>
      </w:r>
      <w:r>
        <w:t xml:space="preserve"> </w:t>
      </w:r>
      <w:r>
        <w:t xml:space="preserve">in every model; file mean_structure.csv) measures the lack of fit of the fixed structure, which the beta-binomial precision φ absorbs. To check whether this lack of fit biases the predicted rates, we refitted every model with a binomial likelihood, the same fixed structure and a random intercept per condition, which captures any departure of a condition from the fixed structure (prior exponential(2) on its standard deviation; four chains of 2,000 iterations; script 35_mean_structure.R). The standard deviation of the condition effects was 0.16–0.28 on the logit scale. The predicted rates of these models agreed with those of the beta-binomial models (median absolute difference 0.002–0.014 across models, maximum 0.025–0.117, correlation 0.972–0.999). Convergence was acceptable but weaker than in the main models (R̂ ≤ 1.02, bulk effective sample size ≥ 377), and 13% of the transitions of the Layer A power model reached the maximum tree depth, so we used these models only as a check.</w:t>
      </w:r>
    </w:p>
    <w:bookmarkEnd w:id="37"/>
    <w:bookmarkStart w:id="38"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38"/>
    <w:bookmarkStart w:id="39"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9"/>
    <w:bookmarkStart w:id="40"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40"/>
    <w:bookmarkEnd w:id="41"/>
    <w:bookmarkStart w:id="47" w:name="Xe229b3875b755fa040ccee6a6defa38ba6f6b70"/>
    <w:p>
      <w:pPr>
        <w:pStyle w:val="Heading1"/>
      </w:pPr>
      <w:r>
        <w:t xml:space="preserve">Appendix S3. Real pools and real metacommunities</w:t>
      </w:r>
    </w:p>
    <w:bookmarkStart w:id="42"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42"/>
    <w:bookmarkStart w:id="46"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44" name="Picture"/>
            <a:graphic>
              <a:graphicData uri="http://schemas.openxmlformats.org/drawingml/2006/picture">
                <pic:pic>
                  <pic:nvPicPr>
                    <pic:cNvPr descr="figures/box1_pools.png" id="45" name="Picture"/>
                    <pic:cNvPicPr>
                      <a:picLocks noChangeArrowheads="1" noChangeAspect="1"/>
                    </pic:cNvPicPr>
                  </pic:nvPicPr>
                  <pic:blipFill>
                    <a:blip r:embed="rId43"/>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46"/>
    <w:bookmarkEnd w:id="47"/>
    <w:bookmarkStart w:id="49"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48"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48"/>
          <w:p/>
        </w:tc>
      </w:tr>
    </w:tbl>
    <w:bookmarkEnd w:id="49"/>
    <w:bookmarkStart w:id="51"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50"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50"/>
          <w:p/>
        </w:tc>
      </w:tr>
    </w:tbl>
    <w:bookmarkEnd w:id="51"/>
    <w:bookmarkStart w:id="53"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52"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633"/>
              <w:gridCol w:w="580"/>
              <w:gridCol w:w="739"/>
              <w:gridCol w:w="739"/>
              <w:gridCol w:w="633"/>
              <w:gridCol w:w="844"/>
              <w:gridCol w:w="528"/>
              <w:gridCol w:w="528"/>
              <w:gridCol w:w="1056"/>
              <w:gridCol w:w="1056"/>
              <w:gridCol w:w="580"/>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r>
              <w:tc>
                <w:tcPr/>
                <w:p>
                  <w:pPr>
                    <w:pStyle w:val="Compact"/>
                    <w:jc w:val="left"/>
                    <w:jc w:val="center"/>
                  </w:pPr>
                  <w:r>
                    <w:t xml:space="preserve">type_I_axes</w:t>
                  </w:r>
                </w:p>
              </w:tc>
              <w:tc>
                <w:tcPr/>
                <w:p>
                  <w:pPr>
                    <w:pStyle w:val="Compact"/>
                    <w:jc w:val="right"/>
                    <w:jc w:val="center"/>
                  </w:pPr>
                  <w:r>
                    <w:t xml:space="preserve">1.005</w:t>
                  </w:r>
                </w:p>
              </w:tc>
              <w:tc>
                <w:tcPr/>
                <w:p>
                  <w:pPr>
                    <w:pStyle w:val="Compact"/>
                    <w:jc w:val="right"/>
                    <w:jc w:val="center"/>
                  </w:pPr>
                  <w:r>
                    <w:t xml:space="preserve">749.084</w:t>
                  </w:r>
                </w:p>
              </w:tc>
              <w:tc>
                <w:tcPr/>
                <w:p>
                  <w:pPr>
                    <w:pStyle w:val="Compact"/>
                    <w:jc w:val="right"/>
                    <w:jc w:val="center"/>
                  </w:pPr>
                  <w:r>
                    <w:t xml:space="preserve">1451.114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0.685</w:t>
                  </w:r>
                </w:p>
              </w:tc>
              <w:tc>
                <w:tcPr/>
                <w:p>
                  <w:pPr>
                    <w:pStyle w:val="Compact"/>
                    <w:jc w:val="right"/>
                    <w:jc w:val="center"/>
                  </w:pPr>
                  <w:r>
                    <w:t xml:space="preserve">0.988</w:t>
                  </w:r>
                </w:p>
              </w:tc>
              <w:tc>
                <w:tcPr/>
                <w:p>
                  <w:pPr>
                    <w:pStyle w:val="Compact"/>
                    <w:jc w:val="right"/>
                    <w:jc w:val="center"/>
                  </w:pPr>
                  <w:r>
                    <w:t xml:space="preserve">0.974</w:t>
                  </w:r>
                </w:p>
              </w:tc>
              <w:tc>
                <w:tcPr/>
                <w:p>
                  <w:pPr>
                    <w:pStyle w:val="Compact"/>
                    <w:jc w:val="right"/>
                    <w:jc w:val="center"/>
                  </w:pPr>
                  <w:r>
                    <w:t xml:space="preserve">1</w:t>
                  </w:r>
                </w:p>
              </w:tc>
              <w:tc>
                <w:tcPr/>
                <w:p>
                  <w:pPr>
                    <w:pStyle w:val="Compact"/>
                    <w:jc w:val="right"/>
                    <w:jc w:val="center"/>
                  </w:pPr>
                  <w:r>
                    <w:t xml:space="preserve">1.452</w:t>
                  </w:r>
                </w:p>
              </w:tc>
            </w:tr>
            <w:tr>
              <w:tc>
                <w:tcPr/>
                <w:p>
                  <w:pPr>
                    <w:pStyle w:val="Compact"/>
                    <w:jc w:val="left"/>
                    <w:jc w:val="center"/>
                  </w:pPr>
                  <w:r>
                    <w:t xml:space="preserve">power_axes</w:t>
                  </w:r>
                </w:p>
              </w:tc>
              <w:tc>
                <w:tcPr/>
                <w:p>
                  <w:pPr>
                    <w:pStyle w:val="Compact"/>
                    <w:jc w:val="right"/>
                    <w:jc w:val="center"/>
                  </w:pPr>
                  <w:r>
                    <w:t xml:space="preserve">1.005</w:t>
                  </w:r>
                </w:p>
              </w:tc>
              <w:tc>
                <w:tcPr/>
                <w:p>
                  <w:pPr>
                    <w:pStyle w:val="Compact"/>
                    <w:jc w:val="right"/>
                    <w:jc w:val="center"/>
                  </w:pPr>
                  <w:r>
                    <w:t xml:space="preserve">748.550</w:t>
                  </w:r>
                </w:p>
              </w:tc>
              <w:tc>
                <w:tcPr/>
                <w:p>
                  <w:pPr>
                    <w:pStyle w:val="Compact"/>
                    <w:jc w:val="right"/>
                    <w:jc w:val="center"/>
                  </w:pPr>
                  <w:r>
                    <w:t xml:space="preserve">1489.957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0.704</w:t>
                  </w:r>
                </w:p>
              </w:tc>
              <w:tc>
                <w:tcPr/>
                <w:p>
                  <w:pPr>
                    <w:pStyle w:val="Compact"/>
                    <w:jc w:val="right"/>
                    <w:jc w:val="center"/>
                  </w:pPr>
                  <w:r>
                    <w:t xml:space="preserve">0.967</w:t>
                  </w:r>
                </w:p>
              </w:tc>
              <w:tc>
                <w:tcPr/>
                <w:p>
                  <w:pPr>
                    <w:pStyle w:val="Compact"/>
                    <w:jc w:val="right"/>
                    <w:jc w:val="center"/>
                  </w:pPr>
                  <w:r>
                    <w:t xml:space="preserve">0.947</w:t>
                  </w:r>
                </w:p>
              </w:tc>
              <w:tc>
                <w:tcPr/>
                <w:p>
                  <w:pPr>
                    <w:pStyle w:val="Compact"/>
                    <w:jc w:val="right"/>
                    <w:jc w:val="center"/>
                  </w:pPr>
                  <w:r>
                    <w:t xml:space="preserve">1</w:t>
                  </w:r>
                </w:p>
              </w:tc>
              <w:tc>
                <w:tcPr/>
                <w:p>
                  <w:pPr>
                    <w:pStyle w:val="Compact"/>
                    <w:jc w:val="right"/>
                    <w:jc w:val="center"/>
                  </w:pPr>
                  <w:r>
                    <w:t xml:space="preserve">9.113</w:t>
                  </w:r>
                </w:p>
              </w:tc>
            </w:tr>
          </w:tbl>
          <w:bookmarkEnd w:id="52"/>
          <w:p/>
        </w:tc>
      </w:tr>
    </w:tbl>
    <w:bookmarkEnd w:id="53"/>
    <w:bookmarkStart w:id="54"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5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2026-10-21T03:01:57Z</dcterms:created>
  <dcterms:modified xsi:type="dcterms:W3CDTF">2026-10-21T03:01:57Z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