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Tree shape and metacommunity assembly govern the performance of phylogenetic community–environment methods</w:t>
      </w:r>
    </w:p>
    <w:p>
      <w:pPr>
        <w:pStyle w:val="Author"/>
      </w:pPr>
      <w:r>
        <w:t xml:space="preserve">Diogo B. Provete</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The planted-clade objective replaced the per-node effect sizes under continuous Brownian motion that we had planned, because a planted clade defines unambiguously which answer is correct.</w:t>
      </w:r>
    </w:p>
    <w:bookmarkEnd w:id="24"/>
    <w:bookmarkStart w:id="25" w:name="formal-models-of-the-simulation-results"/>
    <w:p>
      <w:pPr>
        <w:pStyle w:val="Heading2"/>
      </w:pPr>
      <w:r>
        <w:t xml:space="preserve">Formal models of the simulation results</w:t>
      </w:r>
    </w:p>
    <w:p>
      <w:pPr>
        <w:pStyle w:val="FirstParagraph"/>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(Landau, 2021) derives one seed per branch.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32"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29"/>
    <w:bookmarkStart w:id="30"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0"/>
    <w:bookmarkStart w:id="31"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31"/>
    <w:bookmarkEnd w:id="32"/>
    <w:bookmarkStart w:id="34"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33"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33"/>
          <w:p/>
        </w:tc>
      </w:tr>
    </w:tbl>
    <w:bookmarkEnd w:id="34"/>
    <w:bookmarkStart w:id="36"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35"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35"/>
          <w:p/>
        </w:tc>
      </w:tr>
    </w:tbl>
    <w:bookmarkEnd w:id="36"/>
    <w:bookmarkStart w:id="38"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37"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484"/>
              <w:gridCol w:w="592"/>
              <w:gridCol w:w="754"/>
              <w:gridCol w:w="754"/>
              <w:gridCol w:w="646"/>
              <w:gridCol w:w="862"/>
              <w:gridCol w:w="538"/>
              <w:gridCol w:w="538"/>
              <w:gridCol w:w="1077"/>
              <w:gridCol w:w="1077"/>
              <w:gridCol w:w="592"/>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bl>
          <w:bookmarkEnd w:id="37"/>
          <w:p/>
        </w:tc>
      </w:tr>
    </w:tbl>
    <w:bookmarkEnd w:id="38"/>
    <w:bookmarkStart w:id="39"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39"/>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Diogo B. Provete</dc:creator>
  <cp:keywords/>
  <dcterms:created xsi:type="dcterms:W3CDTF">2026-10-20T13:07:58Z</dcterms:created>
  <dcterms:modified xsi:type="dcterms:W3CDTF">2026-10-20T13:07:58Z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Tree shape and metacommunity assembly govern the performance of phylogenetic community–environment methods</vt:lpwstr>
  </property>
  <property fmtid="{D5CDD505-2E9C-101B-9397-08002B2CF9AE}" pid="11" name="toc-title">
    <vt:lpwstr>Table of contents</vt:lpwstr>
  </property>
</Properties>
</file>