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4.png" ContentType="image/png"/>
  <Override PartName="/word/media/rId21.png" ContentType="image/png"/>
  <Override PartName="/word/media/rId3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Subtitle"/>
      </w:pPr>
      <w:r>
        <w:t xml:space="preserve">Abstract, Methods, Results and Discussion (draft)</w:t>
      </w:r>
    </w:p>
    <w:p>
      <w:pPr>
        <w:pStyle w:val="Author"/>
      </w:pPr>
      <w:r>
        <w:t xml:space="preserve">Diogo B. Provete</w:t>
      </w:r>
    </w:p>
    <w:p>
      <w:pPr>
        <w:pStyle w:val="Date"/>
      </w:pPr>
      <w:r>
        <w:t xml:space="preserve">2026-10-20</w:t>
      </w:r>
    </w:p>
    <w:bookmarkStart w:id="20" w:name="abstract"/>
    <w:p>
      <w:pPr>
        <w:pStyle w:val="Heading1"/>
      </w:pPr>
      <w:r>
        <w:t xml:space="preserve">Abstract</w:t>
      </w:r>
    </w:p>
    <w:p>
      <w:pPr>
        <w:numPr>
          <w:ilvl w:val="0"/>
          <w:numId w:val="1001"/>
        </w:numPr>
      </w:pPr>
      <w:r>
        <w:t xml:space="preserve">Methods that relate the phylogenetic structure of metacommunities to environmental gradients, like the principal coordinates of phylogenetic structure (PCPS) and the phylogenetic community composition approach (PCC), were validated with static simulations on trees close to the Yule model. However, real phylogenies vary in topological imbalance and in the distribution of branching times, and dispersal and competition assemble metacommunities, so their published performance may not hold for empirical data.</w:t>
      </w:r>
    </w:p>
    <w:p>
      <w:pPr>
        <w:numPr>
          <w:ilvl w:val="0"/>
          <w:numId w:val="1001"/>
        </w:numPr>
      </w:pPr>
      <w:r>
        <w:t xml:space="preserve">We simulated metacommunities on a grid of tree shapes that crossed the distribution of branching times (γ) with topological imbalance (Colless index), with levels from anuran clades, in a static layer that reproduces the original validations and in a process-based layer with species sorting, mass effects and phylogenetic competition. We estimated the type I error and power of six tests, and how often four ordination and factorization methods recovered a clade planted along the gradient, with beta-binomial models of these rates.</w:t>
      </w:r>
    </w:p>
    <w:p>
      <w:pPr>
        <w:numPr>
          <w:ilvl w:val="0"/>
          <w:numId w:val="1001"/>
        </w:numPr>
      </w:pPr>
      <w:r>
        <w:t xml:space="preserve">Tree imbalance did not affect the type I error of any test. Phylogenetic signal in niche breadth inflated the type I error of the linear model on the second PCPS axis, up to 0.36 in trees with low γ, and of the PCC, up to 0.22. Low γ reduced the power of the linear model on the first PCPS axis by 0.40 and that of the PCC by 0.25, whereas PERMANOVA was almost insensitive to tree shape. Mass effects reduced power more than tree shape and almost abolished that of the PCC. The evoPCA and phylofactorization recovered the planted clade in 0.44–0.88 of the replicates in every tree shape, whereas PCPS depended strongly on γ and PCC rarely found the clade.</w:t>
      </w:r>
    </w:p>
    <w:p>
      <w:pPr>
        <w:numPr>
          <w:ilvl w:val="0"/>
          <w:numId w:val="1001"/>
        </w:numPr>
      </w:pPr>
      <w:r>
        <w:t xml:space="preserve">The performance of these methods seems to depend on the distribution of branching times and on the assembly process rather than on tree imbalance. Three regional anuran pools fell inside the simulated grid, so these results seem to apply to real metacommunities. We therefore recommend reporting γ of the analysed tree, caution with the second PCPS axis when niche breadth may be phylogenetically conserved, and using evoPCA or phylofactorization to identify the clades associated with a gradient.</w:t>
      </w:r>
    </w:p>
    <w:p>
      <w:pPr>
        <w:pStyle w:val="FirstParagraph"/>
      </w:pPr>
      <w:r>
        <w:t xml:space="preserve">Data and code availability for review: the code, the rates aggregated by condition and the scripts that reproduce every table and figure are provided as an anonymized zip file with this submission;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36" w:name="methods"/>
    <w:p>
      <w:pPr>
        <w:pStyle w:val="Heading1"/>
      </w:pPr>
      <w:r>
        <w:t xml:space="preserve">Methods</w:t>
      </w:r>
    </w:p>
    <w:bookmarkStart w:id="25" w:name="overview-of-the-simulation-study"/>
    <w:p>
      <w:pPr>
        <w:pStyle w:val="Heading2"/>
      </w:pPr>
      <w:r>
        <w:t xml:space="preserve">Overview of the simulation study</w:t>
      </w:r>
    </w:p>
    <w:p>
      <w:pPr>
        <w:pStyle w:val="FirstParagraph"/>
      </w:pPr>
      <w:r>
        <w:t xml:space="preserve">We designed the simulation study following the aims, data-generating mechanisms, estimands, methods and performance measures structure recommended for simulation studies that evaluate statistical methods (DiRenzo et al., 2023; Williams et al., 2024). The study had three aims: (i) to estimate how the shape of the phylogenetic tree, measured as the distribution of branching times (the γ statistic; Pybus &amp; Harvey, 2000) and the imbalance of the topology (the Colless index; Colless, 1982), affects the type I error and the power of tests that relate the phylogenetic structure of metacommunities to an environmental gradient; (ii) to estimate how the same tests perform under different processes of metacommunity assembly, which, to the best of our knowledge, neither the articles that proposed these tests nor later evaluations of them have addressed (Peres-Neto &amp; Kembel, 2015; Duarte et al., 2016); and (iii) to estimate how well ordination and factorization methods recover a clade associated with the gradient. We generated metacommunities in two layers (</w:t>
      </w:r>
      <w:hyperlink w:anchor="fig-design">
        <w:r>
          <w:rPr>
            <w:rStyle w:val="Hyperlink"/>
          </w:rPr>
          <w:t xml:space="preserve">Fig. 1</w:t>
        </w:r>
      </w:hyperlink>
      <w:r>
        <w:t xml:space="preserve">). Layer A follows the static protocol of Peres-Neto, Leibold and Dray (2012), which was also used to validate the tests we evaluated, so our results can be compared directly with the published ones. Layer B simulates metacommunity dynamics with the process-based framework of Thompson et al. (2020), in which species sorting, mass effects and competition emerge from local population dynamics and dispersal.</w:t>
      </w:r>
    </w:p>
    <w:p>
      <w:pPr>
        <w:pStyle w:val="BodyText"/>
      </w:pPr>
      <w:r>
        <w:t xml:space="preserve">We stated four hypotheses before the main runs.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The study was not registered. However, we wrote the design and the hypotheses down before the main runs (docs/PLANO_SIMULACAO.md, first committed on 16 October 2026 as commit 668fa60 of the code repository),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4" w:name="fig-design"/>
          <w:p>
            <w:pPr>
              <w:pStyle w:val="Compact"/>
              <w:jc w:val="center"/>
            </w:pPr>
            <w:r>
              <w:drawing>
                <wp:inline>
                  <wp:extent cx="5753100" cy="2622454"/>
                  <wp:effectExtent b="0" l="0" r="0" t="0"/>
                  <wp:docPr descr="" title="" id="22" name="Picture"/>
                  <a:graphic>
                    <a:graphicData uri="http://schemas.openxmlformats.org/drawingml/2006/picture">
                      <pic:pic>
                        <pic:nvPicPr>
                          <pic:cNvPr descr="figures/fig1_schematic.png" id="23" name="Picture"/>
                          <pic:cNvPicPr>
                            <a:picLocks noChangeArrowheads="1" noChangeAspect="1"/>
                          </pic:cNvPicPr>
                        </pic:nvPicPr>
                        <pic:blipFill>
                          <a:blip r:embed="rId21"/>
                          <a:stretch>
                            <a:fillRect/>
                          </a:stretch>
                        </pic:blipFill>
                        <pic:spPr bwMode="auto">
                          <a:xfrm>
                            <a:off x="0" y="0"/>
                            <a:ext cx="5753100" cy="2622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4"/>
        </w:tc>
      </w:tr>
    </w:tbl>
    <w:bookmarkEnd w:id="25"/>
    <w:bookmarkStart w:id="26"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empirical range of anuran tree shapes between the 10% and 90% quantiles, although it has no level with γ &gt; 0, and its Yule × Yule cell approximates the trees used in previous validations (Peres-Neto &amp; Kembel, 2015; Duarte et al., 2016).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6"/>
    <w:bookmarkStart w:id="27" w:name="layer-a-static-metacommunities"/>
    <w:p>
      <w:pPr>
        <w:pStyle w:val="Heading2"/>
      </w:pPr>
      <w:r>
        <w:t xml:space="preserve">Layer A: static metacommunities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w:t>
      </w:r>
    </w:p>
    <w:bookmarkEnd w:id="27"/>
    <w:bookmarkStart w:id="28"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At each time step, the expected abundance of species</w:t>
      </w:r>
      <w:r>
        <w:t xml:space="preserve"> </w:t>
      </w:r>
      <m:oMath>
        <m:r>
          <m:t>j</m:t>
        </m:r>
      </m:oMath>
      <w:r>
        <w:t xml:space="preserve"> </w:t>
      </w:r>
      <w:r>
        <w:t xml:space="preserve">at site</w:t>
      </w:r>
      <w:r>
        <w:t xml:space="preserve"> </w:t>
      </w:r>
      <m:oMath>
        <m:r>
          <m:t>i</m:t>
        </m:r>
      </m:oMath>
      <w:r>
        <w:t xml:space="preserve"> </w:t>
      </w:r>
      <w:r>
        <w:t xml:space="preserve">was its density-independent growth rate,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t>
      </w:r>
      <w:r>
        <w:t xml:space="preserve">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multiplied by its abundance and divided by one plus the summed competitive effects of all species at the site, following a Beverton–Holt model (Beverton &amp; Holt, 1957). Abundances were then drawn from a Poisson distribution, and a proportion</w:t>
      </w:r>
      <w:r>
        <w:t xml:space="preserve"> </w:t>
      </w:r>
      <m:oMath>
        <m:r>
          <m:t>a</m:t>
        </m:r>
      </m:oMath>
      <w:r>
        <w:t xml:space="preserve"> </w:t>
      </w:r>
      <w:r>
        <w:t xml:space="preserve">of the individuals dispersed uniformly among sites, so that sites had no spatial structure and remained exchangeable, which keeps the site shuffle a valid null model. The dynamics ran for 1,000 steps, and we analysed the final state as incidence data; the full model and its settings are given in Appendix S1.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the tree of the analysed metacommunity, and we calibrated the size of the pool so that the mean number of species left after the dynamics was close to N. Mass effects with phylogenetic competition could not reach N = 200, and we dropped this combination. Layer B used five cells of the grid (the four corners and the centre) and 1,000 replicates per combination.</w:t>
      </w:r>
    </w:p>
    <w:bookmarkEnd w:id="28"/>
    <w:bookmarkStart w:id="30" w:name="scenarios-and-estimands"/>
    <w:p>
      <w:pPr>
        <w:pStyle w:val="Heading2"/>
      </w:pPr>
      <w:r>
        <w:t xml:space="preserve">Scenarios and estimands</w:t>
      </w:r>
    </w:p>
    <w:p>
      <w:pPr>
        <w:pStyle w:val="FirstParagraph"/>
      </w:pPr>
      <w:r>
        <w:t xml:space="preserve">The eight trait scenarios were the same in both layers (</w:t>
      </w:r>
      <w:hyperlink w:anchor="tbl-scenarios">
        <w:r>
          <w:rPr>
            <w:rStyle w:val="Hyperlink"/>
          </w:rPr>
          <w:t xml:space="preserve">Table 1</w:t>
        </w:r>
      </w:hyperlink>
      <w:r>
        <w:t xml:space="preserve">). In S0 and S1, we analysed a gradient independent of the one that generated the data, with species optima without (S0) or with (S1) phylogenetic signal, so any association between phylogenetic structure and the analysed gradient arises by chance. Scenarios S2, S2σ and S2h used the gradient that generated the data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scenarios under the alternative hypothesis had optima with intermediate (S3a, λ = 0.5) or full (S3b, λ = 1) phylogenetic signal, and S3σ added signal in niche breadth. Accordingly,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29"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29"/>
          <w:p/>
        </w:tc>
      </w:tr>
    </w:tbl>
    <w:bookmarkEnd w:id="30"/>
    <w:bookmarkStart w:id="31"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Layer B,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The observed statistics of our permutation code equal those of the R packages vegan v. 2.7-6 (Oksanen et al., 2026) and PCPS v. 1.0.9 (Debastiani, 2026), which we checked in unit tests.</w:t>
      </w:r>
    </w:p>
    <w:bookmarkEnd w:id="31"/>
    <w:bookmarkStart w:id="32"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0.5, 1 and 2, all nine cells of the grid, N = 50, 100 and 200 with incidence data, and N = 100 with abundance data, with 1,000 replicates per combination, and the planted clade, the optima and the gradient of a replicate were the same across shifts and data types.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As complementary measures, which give partial credit to a method that chooses a nested or a slightly larger clade, we recorded the rank of the planted node among all nodes and the Jaccard similarity between the best-scoring and the planted clades.</w:t>
      </w:r>
    </w:p>
    <w:bookmarkEnd w:id="32"/>
    <w:bookmarkStart w:id="33"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w:t>
      </w:r>
      <w:r>
        <w:t xml:space="preserve">and at most 0.016 at</w:t>
      </w:r>
      <w:r>
        <w:t xml:space="preserve"> </w:t>
      </w:r>
      <m:oMath>
        <m:r>
          <m:t>p</m:t>
        </m:r>
        <m:r>
          <m:rPr>
            <m:sty m:val="p"/>
          </m:rPr>
          <m:t>=</m:t>
        </m:r>
        <m:r>
          <m:t>0.5</m:t>
        </m:r>
      </m:oMath>
      <w:r>
        <w:t xml:space="preserve">, so a 95% Monte Carlo interval around the nominal level spans about ±0.014. We chose</w:t>
      </w:r>
      <w:r>
        <w:t xml:space="preserve"> </w:t>
      </w:r>
      <m:oMath>
        <m:r>
          <m:t>K</m:t>
        </m:r>
      </m:oMath>
      <w:r>
        <w:t xml:space="preserve"> </w:t>
      </w:r>
      <w:r>
        <w:t xml:space="preserve">so that this interval falls within Bradley’s liberal criterion for acceptable type I error, [0.025, 0.075] (Bradley, 1978). We report every rate with its Monte Carlo standard error in Table S2, and the credible intervals of the formal models below include the binomial variation among replicates. We then modelled the rates aggregated by condition with beta-binomial models fitted in the R package brms v. 2.23.0 (Bürkner, 2017) with CmdStan v. 2.39.0 through cmdstanr v. 0.9.0 (Gabry et al., 2025), with one model for the type I error and one for the power in each layer,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normal(0, 1.5) for the coefficients, normal(−2.9, 1.5) for the intercept of the type I models, centred on logit(0.05), and gamma(2, 0.01) for the precision φ.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3"/>
    <w:bookmarkStart w:id="34" w:name="empirical-reference-and-case-study"/>
    <w:p>
      <w:pPr>
        <w:pStyle w:val="Heading2"/>
      </w:pPr>
      <w:r>
        <w:t xml:space="preserve">Empirical reference and case study</w:t>
      </w:r>
    </w:p>
    <w:p>
      <w:pPr>
        <w:pStyle w:val="FirstParagraph"/>
      </w:pPr>
      <w:r>
        <w:t xml:space="preserve">To show where real regional species pools fall in the grid of tree shapes, and how the methods behave with real data, we used 14 tadpole metacommunities compiled from the literature and from unpublished data (Box 1). We harmonized species names with the Amphibian Species of the World (Frost, 2026; through the internal dataset of AmphiNom, updated on 16 October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metacommunities with at least 10 ponds and pond depth measured in every pond, namely two of the 14 and one additional published dataset: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34"/>
    <w:bookmarkStart w:id="35"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We orchestrated the simulations with targets v. 1.12.0 (Landau, 2021) and crew v. 1.3.3 (Landau, 2026) in a Docker image, with seeds derived from a single pipeline seed (Appendix S1). Code is available in the anonymized archive that accompanies this submission (Data Availability Statement), together with the rates aggregated by condition and the scripts that compute the performance measures and the models from them, which reproduce every table and figure without rerunning the simulations.</w:t>
      </w:r>
    </w:p>
    <w:bookmarkEnd w:id="35"/>
    <w:bookmarkEnd w:id="36"/>
    <w:bookmarkStart w:id="53" w:name="results"/>
    <w:p>
      <w:pPr>
        <w:pStyle w:val="Heading1"/>
      </w:pPr>
      <w:r>
        <w:t xml:space="preserve">Results</w:t>
      </w:r>
    </w:p>
    <w:p>
      <w:pPr>
        <w:pStyle w:val="FirstParagraph"/>
      </w:pPr>
      <w:r>
        <w:t xml:space="preserve">The static layer reproduced the published validations (Appendix S2): in the Yule trees of Duarte et al. (2016), 66 of 72 published rejection rates fell within the 95% binomial interval of our estimates, and the PCC matched the rates of Peres-Neto and Kembel (2015) in the scenarios that do not depend on the tree. All formal models converged (</w:t>
      </w:r>
      <m:oMath>
        <m:acc>
          <m:accPr>
            <m:chr m:val="̂"/>
          </m:accPr>
          <m:e>
            <m:r>
              <m:t>R</m:t>
            </m:r>
          </m:e>
        </m:acc>
      </m:oMath>
      <w:r>
        <w:t xml:space="preserve"> </w:t>
      </w:r>
      <w:r>
        <w:t xml:space="preserve">≤ 1.01, no divergent transitions), and their posterior predictive intervals covered the observed rates (Appendix S2, Table S3).</w:t>
      </w:r>
    </w:p>
    <w:p>
      <w:pPr>
        <w:pStyle w:val="BodyText"/>
      </w:pPr>
      <w:r>
        <w:t xml:space="preserve">Tree imbalance did not affect the type I error of any test. In all 75 combinations of test, null scenario and N, the difference in the distance of the type I error from the nominal level between highly imbalanced and Yule trees was within ±0.012, and no 95% CI excluded zero, with incidence or abundance data (</w:t>
      </w:r>
      <w:hyperlink w:anchor="fig-type1">
        <w:r>
          <w:rPr>
            <w:rStyle w:val="Hyperlink"/>
          </w:rPr>
          <w:t xml:space="preserve">Fig. 2</w:t>
        </w:r>
      </w:hyperlink>
      <w:r>
        <w:t xml:space="preserve">). In S0, where optima had no phylogenetic signal and the gradient was independent, all tests were conservative, and four of them became more conservative in trees with low γ (by 0.008–0.020).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Compared with the same scenario without signal (S2), signal in σ (S2σ) increased the rejection rate of GLM PCPS2 by 0.02 (95% CI 0.01–0.03) in Yule trees at N = 100, and by 0.05 (0.04–0.06), 0.10 (0.08–0.12) and 0.21 (0.19–0.23) with low γ at N = 50, 100 and 200 (</w:t>
      </w:r>
      <w:hyperlink w:anchor="fig-type1">
        <w:r>
          <w:rPr>
            <w:rStyle w:val="Hyperlink"/>
          </w:rPr>
          <w:t xml:space="preserve">Fig. 2</w:t>
        </w:r>
      </w:hyperlink>
      <w:r>
        <w:t xml:space="preserve">). The raw rates reached 0.36 at N = 200 in low-γ trees. The PCC was also inflated, by 0.05 (0.03–0.06) in Yule trees and by 0.02 (0.01–0.03) with low γ at N = 100, with raw rates of up to 0.22 at N = 200 in Yule trees. Interestingly, PERMANOVA, GLM PCPS1 and the Mantel test became more conservative under signal in σ (by 0.005–0.030), and signal in maximum abundance (S2h) did not change the rejection rate of any test. With abundance data, the inflation of GLM PCPS2 was smaller (0.08, 0.06–0.09, with low γ at N = 100). As a result, H2 was rejected as stated: the nuisance structure created by a phylogenetically conserved niche breadth seems to affect only the methods that rely on the second PCPS axis or on phylogenetic eigenvectors, and its effect on GLM PCPS2 depends strongly on the distribution of branching times.</w:t>
      </w:r>
    </w:p>
    <w:tbl>
      <w:tblPr>
        <w:tblStyle w:val="Table"/>
        <w:tblW w:type="pct" w:w="5000"/>
        <w:tblLayout w:type="fixed"/>
        <w:tblLook w:firstRow="0" w:lastRow="0" w:firstColumn="0" w:lastColumn="0" w:noHBand="0" w:noVBand="0" w:val="0000"/>
      </w:tblPr>
      <w:tblGrid>
        <w:gridCol w:w="7920"/>
      </w:tblGrid>
      <w:tr>
        <w:tc>
          <w:tcPr/>
          <w:bookmarkStart w:id="40" w:name="fig-type1"/>
          <w:p>
            <w:pPr>
              <w:pStyle w:val="Compact"/>
              <w:jc w:val="center"/>
            </w:pPr>
            <w:r>
              <w:drawing>
                <wp:inline>
                  <wp:extent cx="5753100" cy="4738352"/>
                  <wp:effectExtent b="0" l="0" r="0" t="0"/>
                  <wp:docPr descr="" title="" id="38" name="Picture"/>
                  <a:graphic>
                    <a:graphicData uri="http://schemas.openxmlformats.org/drawingml/2006/picture">
                      <pic:pic>
                        <pic:nvPicPr>
                          <pic:cNvPr descr="figures/fig2_type1.png" id="39" name="Picture"/>
                          <pic:cNvPicPr>
                            <a:picLocks noChangeArrowheads="1" noChangeAspect="1"/>
                          </pic:cNvPicPr>
                        </pic:nvPicPr>
                        <pic:blipFill>
                          <a:blip r:embed="rId37"/>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0"/>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with incidence data, low γ reduced the power of GLM PCPS1 from 0.74 to 0.34 in S3b (contrast −0.40, 95% CI −0.45 to −0.34), with similar losses in S3a and S3σ, and that of the PCC from 0.98 to 0.73 (−0.25, −0.30 to −0.21). The Mantel test lost 0.05–0.14 at N = 100 and up to 0.23 at N = 50. In contrast, the power of PERMANOVA did not change with γ at N = 100 in S3b (0.01, −0.02 to 0.05), was lower with low γ at N = 50 (−0.03 to −0.17 across scenarios) and higher at N = 200 (+0.04 to +0.08). High imbalance reduced power by at most 0.09. Consequently, the ranking of the tests changed with tree shape: in S3b, the PCC was the most powerful test in Yule trees and the third with low γ, and in S3a GLM PCPS1 fell from third to fourth. The effect of γ also changed with N in opposite directions among tests, since the loss of GLM PCPS1 increased with N (−0.38 at N = 50 and −0.46 at N = 200 in S3b), whereas that of the PCC decreased (−0.48 at N = 50 and −0.06 at N = 200). Thus, H4 was supported for power.</w:t>
      </w:r>
    </w:p>
    <w:tbl>
      <w:tblPr>
        <w:tblStyle w:val="Table"/>
        <w:tblW w:type="pct" w:w="5000"/>
        <w:tblLayout w:type="fixed"/>
        <w:tblLook w:firstRow="0" w:lastRow="0" w:firstColumn="0" w:lastColumn="0" w:noHBand="0" w:noVBand="0" w:val="0000"/>
      </w:tblPr>
      <w:tblGrid>
        <w:gridCol w:w="7920"/>
      </w:tblGrid>
      <w:tr>
        <w:tc>
          <w:tcPr/>
          <w:bookmarkStart w:id="44" w:name="fig-power"/>
          <w:p>
            <w:pPr>
              <w:pStyle w:val="Compact"/>
              <w:jc w:val="center"/>
            </w:pPr>
            <w:r>
              <w:drawing>
                <wp:inline>
                  <wp:extent cx="5753100" cy="3044241"/>
                  <wp:effectExtent b="0" l="0" r="0" t="0"/>
                  <wp:docPr descr="" title="" id="42" name="Picture"/>
                  <a:graphic>
                    <a:graphicData uri="http://schemas.openxmlformats.org/drawingml/2006/picture">
                      <pic:pic>
                        <pic:nvPicPr>
                          <pic:cNvPr descr="figures/fig3_power.png" id="43" name="Picture"/>
                          <pic:cNvPicPr>
                            <a:picLocks noChangeArrowheads="1" noChangeAspect="1"/>
                          </pic:cNvPicPr>
                        </pic:nvPicPr>
                        <pic:blipFill>
                          <a:blip r:embed="rId41"/>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4"/>
        </w:tc>
      </w:tr>
    </w:tbl>
    <w:p>
      <w:pPr>
        <w:pStyle w:val="BodyText"/>
      </w:pPr>
      <w:r>
        <w:t xml:space="preserve">The assembly process mattered more than tree shape for power (</w:t>
      </w:r>
      <w:hyperlink w:anchor="fig-layerB">
        <w:r>
          <w:rPr>
            <w:rStyle w:val="Hyperlink"/>
          </w:rPr>
          <w:t xml:space="preserve">Fig. 4</w:t>
        </w:r>
      </w:hyperlink>
      <w:r>
        <w:t xml:space="preserve">). Under species sorting without competition, power at N = 100 in S3b in Yule pool trees ranged from 0.78 (GLM PCPS1) and 0.83 (RDA PCPS) to 0.87 (PERMANOVA), 0.92 (Mantel) and 0.96 (PCC), whereas GLM PCPS2 had almost no power (0.03), as in Layer A. Mass effects reduced the power of every test except GLM PCPS2, which gained 0.08 (0.06–0.11) from its low baseline. Relative to species sorting, PERMANOVA lost 0.62 (0.58–0.65) in Yule pool trees and 0.72 (0.69–0.75) with low γ, the Mantel test 0.75 and 0.79, RDA PCPS 0.58 and 0.55, GLM PCPS1 0.55 and 0.27, and the PCC 0.93 (0.92–0.94) and 0.76, so that the PCC detected the phylogenetic signal in almost no replicates. Surprisingly, adding phylogenetic competition to mass effects partly restored the power of every test except the PCC; for instance, PERMANOVA lost 0.46 (0.42–0.50) instead of 0.62 in Yule pool trees. Under species sorting, phylogenetic competition changed power by −0.12 to +0.11. These two contrasts should be read with care, because competition prunes close relatives and changes the shape of the analysed tree relative to the pool tree, so the effect of the process cannot be separated from that of a change in tree shape; this pruning is strongest under mass effects, where the Colless index of the analysed tree was about 75% lower than that of the pool. Under the null hypothesis, no lower CI bound exceeded 0.075 at N = 100, although some raw rates of GLM PCPS2 in S2σ and of the PCC in S2h exceeded that limit at N = 100 and, more often, at N = 200 (Appendix S2).</w:t>
      </w:r>
    </w:p>
    <w:tbl>
      <w:tblPr>
        <w:tblStyle w:val="Table"/>
        <w:tblW w:type="pct" w:w="5000"/>
        <w:tblLayout w:type="fixed"/>
        <w:tblLook w:firstRow="0" w:lastRow="0" w:firstColumn="0" w:lastColumn="0" w:noHBand="0" w:noVBand="0" w:val="0000"/>
      </w:tblPr>
      <w:tblGrid>
        <w:gridCol w:w="7920"/>
      </w:tblGrid>
      <w:tr>
        <w:tc>
          <w:tcPr/>
          <w:bookmarkStart w:id="48" w:name="fig-layerB"/>
          <w:p>
            <w:pPr>
              <w:pStyle w:val="Compact"/>
              <w:jc w:val="center"/>
            </w:pPr>
            <w:r>
              <w:drawing>
                <wp:inline>
                  <wp:extent cx="5753100" cy="3723605"/>
                  <wp:effectExtent b="0" l="0" r="0" t="0"/>
                  <wp:docPr descr="" title="" id="46" name="Picture"/>
                  <a:graphic>
                    <a:graphicData uri="http://schemas.openxmlformats.org/drawingml/2006/picture">
                      <pic:pic>
                        <pic:nvPicPr>
                          <pic:cNvPr descr="figures/fig4_layerB_power.png" id="47" name="Picture"/>
                          <pic:cNvPicPr>
                            <a:picLocks noChangeArrowheads="1" noChangeAspect="1"/>
                          </pic:cNvPicPr>
                        </pic:nvPicPr>
                        <pic:blipFill>
                          <a:blip r:embed="rId45"/>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8"/>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evoPCA and phylofactorization identified the planted node in 0.44–0.88 of the replicates, depending on N and depth, and recovered basal clades more often than recent ones (0.79 against 0.66 at N = 100). PCPS recovered the clade in 0.12–0.42 of the replicates and PCC in only 0.08–0.12. The complementary measures agree with this ranking: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With a shift of 0.5, no method exceeded 0.21.</w:t>
      </w:r>
    </w:p>
    <w:p>
      <w:pPr>
        <w:pStyle w:val="BodyText"/>
      </w:pPr>
      <w:r>
        <w:t xml:space="preserve">Tree shape changed recovery only for PCPS and PCC. With low γ, PCPS recovered basal clades in 0.58 of the replicates against 0.21 in Yule trees, and recent clades in 0.35 against 0.04 (N = 100), and this advantage grew with N (+0.23 to +0.45 across N and depths). The PCC lost 0.10–0.14 in basal clades with low γ and gained 0.07–0.09 in recent ones, whereas the recovery of evoPCA and phylofactorization did not change with γ (all 95% CI included zero), and high imbalance reduced recovery by 0.01–0.10 in all methods. Interestingly, low γ improved PCPS for recent as well as for basal clades, so H3 was only partly supported: the advantage of basal clades seems to be a matter of degree rather than a different behaviour of the method, and the share of variation on the first PCPS axis decreased rather than increased with low γ in the descriptive summaries of Layer A. With abundance data, the patterns were the same (Appendix S2). Taken together, H4 was also supported for clade recovery, but only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2" w:name="fig-clade"/>
          <w:p>
            <w:pPr>
              <w:pStyle w:val="Compact"/>
              <w:jc w:val="center"/>
            </w:pPr>
            <w:r>
              <w:drawing>
                <wp:inline>
                  <wp:extent cx="5416061" cy="2886935"/>
                  <wp:effectExtent b="0" l="0" r="0" t="0"/>
                  <wp:docPr descr="" title="" id="50" name="Picture"/>
                  <a:graphic>
                    <a:graphicData uri="http://schemas.openxmlformats.org/drawingml/2006/picture">
                      <pic:pic>
                        <pic:nvPicPr>
                          <pic:cNvPr descr="figures/fig5_clade.png" id="51" name="Picture"/>
                          <pic:cNvPicPr>
                            <a:picLocks noChangeArrowheads="1" noChangeAspect="1"/>
                          </pic:cNvPicPr>
                        </pic:nvPicPr>
                        <pic:blipFill>
                          <a:blip r:embed="rId49"/>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2"/>
        </w:tc>
      </w:tr>
    </w:tbl>
    <w:bookmarkEnd w:id="53"/>
    <w:bookmarkStart w:id="58" w:name="Xada27c83b7f8db009b1df1795077522469ebf9f"/>
    <w:p>
      <w:pPr>
        <w:pStyle w:val="Heading1"/>
      </w:pPr>
      <w:r>
        <w:t xml:space="preserve">Box 1. Real pools and real metacommunities</w:t>
      </w:r>
    </w:p>
    <w:p>
      <w:pPr>
        <w:pStyle w:val="FirstParagraph"/>
      </w:pPr>
      <w:r>
        <w:t xml:space="preserve">The three regional pools of anurans fell inside the grid of tree shapes (</w:t>
      </w:r>
      <w:hyperlink w:anchor="fig-box1">
        <w:r>
          <w:rPr>
            <w:rStyle w:val="Hyperlink"/>
          </w:rPr>
          <w:t xml:space="preserve">Fig. 6</w:t>
        </w:r>
      </w:hyperlink>
      <w:r>
        <w:t xml:space="preserve">).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tbl>
      <w:tblPr>
        <w:tblStyle w:val="Table"/>
        <w:tblW w:type="pct" w:w="5000"/>
        <w:tblLayout w:type="fixed"/>
        <w:tblLook w:firstRow="0" w:lastRow="0" w:firstColumn="0" w:lastColumn="0" w:noHBand="0" w:noVBand="0" w:val="0000"/>
      </w:tblPr>
      <w:tblGrid>
        <w:gridCol w:w="7920"/>
      </w:tblGrid>
      <w:tr>
        <w:tc>
          <w:tcPr/>
          <w:bookmarkStart w:id="57" w:name="fig-box1"/>
          <w:p>
            <w:pPr>
              <w:pStyle w:val="Compact"/>
              <w:jc w:val="center"/>
            </w:pPr>
            <w:r>
              <w:drawing>
                <wp:inline>
                  <wp:extent cx="4890135" cy="3261010"/>
                  <wp:effectExtent b="0" l="0" r="0" t="0"/>
                  <wp:docPr descr="" title="" id="55" name="Picture"/>
                  <a:graphic>
                    <a:graphicData uri="http://schemas.openxmlformats.org/drawingml/2006/picture">
                      <pic:pic>
                        <pic:nvPicPr>
                          <pic:cNvPr descr="figures/box1_pools.png" id="56" name="Picture"/>
                          <pic:cNvPicPr>
                            <a:picLocks noChangeArrowheads="1" noChangeAspect="1"/>
                          </pic:cNvPicPr>
                        </pic:nvPicPr>
                        <pic:blipFill>
                          <a:blip r:embed="rId54"/>
                          <a:stretch>
                            <a:fillRect/>
                          </a:stretch>
                        </pic:blipFill>
                        <pic:spPr bwMode="auto">
                          <a:xfrm>
                            <a:off x="0" y="0"/>
                            <a:ext cx="4890135" cy="3261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Tree shape of three nested regional pools of anurans (filled points and bars, median and 2.5–97.5% quantiles across 100 bootstrap trees; open diamonds, point-estimate tree) against the targets of the simulation grid (open symbols, by N) and the anuran clades with 40–250 tips of Portik et al. (2023) (grey points). Notice that the pools fall inside the grid and close to its Yule and median levels, and that the point-estimate tree has a lower γ than most bootstrap trees.</w:t>
            </w:r>
          </w:p>
          <w:bookmarkEnd w:id="57"/>
        </w:tc>
      </w:tr>
    </w:tbl>
    <w:bookmarkEnd w:id="58"/>
    <w:bookmarkStart w:id="59" w:name="discussion"/>
    <w:p>
      <w:pPr>
        <w:pStyle w:val="Heading1"/>
      </w:pPr>
      <w:r>
        <w:t xml:space="preserve">Discussion</w:t>
      </w:r>
    </w:p>
    <w:p>
      <w:pPr>
        <w:pStyle w:val="FirstParagraph"/>
      </w:pPr>
      <w:r>
        <w:t xml:space="preserve">The shape of the phylogenetic tree and the process that assembles a metacommunity changed the performance of every method we evaluated, but not in the way we expected. The distribution of branching times, rather than the imbalance of the topology, governed both the power of the tests and the recovery of clades, and a phylogenetically conserved niche breadth inflated the type I error of only the two methods that rely on single phylogenetic axes. Mass effects reduced the power of all tests more than any tree shape did. To the best of our knowledge, this is the first simulation study that evaluates tests on phylogeny-weighted species composition across controlled gradients of branching times and imbalance, with both static and process-based metacommunities, and that compares them with branch-wise methods in their ability to locate the clade associated with an environmental gradient. In the following paragraphs, we discuss each of these results and their consequences for empirical studies.</w:t>
      </w:r>
    </w:p>
    <w:p>
      <w:pPr>
        <w:pStyle w:val="BodyText"/>
      </w:pPr>
      <w:r>
        <w:t xml:space="preserve">Tree imbalance did not affect the type I error of any test, whereas very negative γ reduced the power of the GLM on the first PCPS axis and of the PCC. This agrees with a general pattern in phylogenetic comparative methods, in which permutation tests keep the nominal level across topologies and the properties of the tree change mainly their power (Blomberg et al., 2003; Münkemüller et al., 2012). Accordingly, in an empirical case study, the bias of the net relatedness index caused by poor phylogenetic resolution depended on tree shape and consisted mostly of type II errors (Molina-Venegas &amp; Roquet, 2014), and metrics such as the mean pairwise distance, which weight deep branches, respond to the stemminess of the tree (Mazel et al., 2016). The loss of power with low γ seems to follow from how phylogenetic eigenvectors summarize trees with long internal branches near the root. The eigenstructure of a phylogenetic matrix is set by the tree (Diniz-Filho et al., 1998), and in such trees a few deep splits probably dominate it, so the first PCPS axis and the leading eigenvectors of the PCC probably capture the deepest dichotomy even when the gradient sorts species along another one. In contrast, PERMANOVA uses the whole matrix</w:t>
      </w:r>
      <w:r>
        <w:t xml:space="preserve"> </w:t>
      </w:r>
      <m:oMath>
        <m:r>
          <m:rPr>
            <m:sty m:val="b"/>
          </m:rPr>
          <m:t>P</m:t>
        </m:r>
      </m:oMath>
      <w:r>
        <w:t xml:space="preserve"> </w:t>
      </w:r>
      <w:r>
        <w:t xml:space="preserve">and was much less sensitive to γ. However, we did not record the eigenvalue spectra or the axis loadings of each replicate, so we cannot confirm this mechanism with our data. Taken together, single-axis tests on phylogenetic eigenvectors seem to be fragile whenever the phylogenetic structure is spread over several axes, as already argued for the selection of eigenvectors in comparative analyses (Diniz-Filho et al., 2012).</w:t>
      </w:r>
    </w:p>
    <w:p>
      <w:pPr>
        <w:pStyle w:val="BodyText"/>
      </w:pPr>
      <w:r>
        <w:t xml:space="preserve">Phylogenetic signal in niche breadth created false positives that previous evaluations could not detect. The simulations of Duarte et al. (2016, 2018) and Peres-Neto et al. (2017) drew niche breadth and maximum abundance independently of the phylogeny, so their type I errors refer to a null hypothesis in which these nuisance parameters carry no phylogenetic signal. When σ is conserved, clades differ in how widely they spread along the gradient, which is a phylogenetic pattern in composition that is unrelated to the association between optima and environment. Permutation tests become liberal when the randomization breaks down a structure of the data that is unrelated to the null hypothesis (Hardy, 2008), and species-level variation in the response to the environment that is ignored by the test inflates the type I error of trait–environment analyses (ter Braak et al., 2017). This seems to explain why the second PCPS axis, which is orthogonal to the basal contrast captured by the first one, and the PCC were inflated, whereas PERMANOVA and the Mantel test, which average over all axes of</w:t>
      </w:r>
      <w:r>
        <w:t xml:space="preserve"> </w:t>
      </w:r>
      <m:oMath>
        <m:sSub>
          <m:e>
            <m:r>
              <m:t>D</m:t>
            </m:r>
          </m:e>
          <m:sub>
            <m:r>
              <m:t>P</m:t>
            </m:r>
          </m:sub>
        </m:sSub>
      </m:oMath>
      <w:r>
        <w:t xml:space="preserve">, were not. Interestingly, the largest inflation occurred in trees with low γ and at N = 200, which suggests that both the depth of the conserved structure and the number of species determine how much of it reaches a single axis. In addition, the more conservative behaviour of the other tests under signal in σ agrees with the conservative max test already reported for phylogenetic fuzzy weighting (Duarte et al., 2016). Unfortunately, the empirical distribution of phylogenetic signal in niche breadth is unknown for most groups, so we cannot say how often this situation arises in real metacommunities. Constrained randomizations that preserve phylogenetic structure, such as Moran spectral randomization (Braga et al., 2018), and model-based tests with phylogenetic random effects (Li &amp; Ives, 2017; Tsang &amp; Cadotte, 2025) seem to be promising alternatives to the taxa shuffle in this case.</w:t>
      </w:r>
    </w:p>
    <w:p>
      <w:pPr>
        <w:pStyle w:val="BodyText"/>
      </w:pPr>
      <w:r>
        <w:t xml:space="preserve">The assembly process mattered more than tree shape. Mass effects reduced the power of every test except GLM PCPS2 and almost abolished that of the PCC. This is expected from the theory of source–sink metacommunities, in which high dispersal homogenizes composition among sites and erodes β-diversity (Mouquet &amp; Loreau, 2003; Thompson et al., 2020), and it agrees with the low power of phylogenetic diversity indices under mass effects even when traits were strongly conserved (Mason &amp; Pavoine, 2013). Our design probably represents the most extreme case, because the dispersal kernel was uniform and the sites had no spatial structure; in spatially explicit landscapes, mass effects allow species to dominate subregions instead of homogenizing the whole metacommunity (Thompson et al., 2020), which would leave more signal for the tests. Surprisingly, phylogenetic competition partly restored the power lost under mass effects. However, competition also pruned close relatives and reduced the Colless index of the analysed tree by about 75% relative to the pool, so the effect of the process cannot be separated from that of the change in the shape of the analysed tree. Moreover, our competition kernel assumed that close relatives compete more strongly, an assumption that is weakly supported empirically (Cahill et al., 2008; Godoy et al., 2014; Gerhold et al., 2015), and competition can also exclude distant relatives when fitness differences are phylogenetically conserved (Mayfield &amp; Levine, 2010). Therefore, this result should be read as an upper bound for a particular competition structure rather than as a general effect of competition. Taken together, a non-significant test in a metacommunity with high dispersal does not seem to indicate the absence of environmental filtering on lineages, in line with the warning that the interpretation of community phylogenetic tests should account for dispersal (Kembel, 2009).</w:t>
      </w:r>
    </w:p>
    <w:p>
      <w:pPr>
        <w:pStyle w:val="BodyText"/>
      </w:pPr>
      <w:r>
        <w:t xml:space="preserve">The methods that treat branches as units recovered the planted clade far more often than those based on phylogenetic eigenvectors. evoPCA ordinates the abundances of evolutionary units, so the stem branch of a clade enters the ordination as a variable (Pavoine, 2016), and phylofactorization searches explicitly for the edge that best separates clades with contrasting responses (Washburne et al., 2017, 2019). As a result, both methods evaluate every partition of the tree, and their recovery did not depend on γ. In contrast, PCPS recovers a clade only when its stem node is among those weighted by the leading axes, which depends on the distribution of node depths and seems to explain why low γ improved its recovery of both basal and recent clades. Thus, H3 was only partly supported, since the advantage of basal clades under PCPS seems to be a matter of degree. Empirical applications of PCPS have also found that environmental effects concentrate on a few deep nodes (Duarte et al., 2012), which agrees with this interpretation. The PCC was not designed to locate clades, since it tests a global association between phylogenetic eigenvectors, composition and environment (Peres-Neto &amp; Kembel, 2015), and our results confirm that its leading eigenvectors rarely isolate the clade of interest. Node-based analyses of species distributions (Borregaard et al., 2014) belong to the same family as phylofactorization and could be added to future comparisons.</w:t>
      </w:r>
    </w:p>
    <w:p>
      <w:pPr>
        <w:pStyle w:val="BodyText"/>
      </w:pPr>
      <w:r>
        <w:t xml:space="preserve">Our conclusions apply to real metacommunities, at least for anurans. Negative γ is the norm in empirical phylogenies, with slowdowns in diversification in most clades of several groups (McPeek, 2008; Phillimore &amp; Price, 2008), and the major clades of frogs diversified rapidly at the Cretaceous–Paleogene boundary (Feng et al., 2017). The three regional pools of tadpoles fell inside our grid, between its Yule and median levels of γ (Box 1). However, γ is sensitive to incomplete sampling of deep nodes (Cusimano &amp; Renner, 2010), so we used it only as a descriptor of the shape of the analysed tree, not as evidence of a diversification process. Our study also has limitations. First, the grid had no level with γ &gt; 0, which one of the three metacommunities of the case study had. Second, Layer B had no spatial structure and used only incidence data and five cells of the grid. Third, every metacommunity had 100 sites, and we did not vary the length of the gradient or the number of sites, which also change power. Finally, the case study had 13–40 ponds and no significant association, so it illustrates how the methods behave with real data rather than validating them.</w:t>
      </w:r>
    </w:p>
    <w:p>
      <w:pPr>
        <w:pStyle w:val="BodyText"/>
      </w:pPr>
      <w:r>
        <w:t xml:space="preserve">In summary, we recommend that empirical studies (i) report γ and the normalized Colless index of the analysed tree, since tree shape changes the power and the ranking of the tests; (ii) prefer tests on the whole matrix</w:t>
      </w:r>
      <w:r>
        <w:t xml:space="preserve"> </w:t>
      </w:r>
      <m:oMath>
        <m:r>
          <m:rPr>
            <m:sty m:val="b"/>
          </m:rPr>
          <m:t>P</m:t>
        </m:r>
      </m:oMath>
      <w:r>
        <w:t xml:space="preserve">, such as PERMANOVA with the max test, to tests on single PCPS axes or phylogenetic eigenvectors, especially in trees with very negative γ; (iii) interpret the second PCPS axis and the PCC with caution when niche breadth may be phylogenetically conserved; (iv) interpret a lack of power under high dispersal as a property of the metacommunity rather than as evidence against niche-based assembly; and (v) use evoPCA or phylofactorization, rather than PCPS axes, to identify the clades associated with a gradient. These recommendations seem to hold across the range of tree shapes found in anuran clades and in the regional pools we examined.</w:t>
      </w:r>
    </w:p>
    <w:bookmarkEnd w:id="59"/>
    <w:bookmarkStart w:id="60" w:name="references-verified"/>
    <w:p>
      <w:pPr>
        <w:pStyle w:val="Heading1"/>
      </w:pPr>
      <w:r>
        <w:t xml:space="preserve">References (verified)</w:t>
      </w:r>
    </w:p>
    <w:p>
      <w:pPr>
        <w:pStyle w:val="FirstParagraph"/>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Blomberg, S. P., Garland, T., &amp; Ives, A. R. (2003). Testing for phylogenetic signal in comparative data: behavioral traits are more labile.</w:t>
      </w:r>
      <w:r>
        <w:t xml:space="preserve"> </w:t>
      </w:r>
      <w:r>
        <w:rPr>
          <w:i/>
          <w:iCs/>
        </w:rPr>
        <w:t xml:space="preserve">Evolution</w:t>
      </w:r>
      <w:r>
        <w:t xml:space="preserve">, 57, 717–745. https://doi.org/10.1111/j.0014-3820.2003.tb00285.x</w:t>
      </w:r>
    </w:p>
    <w:p>
      <w:pPr>
        <w:pStyle w:val="BodyText"/>
      </w:pPr>
      <w:r>
        <w:t xml:space="preserve">Borregaard, M. K., Rahbek, C., Fjeldså, J., Parra, J. L., Whittaker, R. J., &amp; Graham, C. H. (2014). Node-based analysis of species distributions.</w:t>
      </w:r>
      <w:r>
        <w:t xml:space="preserve"> </w:t>
      </w:r>
      <w:r>
        <w:rPr>
          <w:i/>
          <w:iCs/>
        </w:rPr>
        <w:t xml:space="preserve">Methods in Ecology and Evolution</w:t>
      </w:r>
      <w:r>
        <w:t xml:space="preserve">, 5, 1225–1235. https://doi.org/10.1111/2041-210X.12283</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 https://doi.org/10.1016/j.actao.2011.01.008</w:t>
      </w:r>
    </w:p>
    <w:p>
      <w:pPr>
        <w:pStyle w:val="BodyText"/>
      </w:pPr>
      <w:r>
        <w:t xml:space="preserve">ter Braak, C. J. F., Peres-Neto, P. R., &amp; Dray, S. (2017). A critical issue in model-based inference for studying trait-based community assembly and a solution.</w:t>
      </w:r>
      <w:r>
        <w:t xml:space="preserve"> </w:t>
      </w:r>
      <w:r>
        <w:rPr>
          <w:i/>
          <w:iCs/>
        </w:rPr>
        <w:t xml:space="preserve">PeerJ</w:t>
      </w:r>
      <w:r>
        <w:t xml:space="preserve">, 5, e2885. https://doi.org/10.7717/peerj.2885</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Braga, J., ter Braak, C. J. F., Thuiller, W., &amp; Dray, S. (2018). Integrating spatial and phylogenetic information in the fourth-corner analysis to test trait–environment relationships.</w:t>
      </w:r>
      <w:r>
        <w:t xml:space="preserve"> </w:t>
      </w:r>
      <w:r>
        <w:rPr>
          <w:i/>
          <w:iCs/>
        </w:rPr>
        <w:t xml:space="preserve">Ecology</w:t>
      </w:r>
      <w:r>
        <w:t xml:space="preserve">, 99, 2667–2674. https://doi.org/10.1002/ecy.2530</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Cahill, J. F., Kembel, S. W., Lamb, E. G., &amp; Keddy, P. A. (2008). Does phylogenetic relatedness influence the strength of competition among vascular plants?</w:t>
      </w:r>
      <w:r>
        <w:t xml:space="preserve"> </w:t>
      </w:r>
      <w:r>
        <w:rPr>
          <w:i/>
          <w:iCs/>
        </w:rPr>
        <w:t xml:space="preserve">Perspectives in Plant Ecology, Evolution and Systematics</w:t>
      </w:r>
      <w:r>
        <w:t xml:space="preserve">, 10, 41–50. https://doi.org/10.1016/j.ppees.2007.10.001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Cusimano, N., &amp; Renner, S. S. (2010). Slowdowns in diversification rates from real phylogenies may not be real.</w:t>
      </w:r>
      <w:r>
        <w:t xml:space="preserve"> </w:t>
      </w:r>
      <w:r>
        <w:rPr>
          <w:i/>
          <w:iCs/>
        </w:rPr>
        <w:t xml:space="preserve">Systematic Biology</w:t>
      </w:r>
      <w:r>
        <w:t xml:space="preserve">, 59, 458–464. https://doi.org/10.1093/sysbio/syq032</w:t>
      </w:r>
    </w:p>
    <w:p>
      <w:pPr>
        <w:pStyle w:val="BodyText"/>
      </w:pPr>
      <w:r>
        <w:t xml:space="preserve">Debastiani, V. J. (2026). PCPS: principal coordinates of phylogenetic structure. R package version 1.0.9. doi:10.32614/CRAN.package.PCPS.</w:t>
      </w:r>
    </w:p>
    <w:p>
      <w:pPr>
        <w:pStyle w:val="BodyText"/>
      </w:pPr>
      <w:r>
        <w:t xml:space="preserve">Diniz-Filho, J. A. F., Bini, L. M., Rangel, T. F., Morales-Castilla, I., Olalla-Tárraga, M. Á., Rodríguez, M. Á., &amp; Hawkins, B. A. (2012). On the selection of phylogenetic eigenvectors for ecological analyses.</w:t>
      </w:r>
      <w:r>
        <w:t xml:space="preserve"> </w:t>
      </w:r>
      <w:r>
        <w:rPr>
          <w:i/>
          <w:iCs/>
        </w:rPr>
        <w:t xml:space="preserve">Ecography</w:t>
      </w:r>
      <w:r>
        <w:t xml:space="preserve">, 35, 239–249. https://doi.org/10.1111/j.1600-0587.2011.06949.x</w:t>
      </w:r>
    </w:p>
    <w:p>
      <w:pPr>
        <w:pStyle w:val="BodyText"/>
      </w:pPr>
      <w:r>
        <w:t xml:space="preserve">Diniz-Filho, J. A. F., de Sant’Ana, C. E. R., &amp; Bini, L. M. (1998). An eigenvector method for estimating phylogenetic inertia.</w:t>
      </w:r>
      <w:r>
        <w:t xml:space="preserve"> </w:t>
      </w:r>
      <w:r>
        <w:rPr>
          <w:i/>
          <w:iCs/>
        </w:rPr>
        <w:t xml:space="preserve">Evolution</w:t>
      </w:r>
      <w:r>
        <w:t xml:space="preserve">, 52, 1247–1262. https://doi.org/10.1111/j.1558-5646.1998.tb02006.x</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Debastiani, V. J., Carlucci, M. B., &amp; Diniz-Filho, J. A. F. (2018). Analyzing community-weighted trait means across environmental gradients: should phylogeny stay or should it go?</w:t>
      </w:r>
      <w:r>
        <w:t xml:space="preserve"> </w:t>
      </w:r>
      <w:r>
        <w:rPr>
          <w:i/>
          <w:iCs/>
        </w:rPr>
        <w:t xml:space="preserve">Ecology</w:t>
      </w:r>
      <w:r>
        <w:t xml:space="preserve">, 99, 385–398. https://doi.org/10.1002/ecy.2081</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Feng, Y.-J., Blackburn, D. C., Liang, D., Hillis, D. M., Wake, D. B., Cannatella, D. C., &amp; Zhang, P. (2017). Phylogenomics reveals rapid, simultaneous diversification of three major clades of Gondwanan frogs at the Cretaceous–Paleogene boundary.</w:t>
      </w:r>
      <w:r>
        <w:t xml:space="preserve"> </w:t>
      </w:r>
      <w:r>
        <w:rPr>
          <w:i/>
          <w:iCs/>
        </w:rPr>
        <w:t xml:space="preserve">Proceedings of the National Academy of Sciences</w:t>
      </w:r>
      <w:r>
        <w:t xml:space="preserve">, 114, E5864–E5870. https://doi.org/10.1073/pnas.1704632114</w:t>
      </w:r>
    </w:p>
    <w:p>
      <w:pPr>
        <w:pStyle w:val="BodyText"/>
      </w:pPr>
      <w:r>
        <w:t xml:space="preserve">Frost, D. R. (2026).</w:t>
      </w:r>
      <w:r>
        <w:t xml:space="preserve"> </w:t>
      </w:r>
      <w:r>
        <w:rPr>
          <w:i/>
          <w:iCs/>
        </w:rPr>
        <w:t xml:space="preserve">Amphibian Species of the World: an online reference</w:t>
      </w:r>
      <w:r>
        <w:t xml:space="preserve">. Version 6.2. American Museum of Natural History. https://amphibiansoftheworld.amnh.org/index.php https://doi.org/10.5531/db.vz.0001</w:t>
      </w:r>
    </w:p>
    <w:p>
      <w:pPr>
        <w:pStyle w:val="BodyText"/>
      </w:pPr>
      <w:r>
        <w:t xml:space="preserve">Gabry, J., Češnovar, R., Johnson, A., &amp; Bronder, S. (2025). cmdstanr: R interface to CmdStan. R package version 0.9.0. https://github.com/stan-dev/cmdstanr.</w:t>
      </w:r>
    </w:p>
    <w:p>
      <w:pPr>
        <w:pStyle w:val="BodyText"/>
      </w:pPr>
      <w:r>
        <w:t xml:space="preserve">Gerhold, P., Cahill, J. F., Winter, M., Bartish, I. V., &amp; Prinzing, A. (2015). Phylogenetic patterns are not proxies of community assembly mechanisms (they are far better).</w:t>
      </w:r>
      <w:r>
        <w:t xml:space="preserve"> </w:t>
      </w:r>
      <w:r>
        <w:rPr>
          <w:i/>
          <w:iCs/>
        </w:rPr>
        <w:t xml:space="preserve">Functional Ecology</w:t>
      </w:r>
      <w:r>
        <w:t xml:space="preserve">, 29, 600–614. https://doi.org/10.1111/1365-2435.12425</w:t>
      </w:r>
    </w:p>
    <w:p>
      <w:pPr>
        <w:pStyle w:val="BodyText"/>
      </w:pPr>
      <w:r>
        <w:t xml:space="preserve">Godoy, O., Kraft, N. J. B., &amp; Levine, J. M. (2014). Phylogenetic relatedness and the determinants of competitive outcomes.</w:t>
      </w:r>
      <w:r>
        <w:t xml:space="preserve"> </w:t>
      </w:r>
      <w:r>
        <w:rPr>
          <w:i/>
          <w:iCs/>
        </w:rPr>
        <w:t xml:space="preserve">Ecology Letters</w:t>
      </w:r>
      <w:r>
        <w:t xml:space="preserve">, 17, 836–844. https://doi.org/10.1111/ele.12289</w:t>
      </w:r>
    </w:p>
    <w:p>
      <w:pPr>
        <w:pStyle w:val="BodyText"/>
      </w:pPr>
      <w:r>
        <w:t xml:space="preserve">Hardy, O. J. (2008). Testing the spatial phylogenetic structure of local communities: statistical performances of different null models and test statistics on a locally neutral community.</w:t>
      </w:r>
      <w:r>
        <w:t xml:space="preserve"> </w:t>
      </w:r>
      <w:r>
        <w:rPr>
          <w:i/>
          <w:iCs/>
        </w:rPr>
        <w:t xml:space="preserve">Journal of Ecology</w:t>
      </w:r>
      <w:r>
        <w:t xml:space="preserve">, 96, 914–926. https://doi.org/10.1111/j.1365-2745.2008.01421.x</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Kembel, S. W. (2009). Disentangling niche and neutral influences on community assembly: assessing the performance of community phylogenetic structure tests.</w:t>
      </w:r>
      <w:r>
        <w:t xml:space="preserve"> </w:t>
      </w:r>
      <w:r>
        <w:rPr>
          <w:i/>
          <w:iCs/>
        </w:rPr>
        <w:t xml:space="preserve">Ecology Letters</w:t>
      </w:r>
      <w:r>
        <w:t xml:space="preserve">, 12, 949–960. https://doi.org/10.1111/j.1461-0248.2009.01354.x</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Landau, W. M. (2026). crew: a distributed worker launcher framework. R package version 1.3.3. doi:10.32614/CRAN.package.crew.</w:t>
      </w:r>
    </w:p>
    <w:p>
      <w:pPr>
        <w:pStyle w:val="BodyText"/>
      </w:pPr>
      <w:r>
        <w:t xml:space="preserve">Li, D., &amp; Ives, A. R. (2017). The statistical need to include phylogeny in trait-based analyses of community composition.</w:t>
      </w:r>
      <w:r>
        <w:t xml:space="preserve"> </w:t>
      </w:r>
      <w:r>
        <w:rPr>
          <w:i/>
          <w:iCs/>
        </w:rPr>
        <w:t xml:space="preserve">Methods in Ecology and Evolution</w:t>
      </w:r>
      <w:r>
        <w:t xml:space="preserve">, 8, 1192–1199. https://doi.org/10.1111/2041-210X.12767</w:t>
      </w:r>
    </w:p>
    <w:p>
      <w:pPr>
        <w:pStyle w:val="BodyText"/>
      </w:pPr>
      <w:r>
        <w:t xml:space="preserve">Liedtke, H. C. (2019). AmphiNom: an amphibian systematics tool.</w:t>
      </w:r>
      <w:r>
        <w:t xml:space="preserve"> </w:t>
      </w:r>
      <w:r>
        <w:rPr>
          <w:i/>
          <w:iCs/>
        </w:rPr>
        <w:t xml:space="preserve">Systematics and Biodiversity</w:t>
      </w:r>
      <w:r>
        <w:t xml:space="preserve">, 17, 1–6. https://doi.org/10.1080/14772000.2018.1518935</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Mason, N. W. H., &amp; Pavoine, S. (2013). Does trait conservatism guarantee that indicators of phylogenetic community structure will reveal niche-based assembly processes along stress gradients?</w:t>
      </w:r>
      <w:r>
        <w:t xml:space="preserve"> </w:t>
      </w:r>
      <w:r>
        <w:rPr>
          <w:i/>
          <w:iCs/>
        </w:rPr>
        <w:t xml:space="preserve">Journal of Vegetation Science</w:t>
      </w:r>
      <w:r>
        <w:t xml:space="preserve">, 24, 820–833. https://doi.org/10.1111/jvs.12033</w:t>
      </w:r>
    </w:p>
    <w:p>
      <w:pPr>
        <w:pStyle w:val="BodyText"/>
      </w:pPr>
      <w:r>
        <w:t xml:space="preserve">Mayfield, M. M., &amp; Levine, J. M. (2010). Opposing effects of competitive exclusion on the phylogenetic structure of communities.</w:t>
      </w:r>
      <w:r>
        <w:t xml:space="preserve"> </w:t>
      </w:r>
      <w:r>
        <w:rPr>
          <w:i/>
          <w:iCs/>
        </w:rPr>
        <w:t xml:space="preserve">Ecology Letters</w:t>
      </w:r>
      <w:r>
        <w:t xml:space="preserve">, 13, 1085–1093. https://doi.org/10.1111/j.1461-0248.2010.01509.x</w:t>
      </w:r>
    </w:p>
    <w:p>
      <w:pPr>
        <w:pStyle w:val="BodyText"/>
      </w:pPr>
      <w:r>
        <w:t xml:space="preserve">Mazel, F., Davies, T. J., Gallien, L., Renaud, J., Groussin, M., Münkemüller, T., &amp; Thuiller, W. (2016). Influence of tree shape and evolutionary time-scale on phylogenetic diversity metrics.</w:t>
      </w:r>
      <w:r>
        <w:t xml:space="preserve"> </w:t>
      </w:r>
      <w:r>
        <w:rPr>
          <w:i/>
          <w:iCs/>
        </w:rPr>
        <w:t xml:space="preserve">Ecography</w:t>
      </w:r>
      <w:r>
        <w:t xml:space="preserve">, 39, 913–920. https://doi.org/10.1111/ecog.01694</w:t>
      </w:r>
    </w:p>
    <w:p>
      <w:pPr>
        <w:pStyle w:val="BodyText"/>
      </w:pPr>
      <w:r>
        <w:t xml:space="preserve">McPeek, M. A. (2008). The ecological dynamics of clade diversification and community assembly.</w:t>
      </w:r>
      <w:r>
        <w:t xml:space="preserve"> </w:t>
      </w:r>
      <w:r>
        <w:rPr>
          <w:i/>
          <w:iCs/>
        </w:rPr>
        <w:t xml:space="preserve">The American Naturalist</w:t>
      </w:r>
      <w:r>
        <w:t xml:space="preserve">, 172, E270–E284. https://doi.org/10.1086/593137</w:t>
      </w:r>
    </w:p>
    <w:p>
      <w:pPr>
        <w:pStyle w:val="BodyText"/>
      </w:pPr>
      <w:r>
        <w:t xml:space="preserve">Molina-Venegas, R., &amp; Roquet, C. (2014). Directional biases in phylogenetic structure quantification: a Mediterranean case study.</w:t>
      </w:r>
      <w:r>
        <w:t xml:space="preserve"> </w:t>
      </w:r>
      <w:r>
        <w:rPr>
          <w:i/>
          <w:iCs/>
        </w:rPr>
        <w:t xml:space="preserve">Ecography</w:t>
      </w:r>
      <w:r>
        <w:t xml:space="preserve">, 37, 572–580. https://doi.org/10.1111/j.1600-0587.2013.00442.x</w:t>
      </w:r>
    </w:p>
    <w:p>
      <w:pPr>
        <w:pStyle w:val="BodyText"/>
      </w:pPr>
      <w:r>
        <w:t xml:space="preserve">Mouquet, N., &amp; Loreau, M. (2003). Community patterns in source-sink metacommunities.</w:t>
      </w:r>
      <w:r>
        <w:t xml:space="preserve"> </w:t>
      </w:r>
      <w:r>
        <w:rPr>
          <w:i/>
          <w:iCs/>
        </w:rPr>
        <w:t xml:space="preserve">The American Naturalist</w:t>
      </w:r>
      <w:r>
        <w:t xml:space="preserve">, 162, 544–557. https://doi.org/10.1086/378857</w:t>
      </w:r>
    </w:p>
    <w:p>
      <w:pPr>
        <w:pStyle w:val="BodyText"/>
      </w:pPr>
      <w:r>
        <w:t xml:space="preserve">Münkemüller, T., Lavergne, S., Bzeznik, B., Dray, S., Jombart, T., Schiffers, K., &amp; Thuiller, W. (2012). How to measure and test phylogenetic signal.</w:t>
      </w:r>
      <w:r>
        <w:t xml:space="preserve"> </w:t>
      </w:r>
      <w:r>
        <w:rPr>
          <w:i/>
          <w:iCs/>
        </w:rPr>
        <w:t xml:space="preserve">Methods in Ecology and Evolution</w:t>
      </w:r>
      <w:r>
        <w:t xml:space="preserve">, 3, 743–756. https://doi.org/10.1111/j.2041-210X.2012.00196.x</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Dray, S., &amp; ter Braak, C. J. F. (2017). Linking trait variation to the environment: critical issues with community-weighted mean correlation resolved by the fourth-corner approach.</w:t>
      </w:r>
      <w:r>
        <w:t xml:space="preserve"> </w:t>
      </w:r>
      <w:r>
        <w:rPr>
          <w:i/>
          <w:iCs/>
        </w:rPr>
        <w:t xml:space="preserve">Ecography</w:t>
      </w:r>
      <w:r>
        <w:t xml:space="preserve">, 40, 806–816. https://doi.org/10.1111/ecog.02302</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Phillimore, A. B., &amp; Price, T. D. (2008). Density-dependent cladogenesis in birds.</w:t>
      </w:r>
      <w:r>
        <w:t xml:space="preserve"> </w:t>
      </w:r>
      <w:r>
        <w:rPr>
          <w:i/>
          <w:iCs/>
        </w:rPr>
        <w:t xml:space="preserve">PLoS Biology</w:t>
      </w:r>
      <w:r>
        <w:t xml:space="preserve">, 6, e71. https://doi.org/10.1371/journal.pbio.0060071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 https://doi.org/10.1111/aec.12114</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 https://doi.org/10.1007/s10750-014-1870-0</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Tsang, T. P. N., &amp; Cadotte, M. W. (2025). Species overlap and phylogenetic relatedness result in community statistical non-independence (and what to do about it).</w:t>
      </w:r>
      <w:r>
        <w:t xml:space="preserve"> </w:t>
      </w:r>
      <w:r>
        <w:rPr>
          <w:i/>
          <w:iCs/>
        </w:rPr>
        <w:t xml:space="preserve">Ecology Letters</w:t>
      </w:r>
      <w:r>
        <w:t xml:space="preserve">, 28, e70267. https://doi.org/10.1111/ele.70267</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Washburne, A. D., Silverman, J. D., Morton, J. T., Becker, D. J., Crowley, D., Mukherjee, S., David, L. A., &amp; Plowright, R. K. (2019). Phylofactorization: a graph partitioning algorithm to identify phylogenetic scales of ecological data.</w:t>
      </w:r>
      <w:r>
        <w:t xml:space="preserve"> </w:t>
      </w:r>
      <w:r>
        <w:rPr>
          <w:i/>
          <w:iCs/>
        </w:rPr>
        <w:t xml:space="preserve">Ecological Monographs</w:t>
      </w:r>
      <w:r>
        <w:t xml:space="preserve">, 89, e01353. https://doi.org/10.1002/ecm.1353</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bookmarkEnd w:id="60"/>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4" Target="media/rId54.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Diogo B. Provete</dc:creator>
  <cp:keywords/>
  <dcterms:created xsi:type="dcterms:W3CDTF">2026-10-20T13:25:35Z</dcterms:created>
  <dcterms:modified xsi:type="dcterms:W3CDTF">2026-10-20T13:25:35Z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2026-10-20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Abstract, Methods, Results and Discussion (draft)</vt:lpwstr>
  </property>
  <property fmtid="{D5CDD505-2E9C-101B-9397-08002B2CF9AE}" pid="12" name="toc-title">
    <vt:lpwstr>Table of contents</vt:lpwstr>
  </property>
</Properties>
</file>