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reproducing the original validations and a process-based layer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5753100" cy="2622454"/>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 taxa shuffle alone, which H1 addressed, was not affected either: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eigenstructure of a phylogenetic matrix is set by the tree (Diniz-Filho et al., 1998), and in trees with long internal branches near the root a few deep splits probably dominate it, so the first PCPS axis and the leading eigenvectors of the PCC probably capture the deepest dichotomy even when the gradient sorts species along another one. This parallels the finding that a small number of phylogenetic eigenvectors may be insufficient to control phylogenetic autocorrelation in ecological analyses (Diniz-Filho et al., 2012). However, the Mantel test, which also uses the whole matrix</w:t>
      </w:r>
      <w:r>
        <w:t xml:space="preserve"> </w:t>
      </w:r>
      <m:oMath>
        <m:sSub>
          <m:e>
            <m:r>
              <m:t>D</m:t>
            </m:r>
          </m:e>
          <m:sub>
            <m:r>
              <m:t>P</m:t>
            </m:r>
          </m:sub>
        </m:sSub>
      </m:oMath>
      <w:r>
        <w:t xml:space="preserve">, lost up to 0.23, and we did not record the eigenvalue spectra of each replicate, so we cannot confirm this mechanism with our data.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Unfortunately, the empirical distribution of phylogenetic signal in niche breadth is unknown for most groups.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contrast, in spatially explicit landscapes mass effects let species dominate subregions instead of homogenizing the whole metacommunity (Thompson et al., 2020), and a spatially implicit resource-competition model failed to predict spatially explicit metacommunities at high dispersal (Ai &amp; Ellwood, 2022). Our uniform dispersal kernel therefore probably represents the most extreme case.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Under mass effects, competition pruned close relatives and reduced the Colless index of the analysed tree by about 75% relative to the pool, so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Accordingly, the competition–relatedness relationship was weak in vascular plants (Cahill et al., 2008), average fitness, but not stabilizing niche differences, showed phylogenetic structure in annual plants (Godoy et al., 2014), and competition can exclude distant relatives when fitness differences are phylogenetically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 Thus, branch-wise methods seem to be the appropriate choice when the aim is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In addition, the share of variation on the first PCPS axis decreased rather than increased with low γ,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Therefore, the low-γ cells, where the effects of tree shape were largest, are more extreme than these pools, although they lie within the range of anuran clades.</w:t>
      </w:r>
    </w:p>
    <w:p>
      <w:pPr>
        <w:pStyle w:val="BodyText"/>
      </w:pPr>
      <w:r>
        <w:t xml:space="preserve">Our study also has limitations. First, the grid had no level with γ &gt; 0. Second, Layer B had no spatial structure and used only incidence data and five cells of the grid. Third, we did not vary the number of sites or the length of the gradient, which also change power. Finally, the case study had 13–40 ponds and no significant association, so it illustrates how the methods behave with real data rather than validating them. To the best of our knowledge, and based on searches of the literature, this is the first simulation study that evaluates tests on phylogeny-weighted species composition across controlled gradients of branching times and imbalance, with both static and process-based metacommunities, and that compares them with branch-wise methods in locating the clade associated with a gradient. In summary, we recommend that empirical studies (i) report γ and the normalized Colless index of the analysed tree; (ii) not rely on a single test, since the ranking of the tests changed with tree shape, N and dispersal, and prefer PERMANOVA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2026-10-20T14:11:07Z</dcterms:created>
  <dcterms:modified xsi:type="dcterms:W3CDTF">2026-10-20T14:11:07Z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