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0.png" ContentType="image/png"/>
  <Override PartName="/word/media/rId20.png" ContentType="image/png"/>
  <Override PartName="/word/media/rId38.png" ContentType="image/png"/>
  <Override PartName="/word/media/rId43.png" ContentType="image/png"/>
  <Override PartName="/word/media/rId4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Methods and Results (draft)</w:t>
      </w:r>
    </w:p>
    <w:p>
      <w:pPr>
        <w:pStyle w:val="Author"/>
      </w:pPr>
      <w:r>
        <w:t xml:space="preserve">Diogo B. Provete</w:t>
      </w:r>
    </w:p>
    <w:p>
      <w:pPr>
        <w:pStyle w:val="Date"/>
      </w:pPr>
      <w:r>
        <w:t xml:space="preserve">2026-10-20</w:t>
      </w:r>
    </w:p>
    <w:bookmarkStart w:id="36" w:name="methods"/>
    <w:p>
      <w:pPr>
        <w:pStyle w:val="Heading1"/>
      </w:pPr>
      <w:r>
        <w:t xml:space="preserve">Methods</w:t>
      </w:r>
    </w:p>
    <w:bookmarkStart w:id="24"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Pybus &amp; Harvey, 2000) and the imbalance of the topology (the Colless index;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(Fig. 1).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 P 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where they occur.</w:t>
      </w:r>
    </w:p>
    <w:tbl>
      <w:tblPr>
        <w:tblStyle w:val="Table"/>
        <w:tblW w:type="pct" w:w="5000"/>
        <w:tblLayout w:type="fixed"/>
        <w:tblLook w:firstRow="0" w:lastRow="0" w:firstColumn="0" w:lastColumn="0" w:noHBand="0" w:noVBand="0" w:val="0000"/>
      </w:tblPr>
      <w:tblGrid>
        <w:gridCol w:w="7920"/>
      </w:tblGrid>
      <w:tr>
        <w:tc>
          <w:tcPr/>
          <w:bookmarkStart w:id="23" w:name="fig-design"/>
          <w:p>
            <w:pPr>
              <w:pStyle w:val="Compact"/>
              <w:jc w:val="center"/>
            </w:pPr>
            <w:r>
              <w:drawing>
                <wp:inline>
                  <wp:extent cx="5753100" cy="2622454"/>
                  <wp:effectExtent b="0" l="0" r="0" t="0"/>
                  <wp:docPr descr="" title="" id="21" name="Picture"/>
                  <a:graphic>
                    <a:graphicData uri="http://schemas.openxmlformats.org/drawingml/2006/picture">
                      <pic:pic>
                        <pic:nvPicPr>
                          <pic:cNvPr descr="figures/fig1_schematic.png" id="22" name="Picture"/>
                          <pic:cNvPicPr>
                            <a:picLocks noChangeArrowheads="1" noChangeAspect="1"/>
                          </pic:cNvPicPr>
                        </pic:nvPicPr>
                        <pic:blipFill>
                          <a:blip r:embed="rId20"/>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 P.</w:t>
            </w:r>
          </w:p>
          <w:bookmarkEnd w:id="23"/>
        </w:tc>
      </w:tr>
    </w:tbl>
    <w:bookmarkEnd w:id="24"/>
    <w:bookmarkStart w:id="25" w:name="tree-generation-and-the-tree-shape-grid"/>
    <w:p>
      <w:pPr>
        <w:pStyle w:val="Heading2"/>
      </w:pPr>
      <w:r>
        <w:t xml:space="preserve">Tree generation and the tree-shape grid</w:t>
      </w:r>
    </w:p>
    <w:p>
      <w:pPr>
        <w:pStyle w:val="FirstParagraph"/>
      </w:pPr>
      <w:r>
        <w:t xml:space="preserve">We controlled γ and the Colless index independently by generating topology and branching times from separate processes. We drew topologies from Aldous’s β-splitting model (Aldous, 1996), in which β = 0 gives Yule trees and smaller values give increasingly imbalanced trees, and branching times from a pure-birth process in which each of the k lineages diversifies at rate k^c, so that c = 0 corresponds to a Yule process and c &lt; 0 to a slowdown in diversification, as under diversity dependence, which produces negative γ.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took the levels of the grid from the empirical distribution of tree shape in anurans. We pruned all clades with 40–250 tips from the time-calibrated species-level tree of Portik et al. (2023) and computed γ and the Colless index normalized against its Yule expectation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We calibrated c and β for each N with curves of the mean statistic against the parameter, and accepted a tree only when both statistics fell within 0.5 units of the targets of its cell, which gave acceptance rates of 9–25%. Thus, every cell of the 3 × 3 grid could be filled, and the grid spans the empirical range of anuran tree shapes between the 10% and 90% quantiles, although it has no level with γ &gt; 0. The Yule × Yule cell approximates the trees used in previous validations (Peres-Neto &amp; Kembel, 2015; Duarte et al., 2016), since the acceptance window truncates the Yule distribution of both statistics. We drew 1,000 trees per cell and N, and replicate r of every scenario used tree r of its cell, so that the scenarios were paired by tree.</w:t>
      </w:r>
    </w:p>
    <w:bookmarkEnd w:id="25"/>
    <w:bookmarkStart w:id="26" w:name="layer-a-static-metacommunities"/>
    <w:p>
      <w:pPr>
        <w:pStyle w:val="Heading2"/>
      </w:pPr>
      <w:r>
        <w:t xml:space="preserve">Layer A: static metacommunities</w:t>
      </w:r>
    </w:p>
    <w:p>
      <w:pPr>
        <w:pStyle w:val="FirstParagraph"/>
      </w:pPr>
      <w:r>
        <w:t xml:space="preserve">Each metacommunity had 100 sites along an environmental gradient E drawn from a uniform distribution between 0 and 100. The expected abundance of species j at site i followed a Gaussian response, L_ij = h_j exp[−(E_i − u_j)² / (2σ_j²)], and we drew the observed abundance from a Poisson distribution with mean L_ij (Peres-Neto et al., 2012). We simulated the optimum u_j as a continuous trait on the tree under Brownian motion transformed by Pagel’s λ (Pagel, 1999) and rescaled it to the interval [−1, 101]; niche breadth σ_j came from a normal distribution with mean 10 and standard deviation 10, truncated at zero, and maximum abundance h_j from a uniform distribution between 0 and 30. In addition, σ_j and h_j could carry phylogenetic signal. In that case, we simulated a Brownian trait on the tree (λ = 1) and imposed on it the same marginal distribution by ranks, so that scenarios with and without signal differed only in how the values were arranged on the tree. We removed empty sites and pruned species absent from every site from the tree before analysis, as one would with real data, and analysed both incidence and abundance data.</w:t>
      </w:r>
    </w:p>
    <w:bookmarkEnd w:id="26"/>
    <w:bookmarkStart w:id="27"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because neither the original Julia code nor the R package mcomsimr (Thompson et al., 2020) carries a licence. At each time step, the expected abundance of species j at site i was its density-independent growth rate, a Gaussian function of the mismatch between u_j and E_i with breadth σ_j and maximum r_j, multiplied by its abundance and divided by one plus the sum of the competitive effects of all species at the site, following a Beverton–Holt model (Beverton &amp; Holt, 1957). We then drew abundances from a Poisson distribution; each individual emigrated with probability a, and each site received immigrants in proportion to the emigrants from all other sites. The environment was static and the sites had no spatial structure, because the dispersal kernel was uniform. This keeps sites exchangeable, so that the site shuffle remains a valid null model and spatial autocorrelation does not confound the phylogenetic tests. All species were seeded with Poisson(0.5) individuals per site every 10 steps during the first 100 steps, the dynamics ran for 1,000 steps, and we analysed the final state as incidence data. Maximum growth rate r_j, drawn from a uniform distribution between 2 and 8, took the role of h_j in the trait scenarios.</w:t>
      </w:r>
    </w:p>
    <w:p>
      <w:pPr>
        <w:pStyle w:val="BodyText"/>
      </w:pPr>
      <w:r>
        <w:t xml:space="preserve">We crossed two dispersal regimes with two competition structures, giving four archetypes. Dispersal was low (a = 0.01) in species sorting and high (a = 0.5) in mass effects. Competition was either intraspecific only or also interspecific and structured by phylogeny: interspecific coefficients came from a uniform distribution between 0 and 0.1, relative to an intraspecific coefficient of 1 (both multiplied by 0.05), and were assigned to species pairs by the rank of their phylogenetic similarity, so that close relatives competed more strongly. Since competition and dispersal remove species, the cell of the grid defined the tree of the regional pool rather than the tree of the analysed metacommunity. We therefore calibrated the size of the pool for each archetype, scenario and N so that the mean number of species left after the dynamics was close to N, and drew the pool tree with the targets of its cell, recalibrating β and c for each pool size. However, mass effects with phylogenetic competition could not reach N = 200, since pools of up to 2,900 species left only about 150 species, and we dropped this combination. Layer B used five cells of the grid (the four corners and the centre) and 1,000 replicates per combination, and we recorded γ and the Colless index of both the pool tree and the analysed tree.</w:t>
      </w:r>
    </w:p>
    <w:bookmarkEnd w:id="27"/>
    <w:bookmarkStart w:id="29" w:name="scenarios-and-estimands"/>
    <w:p>
      <w:pPr>
        <w:pStyle w:val="Heading2"/>
      </w:pPr>
      <w:r>
        <w:t xml:space="preserve">Scenarios and estimands</w:t>
      </w:r>
    </w:p>
    <w:p>
      <w:pPr>
        <w:pStyle w:val="FirstParagraph"/>
      </w:pPr>
      <w:r>
        <w:t xml:space="preserve">The eight trait scenarios were the same in both layers (Table 1).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8"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8"/>
          <w:p/>
        </w:tc>
      </w:tr>
    </w:tbl>
    <w:bookmarkEnd w:id="29"/>
    <w:bookmarkStart w:id="30" w:name="methods-compared"/>
    <w:p>
      <w:pPr>
        <w:pStyle w:val="Heading2"/>
      </w:pPr>
      <w:r>
        <w:t xml:space="preserve">Methods compared</w:t>
      </w:r>
    </w:p>
    <w:p>
      <w:pPr>
        <w:pStyle w:val="FirstParagraph"/>
      </w:pPr>
      <w:r>
        <w:t xml:space="preserve">All tests relate the matrix P of phylogeny-weighted species composition (Pillar &amp; Duarte, 2010; Duarte et al., 2016), or the phylogenetic eigenvectors, to the gradient. We computed P with phylogenetic fuzzy weighting and the square-rooted Bray–Curtis dissimilarity between sites (D_P), and tested its association with E with a permutational multivariate analysis of variance (PERMANOVA; Anderson, 2001) and a Mantel test (Mantel, 1967), as in Duarte et al. (2016). We also extracted the principal coordinates of phylogenetic structure (PCPS; Duarte, 2011; Duarte et al., 2012) from D_P and fitted a linear model of each of the first two axes on E (GLM PCPS1 and GLM PCPS2); in Layer B, we also fitted a redundancy analysis of both axes on E (RDA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wrote the permutation loops ourselves for efficiency and checked, in unit tests, that the observed statistics equal those of the R packages vegan v. 2.7-6 (Oksanen et al., 2026) and PCPS v. 1.0.9 (Debastiani, 2026).</w:t>
      </w:r>
    </w:p>
    <w:bookmarkEnd w:id="30"/>
    <w:bookmarkStart w:id="31"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 u_j = −1 + 102 Φ(z_j + δI_j), where z_j are independent standard normal deviates, I_j indicates membership of the planted clade and δ is the shift;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For a given replicate, the planted clade, the optima and the gradient were the same across shifts and data types, so that only the factor of interest changed. This objective replaced the per-node effect sizes under continuous Brownian motion that we had planned, because a planted clade defines unambiguously which answer is correct.</w:t>
      </w:r>
    </w:p>
    <w:p>
      <w:pPr>
        <w:pStyle w:val="BodyText"/>
      </w:pPr>
      <w:r>
        <w:t xml:space="preserve">We compared four methods. For PCPS, PCC and the evolutionary principal component analysis (evoPCA; Pavoine, 2016), each method took the axis most correlated with E among its first four, and the score of each internal node was the absolute correlation between membership of its clade and the species scores on that axis. The species scores were the correlations of the columns of P with the PCPS axis, which equal the species scores of the R package PCPS; the values of the phylogenetic eigenvector; and the correlations of the species columns of the Hellinger-transformed table of evoPCA (Legendre &amp; Gallagher, 2001), computed with the R package adiv v. 2.2.1 (Pavoine, 2020).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1"/>
    <w:bookmarkStart w:id="32" w:name="X2522e64decf6525bb30723c7b80a6a0d51ddcf2"/>
    <w:p>
      <w:pPr>
        <w:pStyle w:val="Heading2"/>
      </w:pPr>
      <w:r>
        <w:t xml:space="preserve">Performance measures and Monte Carlo error</w:t>
      </w:r>
    </w:p>
    <w:p>
      <w:pPr>
        <w:pStyle w:val="FirstParagraph"/>
      </w:pPr>
      <w:r>
        <w:t xml:space="preserve">The performance measure of each test was its rejection rate across the 1,000 replicates of a condition, and that of each clade-recovery method was its proportion of hits. With K = 1,000 replicates, the Monte Carlo standard error of a rate p is [p(1 − p)/K]^½, which is 0.007 at P = 0.05 and at most 0.016 at P = 0.5, so a 95% Monte Carlo interval around the nominal level spans about ±0.014. We chose K so that this interval falls within Bradley’s liberal criterion for acceptable type I error, [0.025, 0.075] (Bradley, 1978), and used 999 permutations so that P-values have a resolution of 0.001. We report every rate with its Monte Carlo standard error in the Supporting Information (Table S2), and the credible intervals of the formal models below include the binomial variation among replicates.</w:t>
      </w:r>
    </w:p>
    <w:bookmarkEnd w:id="32"/>
    <w:bookmarkStart w:id="33" w:name="X968b5b6f617a54290eb0a3f0f7090b7eeb8eddb"/>
    <w:p>
      <w:pPr>
        <w:pStyle w:val="Heading2"/>
      </w:pPr>
      <w:r>
        <w:t xml:space="preserve">Statistical models of the simulation results</w:t>
      </w:r>
    </w:p>
    <w:p>
      <w:pPr>
        <w:pStyle w:val="FirstParagraph"/>
      </w:pPr>
      <w:r>
        <w:t xml:space="preserve">We modelled the rates aggregated by condition with beta-binomial models fitted in the R package brms v. 2.23.0 (Bürkner, 2017) with CmdStan v. 2.39.0 through cmdstanr v. 0.9.0 (Gabry et al., 2025), with one model for the type I error and one for the power in each layer, and one for clade recovery. The plan was to treat γ and the Colless index as continuous covariates, but each cell of the grid has a single target per axis, and Layer A did not store the shape of every tree, so a continuous term would only interpolate three points. Therefore, we entered the levels of γ and of the Colless index as factors, with their interaction, which estimates the full γ × imbalance surface without assuming its form.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 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w:t>
      </w:r>
    </w:p>
    <w:p>
      <w:pPr>
        <w:pStyle w:val="BodyText"/>
      </w:pPr>
      <w:r>
        <w:t xml:space="preserve">Priors were declared explicitly on the logit scale. We used normal(0, 1.5) for all coefficients;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We checked convergence with the rank-normalized R̂, the bulk and tail effective sample sizes, the number of divergent transitions and the number of transitions at the maximum tree depth, and model fit with in-sample posterior predictive checks, both for each condition and for the sums over the conditions of each test, N and cell. We summarize the results as posterior rates and contrasts between tree shapes or archetypes, with medians and 95% credible intervals (CI). Because the raw rates can still exceed the modelled ones in the most extreme conditions, we also report them where they do.</w:t>
      </w:r>
    </w:p>
    <w:bookmarkEnd w:id="33"/>
    <w:bookmarkStart w:id="34"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4"/>
    <w:bookmarkStart w:id="35"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and the trait simulation, the β-splitting and branching-time generator and the calibration of the grid are our own R code in the repository. We orchestrated the simulations of Layer A and Layer B with targets v. 1.12.0 (Landau, 2021) and crew v. 1.3.3 (Landau, 2026) in a Docker image on spot cloud instances with 192 virtual CPUs (190 workers); the pipeline seed was 20261018, from which targets derives one seed per branch. Layer A took about 8 h for the 432,000 metacommunities of the main run and Layer B about 7.5 h for its 440,000. The clade-recovery runs took 1.2 h on a 16-core workstation, with one seed per tree, depth and replicate, and each formal model 1–7 min. Code is available at [CITAR: GitHub repository and Zenodo DOI], together with the rates aggregated by condition and the scripts that compute the performance measures and the models from them, which reproduce every table and figure without rerunning the simulations.</w:t>
      </w:r>
    </w:p>
    <w:bookmarkEnd w:id="35"/>
    <w:bookmarkEnd w:id="36"/>
    <w:bookmarkStart w:id="59" w:name="results"/>
    <w:p>
      <w:pPr>
        <w:pStyle w:val="Heading1"/>
      </w:pPr>
      <w:r>
        <w:t xml:space="preserve">Results</w:t>
      </w:r>
    </w:p>
    <w:bookmarkStart w:id="37" w:name="validation"/>
    <w:p>
      <w:pPr>
        <w:pStyle w:val="Heading2"/>
      </w:pPr>
      <w:r>
        <w:t xml:space="preserve">Validation</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37"/>
    <w:bookmarkStart w:id="42" w:name="X6fda0e17f756476fcb0af05453767d4dea2fefb"/>
    <w:p>
      <w:pPr>
        <w:pStyle w:val="Heading2"/>
      </w:pPr>
      <w:r>
        <w:t xml:space="preserve">Type I error under tree shape and nuisance structure</w:t>
      </w:r>
    </w:p>
    <w:p>
      <w:pPr>
        <w:pStyle w:val="FirstParagraph"/>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bookmarkEnd w:id="42"/>
    <w:bookmarkStart w:id="47" w:name="power-and-tree-shape"/>
    <w:p>
      <w:pPr>
        <w:pStyle w:val="Heading2"/>
      </w:pPr>
      <w:r>
        <w:t xml:space="preserve">Power and tree shape</w:t>
      </w:r>
    </w:p>
    <w:p>
      <w:pPr>
        <w:pStyle w:val="FirstParagraph"/>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6" w:name="fig-power"/>
          <w:p>
            <w:pPr>
              <w:pStyle w:val="Compact"/>
              <w:jc w:val="center"/>
            </w:pPr>
            <w:r>
              <w:drawing>
                <wp:inline>
                  <wp:extent cx="5753100" cy="3044241"/>
                  <wp:effectExtent b="0" l="0" r="0" t="0"/>
                  <wp:docPr descr="" title="" id="44" name="Picture"/>
                  <a:graphic>
                    <a:graphicData uri="http://schemas.openxmlformats.org/drawingml/2006/picture">
                      <pic:pic>
                        <pic:nvPicPr>
                          <pic:cNvPr descr="figures/fig3_power.png" id="45" name="Picture"/>
                          <pic:cNvPicPr>
                            <a:picLocks noChangeArrowheads="1" noChangeAspect="1"/>
                          </pic:cNvPicPr>
                        </pic:nvPicPr>
                        <pic:blipFill>
                          <a:blip r:embed="rId43"/>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6"/>
        </w:tc>
      </w:tr>
    </w:tbl>
    <w:bookmarkEnd w:id="47"/>
    <w:bookmarkStart w:id="52" w:name="X72ad4947fb5ab40bd19643bc3dd668044f061db"/>
    <w:p>
      <w:pPr>
        <w:pStyle w:val="Heading2"/>
      </w:pPr>
      <w:r>
        <w:t xml:space="preserve">Performance under metacommunity assembly processes</w:t>
      </w:r>
    </w:p>
    <w:p>
      <w:pPr>
        <w:pStyle w:val="FirstParagraph"/>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tbl>
      <w:tblPr>
        <w:tblStyle w:val="Table"/>
        <w:tblW w:type="pct" w:w="5000"/>
        <w:tblLayout w:type="fixed"/>
        <w:tblLook w:firstRow="0" w:lastRow="0" w:firstColumn="0" w:lastColumn="0" w:noHBand="0" w:noVBand="0" w:val="0000"/>
      </w:tblPr>
      <w:tblGrid>
        <w:gridCol w:w="7920"/>
      </w:tblGrid>
      <w:tr>
        <w:tc>
          <w:tcPr/>
          <w:bookmarkStart w:id="51" w:name="fig-layerB"/>
          <w:p>
            <w:pPr>
              <w:pStyle w:val="Compact"/>
              <w:jc w:val="center"/>
            </w:pPr>
            <w:r>
              <w:drawing>
                <wp:inline>
                  <wp:extent cx="5753100" cy="3723605"/>
                  <wp:effectExtent b="0" l="0" r="0" t="0"/>
                  <wp:docPr descr="" title="" id="49" name="Picture"/>
                  <a:graphic>
                    <a:graphicData uri="http://schemas.openxmlformats.org/drawingml/2006/picture">
                      <pic:pic>
                        <pic:nvPicPr>
                          <pic:cNvPr descr="figures/fig4_layerB_power.png" id="50" name="Picture"/>
                          <pic:cNvPicPr>
                            <a:picLocks noChangeArrowheads="1" noChangeAspect="1"/>
                          </pic:cNvPicPr>
                        </pic:nvPicPr>
                        <pic:blipFill>
                          <a:blip r:embed="rId48"/>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51"/>
        </w:tc>
      </w:tr>
    </w:tbl>
    <w:bookmarkEnd w:id="52"/>
    <w:bookmarkStart w:id="57" w:name="recovery-of-a-planted-clade-1"/>
    <w:p>
      <w:pPr>
        <w:pStyle w:val="Heading2"/>
      </w:pPr>
      <w:r>
        <w:t xml:space="preserve">Recovery of a planted clade</w:t>
      </w:r>
    </w:p>
    <w:p>
      <w:pPr>
        <w:pStyle w:val="FirstParagraph"/>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with lower recovery for the compositional phylofactorization (0.68 and 0.56 for basal and recent clades at N = 100) than for evoPCA (0.78 and 0.65), and PCPS gained 0.29 (0.25–0.33) and 0.23 (0.21–0.25) with low γ.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6" w:name="fig-clade"/>
          <w:p>
            <w:pPr>
              <w:pStyle w:val="Compact"/>
              <w:jc w:val="center"/>
            </w:pPr>
            <w:r>
              <w:drawing>
                <wp:inline>
                  <wp:extent cx="5416061" cy="2886935"/>
                  <wp:effectExtent b="0" l="0" r="0" t="0"/>
                  <wp:docPr descr="" title="" id="54" name="Picture"/>
                  <a:graphic>
                    <a:graphicData uri="http://schemas.openxmlformats.org/drawingml/2006/picture">
                      <pic:pic>
                        <pic:nvPicPr>
                          <pic:cNvPr descr="figures/fig5_clade.png" id="55" name="Picture"/>
                          <pic:cNvPicPr>
                            <a:picLocks noChangeArrowheads="1" noChangeAspect="1"/>
                          </pic:cNvPicPr>
                        </pic:nvPicPr>
                        <pic:blipFill>
                          <a:blip r:embed="rId53"/>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6"/>
        </w:tc>
      </w:tr>
    </w:tbl>
    <w:bookmarkEnd w:id="57"/>
    <w:bookmarkStart w:id="58" w:name="convergence-and-fit-of-the-formal-models"/>
    <w:p>
      <w:pPr>
        <w:pStyle w:val="Heading2"/>
      </w:pPr>
      <w:r>
        <w:t xml:space="preserve">Convergence and fit of the formal models</w:t>
      </w:r>
    </w:p>
    <w:p>
      <w:pPr>
        <w:pStyle w:val="FirstParagraph"/>
      </w:pPr>
      <w:r>
        <w:t xml:space="preserve">All models converged, with R̂ ≤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58"/>
    <w:bookmarkEnd w:id="59"/>
    <w:bookmarkStart w:id="64"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63" w:name="fig-box1"/>
          <w:p>
            <w:pPr>
              <w:pStyle w:val="Compact"/>
              <w:jc w:val="center"/>
            </w:pPr>
            <w:r>
              <w:drawing>
                <wp:inline>
                  <wp:extent cx="4890135" cy="3261010"/>
                  <wp:effectExtent b="0" l="0" r="0" t="0"/>
                  <wp:docPr descr="" title="" id="61" name="Picture"/>
                  <a:graphic>
                    <a:graphicData uri="http://schemas.openxmlformats.org/drawingml/2006/picture">
                      <pic:pic>
                        <pic:nvPicPr>
                          <pic:cNvPr descr="figures/box1_pools.png" id="62" name="Picture"/>
                          <pic:cNvPicPr>
                            <a:picLocks noChangeArrowheads="1" noChangeAspect="1"/>
                          </pic:cNvPicPr>
                        </pic:nvPicPr>
                        <pic:blipFill>
                          <a:blip r:embed="rId60"/>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(coloured points, point-estimate tree; bars, 2.5–97.5% quantiles across 100 bootstrap trees, centred on their median) against the targets of the simulation grid (open symbols, by N) and the anuran clades with 40–250 tips of Portik et al. (2023) (grey points). Notice that the pools fall inside the grid and close to its Yule and median levels.</w:t>
            </w:r>
          </w:p>
          <w:bookmarkEnd w:id="63"/>
        </w:tc>
      </w:tr>
    </w:tbl>
    <w:bookmarkEnd w:id="64"/>
    <w:bookmarkStart w:id="65" w:name="references-verified"/>
    <w:p>
      <w:pPr>
        <w:pStyle w:val="Heading1"/>
      </w:pPr>
      <w:r>
        <w:t xml:space="preserve">References (verified)</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Debastiani, V. J. (2026). PCPS: principal coordinates of phylogenetic structure. R package version 1.0.9. doi:10.32614/CRAN.package.PCPS.</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Gabry, J., Češnovar, R., Johnson, A., &amp; Bronder, S. (2025). cmdstanr: R interface to CmdStan. R package version 0.9.0. https://github.com/stan-dev/cmdstanr.</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bookmarkEnd w:id="65"/>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0" Target="media/rId60.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2026-10-20T12:42:24Z</dcterms:created>
  <dcterms:modified xsi:type="dcterms:W3CDTF">2026-10-20T12:42:24Z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2026-10-20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Methods and Results (draft)</vt:lpwstr>
  </property>
  <property fmtid="{D5CDD505-2E9C-101B-9397-08002B2CF9AE}" pid="12" name="toc-title">
    <vt:lpwstr>Table of contents</vt:lpwstr>
  </property>
</Properties>
</file>