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20.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Methods and Results (draft)</w:t>
      </w:r>
    </w:p>
    <w:p>
      <w:pPr>
        <w:pStyle w:val="Author"/>
      </w:pPr>
      <w:r>
        <w:t xml:space="preserve">Diogo B. Provete</w:t>
      </w:r>
    </w:p>
    <w:p>
      <w:pPr>
        <w:pStyle w:val="Date"/>
      </w:pPr>
      <w:r>
        <w:t xml:space="preserve">2026-10-20</w:t>
      </w:r>
    </w:p>
    <w:bookmarkStart w:id="35" w:name="methods"/>
    <w:p>
      <w:pPr>
        <w:pStyle w:val="Heading1"/>
      </w:pPr>
      <w:r>
        <w:t xml:space="preserve">Methods</w:t>
      </w:r>
    </w:p>
    <w:bookmarkStart w:id="24"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3" w:name="fig-design"/>
          <w:p>
            <w:pPr>
              <w:pStyle w:val="Compact"/>
              <w:jc w:val="center"/>
            </w:pPr>
            <w:r>
              <w:drawing>
                <wp:inline>
                  <wp:extent cx="5753100" cy="2622454"/>
                  <wp:effectExtent b="0" l="0" r="0" t="0"/>
                  <wp:docPr descr="" title="" id="21" name="Picture"/>
                  <a:graphic>
                    <a:graphicData uri="http://schemas.openxmlformats.org/drawingml/2006/picture">
                      <pic:pic>
                        <pic:nvPicPr>
                          <pic:cNvPr descr="figures/fig1_schematic.png" id="22" name="Picture"/>
                          <pic:cNvPicPr>
                            <a:picLocks noChangeArrowheads="1" noChangeAspect="1"/>
                          </pic:cNvPicPr>
                        </pic:nvPicPr>
                        <pic:blipFill>
                          <a:blip r:embed="rId20"/>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3"/>
        </w:tc>
      </w:tr>
    </w:tbl>
    <w:bookmarkEnd w:id="24"/>
    <w:bookmarkStart w:id="25"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5"/>
    <w:bookmarkStart w:id="26"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6"/>
    <w:bookmarkStart w:id="27"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7"/>
    <w:bookmarkStart w:id="29"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8"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8"/>
          <w:p/>
        </w:tc>
      </w:tr>
    </w:tbl>
    <w:bookmarkEnd w:id="29"/>
    <w:bookmarkStart w:id="30"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0"/>
    <w:bookmarkStart w:id="31"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1"/>
    <w:bookmarkStart w:id="32"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spans about ±0.014 and falls within Bradley’s liberal criterion for acceptable type I error, [0.025, 0.075] (Bradley, 1978). We report every rate with its Monte Carlo standard error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2"/>
    <w:bookmarkStart w:id="33"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and computed γ and the normalized Colless index on the point-estimate tree and on its 100 time-calibrated bootstrap trees. For the case study, we used the metacommunities with at least 10 ponds and pond depth measured in every pond, namely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3"/>
    <w:bookmarkStart w:id="34"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at [CITAR: GitHub repository and Zenodo DOI], together with the rates aggregated by condition and the scripts that compute the performance measures and the models from them, which reproduce every table and figure without rerunning the simulations.</w:t>
      </w:r>
    </w:p>
    <w:bookmarkEnd w:id="34"/>
    <w:bookmarkEnd w:id="35"/>
    <w:bookmarkStart w:id="52"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39" w:name="fig-type1"/>
          <w:p>
            <w:pPr>
              <w:pStyle w:val="Compact"/>
              <w:jc w:val="center"/>
            </w:pPr>
            <w:r>
              <w:drawing>
                <wp:inline>
                  <wp:extent cx="5753100" cy="4738352"/>
                  <wp:effectExtent b="0" l="0" r="0" t="0"/>
                  <wp:docPr descr="" title="" id="37" name="Picture"/>
                  <a:graphic>
                    <a:graphicData uri="http://schemas.openxmlformats.org/drawingml/2006/picture">
                      <pic:pic>
                        <pic:nvPicPr>
                          <pic:cNvPr descr="figures/fig2_type1.png" id="38" name="Picture"/>
                          <pic:cNvPicPr>
                            <a:picLocks noChangeArrowheads="1" noChangeAspect="1"/>
                          </pic:cNvPicPr>
                        </pic:nvPicPr>
                        <pic:blipFill>
                          <a:blip r:embed="rId36"/>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39"/>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3" w:name="fig-power"/>
          <w:p>
            <w:pPr>
              <w:pStyle w:val="Compact"/>
              <w:jc w:val="center"/>
            </w:pPr>
            <w:r>
              <w:drawing>
                <wp:inline>
                  <wp:extent cx="5753100" cy="3044241"/>
                  <wp:effectExtent b="0" l="0" r="0" t="0"/>
                  <wp:docPr descr="" title="" id="41" name="Picture"/>
                  <a:graphic>
                    <a:graphicData uri="http://schemas.openxmlformats.org/drawingml/2006/picture">
                      <pic:pic>
                        <pic:nvPicPr>
                          <pic:cNvPr descr="figures/fig3_power.png" id="42" name="Picture"/>
                          <pic:cNvPicPr>
                            <a:picLocks noChangeArrowheads="1" noChangeAspect="1"/>
                          </pic:cNvPicPr>
                        </pic:nvPicPr>
                        <pic:blipFill>
                          <a:blip r:embed="rId40"/>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3"/>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did at N = 200 (Appendix S2).</w:t>
      </w:r>
    </w:p>
    <w:tbl>
      <w:tblPr>
        <w:tblStyle w:val="Table"/>
        <w:tblW w:type="pct" w:w="5000"/>
        <w:tblLayout w:type="fixed"/>
        <w:tblLook w:firstRow="0" w:lastRow="0" w:firstColumn="0" w:lastColumn="0" w:noHBand="0" w:noVBand="0" w:val="0000"/>
      </w:tblPr>
      <w:tblGrid>
        <w:gridCol w:w="7920"/>
      </w:tblGrid>
      <w:tr>
        <w:tc>
          <w:tcPr/>
          <w:bookmarkStart w:id="47" w:name="fig-layerB"/>
          <w:p>
            <w:pPr>
              <w:pStyle w:val="Compact"/>
              <w:jc w:val="center"/>
            </w:pPr>
            <w:r>
              <w:drawing>
                <wp:inline>
                  <wp:extent cx="5753100" cy="3723605"/>
                  <wp:effectExtent b="0" l="0" r="0" t="0"/>
                  <wp:docPr descr="" title="" id="45" name="Picture"/>
                  <a:graphic>
                    <a:graphicData uri="http://schemas.openxmlformats.org/drawingml/2006/picture">
                      <pic:pic>
                        <pic:nvPicPr>
                          <pic:cNvPr descr="figures/fig4_layerB_power.png" id="46" name="Picture"/>
                          <pic:cNvPicPr>
                            <a:picLocks noChangeArrowheads="1" noChangeAspect="1"/>
                          </pic:cNvPicPr>
                        </pic:nvPicPr>
                        <pic:blipFill>
                          <a:blip r:embed="rId44"/>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7"/>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1" w:name="fig-clade"/>
          <w:p>
            <w:pPr>
              <w:pStyle w:val="Compact"/>
              <w:jc w:val="center"/>
            </w:pPr>
            <w:r>
              <w:drawing>
                <wp:inline>
                  <wp:extent cx="5416061" cy="2886935"/>
                  <wp:effectExtent b="0" l="0" r="0" t="0"/>
                  <wp:docPr descr="" title="" id="49" name="Picture"/>
                  <a:graphic>
                    <a:graphicData uri="http://schemas.openxmlformats.org/drawingml/2006/picture">
                      <pic:pic>
                        <pic:nvPicPr>
                          <pic:cNvPr descr="figures/fig5_clade.png" id="50" name="Picture"/>
                          <pic:cNvPicPr>
                            <a:picLocks noChangeArrowheads="1" noChangeAspect="1"/>
                          </pic:cNvPicPr>
                        </pic:nvPicPr>
                        <pic:blipFill>
                          <a:blip r:embed="rId48"/>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1"/>
        </w:tc>
      </w:tr>
    </w:tbl>
    <w:bookmarkEnd w:id="52"/>
    <w:bookmarkStart w:id="57"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6" w:name="fig-box1"/>
          <w:p>
            <w:pPr>
              <w:pStyle w:val="Compact"/>
              <w:jc w:val="center"/>
            </w:pPr>
            <w:r>
              <w:drawing>
                <wp:inline>
                  <wp:extent cx="4890135" cy="3261010"/>
                  <wp:effectExtent b="0" l="0" r="0" t="0"/>
                  <wp:docPr descr="" title="" id="54" name="Picture"/>
                  <a:graphic>
                    <a:graphicData uri="http://schemas.openxmlformats.org/drawingml/2006/picture">
                      <pic:pic>
                        <pic:nvPicPr>
                          <pic:cNvPr descr="figures/box1_pools.png" id="55" name="Picture"/>
                          <pic:cNvPicPr>
                            <a:picLocks noChangeArrowheads="1" noChangeAspect="1"/>
                          </pic:cNvPicPr>
                        </pic:nvPicPr>
                        <pic:blipFill>
                          <a:blip r:embed="rId53"/>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6"/>
        </w:tc>
      </w:tr>
    </w:tbl>
    <w:bookmarkEnd w:id="57"/>
    <w:bookmarkStart w:id="58"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Debastiani, V. J. (2026). PCPS: principal coordinates of phylogenetic structure. R package version 1.0.9. doi:10.32614/CRAN.package.PCPS.</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58"/>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2026-10-20T13:05:01Z</dcterms:created>
  <dcterms:modified xsi:type="dcterms:W3CDTF">2026-10-20T13:05:01Z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Methods and Results (draft)</vt:lpwstr>
  </property>
  <property fmtid="{D5CDD505-2E9C-101B-9397-08002B2CF9AE}" pid="12" name="toc-title">
    <vt:lpwstr>Table of contents</vt:lpwstr>
  </property>
</Properties>
</file>