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Tree shape and metacommunity assembly govern the performance of phylogenetic community–environment methods</w:t>
      </w:r>
    </w:p>
    <w:p>
      <w:pPr>
        <w:pStyle w:val="Author"/>
      </w:pPr>
      <w:r>
        <w:t xml:space="preserve">Diogo B. Provete</w:t>
      </w:r>
    </w:p>
    <w:bookmarkStart w:id="27"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layer-b"/>
    <w:p>
      <w:pPr>
        <w:pStyle w:val="Heading2"/>
      </w:pPr>
      <w:r>
        <w:t xml:space="preserve">Layer B</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λ</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λ</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Layer A,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3"/>
    <w:bookmarkStart w:id="24"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The planted-clade objective replaced the per-node effect sizes under continuous Brownian motion that we had planned, because a planted clade defines unambiguously which answer is correct.</w:t>
      </w:r>
    </w:p>
    <w:bookmarkEnd w:id="24"/>
    <w:bookmarkStart w:id="25" w:name="formal-models-of-the-simulation-results"/>
    <w:p>
      <w:pPr>
        <w:pStyle w:val="Heading2"/>
      </w:pPr>
      <w:r>
        <w:t xml:space="preserve">Formal models of the simulation results</w:t>
      </w:r>
    </w:p>
    <w:p>
      <w:pPr>
        <w:pStyle w:val="FirstParagraph"/>
      </w:pPr>
      <w:r>
        <w:t xml:space="preserve">The plan was to treat γ and the Colless index as continuous covariates, but each cell of the grid has a single target per axis, and Layer A did not store the shape of every tree, so a continuous term would only interpolate three points. Therefore, we entered the levels of both statistics as factors.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5"/>
    <w:bookmarkStart w:id="26" w:name="computation"/>
    <w:p>
      <w:pPr>
        <w:pStyle w:val="Heading2"/>
      </w:pPr>
      <w:r>
        <w:t xml:space="preserve">Computation</w:t>
      </w:r>
    </w:p>
    <w:p>
      <w:pPr>
        <w:pStyle w:val="FirstParagraph"/>
      </w:pPr>
      <w:r>
        <w:t xml:space="preserve">The simulations of Layer A and Layer B ran in a Docker image on spot cloud instances with 192 virtual CPUs (190 workers); the pipeline seed was 20261018, from which the R package targets derives one seed per branch. Layer A took about 8 h for the 432,000 metacommunities of the main run and Layer B about 7.5 h for its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6"/>
    <w:bookmarkEnd w:id="27"/>
    <w:bookmarkStart w:id="32" w:name="appendix-s2.-extended-results"/>
    <w:p>
      <w:pPr>
        <w:pStyle w:val="Heading1"/>
      </w:pPr>
      <w:r>
        <w:t xml:space="preserve">Appendix S2. Extended results</w:t>
      </w:r>
    </w:p>
    <w:bookmarkStart w:id="28" w:name="validation-against-published-results"/>
    <w:p>
      <w:pPr>
        <w:pStyle w:val="Heading2"/>
      </w:pPr>
      <w:r>
        <w:t xml:space="preserve">Validation against published results</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28"/>
    <w:bookmarkStart w:id="29" w:name="type-i-error-in-layer-b"/>
    <w:p>
      <w:pPr>
        <w:pStyle w:val="Heading2"/>
      </w:pPr>
      <w:r>
        <w:t xml:space="preserve">Type I error in Layer B</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29"/>
    <w:bookmarkStart w:id="30"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30"/>
    <w:bookmarkStart w:id="31"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31"/>
    <w:bookmarkEnd w:id="32"/>
    <w:bookmarkStart w:id="34"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 c 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33"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77"/>
              <w:gridCol w:w="1225"/>
              <w:gridCol w:w="1319"/>
              <w:gridCol w:w="1225"/>
              <w:gridCol w:w="1414"/>
              <w:gridCol w:w="659"/>
              <w:gridCol w:w="659"/>
              <w:gridCol w:w="1037"/>
            </w:tblGrid>
            <w:tr>
              <w:trPr>
                <w:tblHeader w:val="on"/>
              </w:trPr>
              <w:tc>
                <w:tcPr/>
                <w:p>
                  <w:pPr>
                    <w:pStyle w:val="Compact"/>
                    <w:jc w:val="right"/>
                    <w:jc w:val="center"/>
                  </w:pPr>
                  <w:r>
                    <w:t xml:space="preserve">N</w:t>
                  </w:r>
                </w:p>
              </w:tc>
              <w:tc>
                <w:tcPr/>
                <w:p>
                  <w:pPr>
                    <w:pStyle w:val="Compact"/>
                    <w:jc w:val="left"/>
                    <w:jc w:val="center"/>
                  </w:pPr>
                  <w:r>
                    <w:t xml:space="preserve">gamma_level</w:t>
                  </w:r>
                </w:p>
              </w:tc>
              <w:tc>
                <w:tcPr/>
                <w:p>
                  <w:pPr>
                    <w:pStyle w:val="Compact"/>
                    <w:jc w:val="left"/>
                    <w:jc w:val="center"/>
                  </w:pPr>
                  <w:r>
                    <w:t xml:space="preserve">colless_level</w:t>
                  </w:r>
                </w:p>
              </w:tc>
              <w:tc>
                <w:tcPr/>
                <w:p>
                  <w:pPr>
                    <w:pStyle w:val="Compact"/>
                    <w:jc w:val="right"/>
                    <w:jc w:val="center"/>
                  </w:pPr>
                  <w:r>
                    <w:t xml:space="preserve">gamma_target</w:t>
                  </w:r>
                </w:p>
              </w:tc>
              <w:tc>
                <w:tcPr/>
                <w:p>
                  <w:pPr>
                    <w:pStyle w:val="Compact"/>
                    <w:jc w:val="right"/>
                    <w:jc w:val="center"/>
                  </w:pPr>
                  <w:r>
                    <w:t xml:space="preserve">colless_target</w:t>
                  </w:r>
                </w:p>
              </w:tc>
              <w:tc>
                <w:tcPr/>
                <w:p>
                  <w:pPr>
                    <w:pStyle w:val="Compact"/>
                    <w:jc w:val="right"/>
                    <w:jc w:val="center"/>
                  </w:pPr>
                  <w:r>
                    <w:t xml:space="preserve">c</w:t>
                  </w:r>
                </w:p>
              </w:tc>
              <w:tc>
                <w:tcPr/>
                <w:p>
                  <w:pPr>
                    <w:pStyle w:val="Compact"/>
                    <w:jc w:val="right"/>
                    <w:jc w:val="center"/>
                  </w:pPr>
                  <w:r>
                    <w:t xml:space="preserve">beta</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33"/>
          <w:p/>
        </w:tc>
      </w:tr>
    </w:tbl>
    <w:bookmarkEnd w:id="34"/>
    <w:bookmarkStart w:id="36"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 MCSE = [p(1 − p)/K]^½ with K = 1,000 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35"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525"/>
              <w:gridCol w:w="1262"/>
              <w:gridCol w:w="1033"/>
              <w:gridCol w:w="1033"/>
              <w:gridCol w:w="1033"/>
              <w:gridCol w:w="1033"/>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rate_min</w:t>
                  </w:r>
                </w:p>
              </w:tc>
              <w:tc>
                <w:tcPr/>
                <w:p>
                  <w:pPr>
                    <w:pStyle w:val="Compact"/>
                    <w:jc w:val="right"/>
                    <w:jc w:val="center"/>
                  </w:pPr>
                  <w:r>
                    <w:t xml:space="preserve">rate_max</w:t>
                  </w:r>
                </w:p>
              </w:tc>
              <w:tc>
                <w:tcPr/>
                <w:p>
                  <w:pPr>
                    <w:pStyle w:val="Compact"/>
                    <w:jc w:val="right"/>
                    <w:jc w:val="center"/>
                  </w:pPr>
                  <w:r>
                    <w:t xml:space="preserve">mcse_min</w:t>
                  </w:r>
                </w:p>
              </w:tc>
              <w:tc>
                <w:tcPr/>
                <w:p>
                  <w:pPr>
                    <w:pStyle w:val="Compact"/>
                    <w:jc w:val="right"/>
                    <w:jc w:val="center"/>
                  </w:pPr>
                  <w:r>
                    <w:t xml:space="preserve">mcse_max</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35"/>
          <w:p/>
        </w:tc>
      </w:tr>
    </w:tbl>
    <w:bookmarkEnd w:id="36"/>
    <w:bookmarkStart w:id="38" w:name="table-s3"/>
    <w:p>
      <w:pPr>
        <w:pStyle w:val="Heading1"/>
      </w:pPr>
      <w:r>
        <w:t xml:space="preserve">Table S3</w:t>
      </w:r>
    </w:p>
    <w:p>
      <w:pPr>
        <w:pStyle w:val="FirstParagraph"/>
      </w:pPr>
      <w:r>
        <w:t xml:space="preserve">Convergence and posterior predictive diagnostics of the beta-binomial models: maximum rank-normalized R̂,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37"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544"/>
              <w:gridCol w:w="544"/>
              <w:gridCol w:w="785"/>
              <w:gridCol w:w="785"/>
              <w:gridCol w:w="604"/>
              <w:gridCol w:w="846"/>
              <w:gridCol w:w="544"/>
              <w:gridCol w:w="544"/>
              <w:gridCol w:w="1027"/>
              <w:gridCol w:w="1027"/>
              <w:gridCol w:w="665"/>
            </w:tblGrid>
            <w:tr>
              <w:trPr>
                <w:tblHeader w:val="on"/>
              </w:trPr>
              <w:tc>
                <w:tcPr/>
                <w:p>
                  <w:pPr>
                    <w:pStyle w:val="Compact"/>
                    <w:jc w:val="left"/>
                    <w:jc w:val="center"/>
                  </w:pPr>
                  <w:r>
                    <w:t xml:space="preserve">model</w:t>
                  </w:r>
                </w:p>
              </w:tc>
              <w:tc>
                <w:tcPr/>
                <w:p>
                  <w:pPr>
                    <w:pStyle w:val="Compact"/>
                    <w:jc w:val="right"/>
                    <w:jc w:val="center"/>
                  </w:pPr>
                  <w:r>
                    <w:t xml:space="preserve">rhat_max</w:t>
                  </w:r>
                </w:p>
              </w:tc>
              <w:tc>
                <w:tcPr/>
                <w:p>
                  <w:pPr>
                    <w:pStyle w:val="Compact"/>
                    <w:jc w:val="right"/>
                    <w:jc w:val="center"/>
                  </w:pPr>
                  <w:r>
                    <w:t xml:space="preserve">ess_bulk_min</w:t>
                  </w:r>
                </w:p>
              </w:tc>
              <w:tc>
                <w:tcPr/>
                <w:p>
                  <w:pPr>
                    <w:pStyle w:val="Compact"/>
                    <w:jc w:val="right"/>
                    <w:jc w:val="center"/>
                  </w:pPr>
                  <w:r>
                    <w:t xml:space="preserve">ess_tail_min</w:t>
                  </w:r>
                </w:p>
              </w:tc>
              <w:tc>
                <w:tcPr/>
                <w:p>
                  <w:pPr>
                    <w:pStyle w:val="Compact"/>
                    <w:jc w:val="right"/>
                    <w:jc w:val="center"/>
                  </w:pPr>
                  <w:r>
                    <w:t xml:space="preserve">divergent</w:t>
                  </w:r>
                </w:p>
              </w:tc>
              <w:tc>
                <w:tcPr/>
                <w:p>
                  <w:pPr>
                    <w:pStyle w:val="Compact"/>
                    <w:jc w:val="right"/>
                    <w:jc w:val="center"/>
                  </w:pPr>
                  <w:r>
                    <w:t xml:space="preserve">max_treedepth</w:t>
                  </w:r>
                </w:p>
              </w:tc>
              <w:tc>
                <w:tcPr/>
                <w:p>
                  <w:pPr>
                    <w:pStyle w:val="Compact"/>
                    <w:jc w:val="right"/>
                    <w:jc w:val="center"/>
                  </w:pPr>
                  <w:r>
                    <w:t xml:space="preserve">cover_50</w:t>
                  </w:r>
                </w:p>
              </w:tc>
              <w:tc>
                <w:tcPr/>
                <w:p>
                  <w:pPr>
                    <w:pStyle w:val="Compact"/>
                    <w:jc w:val="right"/>
                    <w:jc w:val="center"/>
                  </w:pPr>
                  <w:r>
                    <w:t xml:space="preserve">cover_95</w:t>
                  </w:r>
                </w:p>
              </w:tc>
              <w:tc>
                <w:tcPr/>
                <w:p>
                  <w:pPr>
                    <w:pStyle w:val="Compact"/>
                    <w:jc w:val="right"/>
                    <w:jc w:val="center"/>
                  </w:pPr>
                  <w:r>
                    <w:t xml:space="preserve">cover_50_grouped</w:t>
                  </w:r>
                </w:p>
              </w:tc>
              <w:tc>
                <w:tcPr/>
                <w:p>
                  <w:pPr>
                    <w:pStyle w:val="Compact"/>
                    <w:jc w:val="right"/>
                    <w:jc w:val="center"/>
                  </w:pPr>
                  <w:r>
                    <w:t xml:space="preserve">cover_95_grouped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bl>
          <w:bookmarkEnd w:id="37"/>
          <w:p/>
        </w:tc>
      </w:tr>
    </w:tbl>
    <w:bookmarkEnd w:id="38"/>
    <w:bookmarkStart w:id="39"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39"/>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Diogo B. Provete</dc:creator>
  <cp:keywords/>
  <dcterms:created xsi:type="dcterms:W3CDTF">2026-10-20T13:05:02Z</dcterms:created>
  <dcterms:modified xsi:type="dcterms:W3CDTF">2026-10-20T13:05:02Z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Tree shape and metacommunity assembly govern the performance of phylogenetic community–environment methods</vt:lpwstr>
  </property>
  <property fmtid="{D5CDD505-2E9C-101B-9397-08002B2CF9AE}" pid="11" name="toc-title">
    <vt:lpwstr>Table of contents</vt:lpwstr>
  </property>
</Properties>
</file>