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reproducing the original validations and a process-based layer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 In both layers,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At each time step, the expected abundance of species</w:t>
      </w:r>
      <w:r>
        <w:t xml:space="preserve"> </w:t>
      </w:r>
      <m:oMath>
        <m:r>
          <m:t>j</m:t>
        </m:r>
      </m:oMath>
      <w:r>
        <w:t xml:space="preserve"> </w:t>
      </w:r>
      <w:r>
        <w:t xml:space="preserve">at site</w:t>
      </w:r>
      <w:r>
        <w:t xml:space="preserve"> </w:t>
      </w:r>
      <m:oMath>
        <m:r>
          <m:t>i</m:t>
        </m:r>
      </m:oMath>
      <w:r>
        <w:t xml:space="preserve"> </w:t>
      </w:r>
      <w:r>
        <w:t xml:space="preserve">was its density-independent growth rate,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t>
      </w:r>
      <w:r>
        <w:t xml:space="preserve">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multiplied by its abundance and divided by one plus the summed competitive effects of all species at the site, following a Beverton–Holt model (Beverton &amp; Holt, 1957).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Layer B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normal(0, 1.5) for the coefficients, normal(−2.9, 1.5) for the intercept of the type I models, centred on logit(0.05), and gamma(2, 0.01) for the precision φ.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layer reproduced the published validations (Appendix S2): in the Yule trees of Duarte et al. (2016), 66 of 72 published rejection rates fell within the 95% binomial interval of our estimates, and the PCC matched the rates of Peres-Neto and Kembel (2015) in the scenarios that do not depend on the tree. All formal models converged (</w:t>
      </w:r>
      <m:oMath>
        <m:acc>
          <m:accPr>
            <m:chr m:val="̂"/>
          </m:accPr>
          <m:e>
            <m:r>
              <m:t>R</m:t>
            </m:r>
          </m:e>
        </m:acc>
      </m:oMath>
      <w:r>
        <w:t xml:space="preserve"> </w:t>
      </w:r>
      <w:r>
        <w:t xml:space="preserve">≤ 1.01, no divergent transitions), and their posterior predictive intervals covered the observed rates (Appendix S2, Table S3).</w:t>
      </w:r>
    </w:p>
    <w:p>
      <w:pPr>
        <w:pStyle w:val="BodyText"/>
      </w:pPr>
      <w:r>
        <w:t xml:space="preserve">Tree imbalance did not affect the type I error of any test. In all 75 combinations of test, null scenario and N, the difference in the distance of the type I error from the nominal level between highly imbalanced and Yule trees was within ±0.012, and no 95% CI excluded zero, with incidence or abundance data (</w:t>
      </w:r>
      <w:hyperlink w:anchor="fig-type1">
        <w:r>
          <w:rPr>
            <w:rStyle w:val="Hyperlink"/>
          </w:rPr>
          <w:t xml:space="preserve">Fig. 2</w:t>
        </w:r>
      </w:hyperlink>
      <w:r>
        <w:t xml:space="preserve">). In S0, where optima had no phylogenetic signal and the gradient was independent, all tests were conservative, and four of them became more conservative in trees with low γ (by 0.008–0.020). The taxa shuffle alone, which H1 addressed, was not affected either: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0.02 (95% CI 0.01–0.03) in Yule trees at N = 100, and by 0.05 (0.04–0.06), 0.10 (0.08–0.12) and 0.21 (0.19–0.23) with low γ at N = 50, 100 and 200 (</w:t>
      </w:r>
      <w:hyperlink w:anchor="fig-type1">
        <w:r>
          <w:rPr>
            <w:rStyle w:val="Hyperlink"/>
          </w:rPr>
          <w:t xml:space="preserve">Fig. 2</w:t>
        </w:r>
      </w:hyperlink>
      <w:r>
        <w:t xml:space="preserve">). The raw rates reached 0.36 at N = 200 in low-γ trees. The PCC was also inflated, by 0.05 (0.03–0.06) in Yule trees and by 0.02 (0.01–0.03) with low γ at N = 100, with raw rates of up to 0.22 at N = 200 in Yule trees. Interestingly, PERMANOVA, GLM PCPS1 and the Mantel test became more conservative under signal in σ (by 0.005–0.030), and signal in maximum abundance (S2h) did not change the rejection rate of any test. With abundance data, the inflation of GLM PCPS2 was smaller (0.08, 0.06–0.09,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with incidence data, low γ reduced the power of GLM PCPS1 from 0.74 to 0.34 in S3b (contrast −0.40, 95% CI −0.45 to −0.34), with similar losses in S3a and S3σ, and that of the PCC from 0.98 to 0.73 (−0.25, −0.30 to −0.21). The Mantel test lost 0.05–0.14 at N = 100 and up to 0.23 at N = 50. In contrast, the power of PERMANOVA did not change with γ at N = 100 in S3b (0.01, −0.02 to 0.05), was lower with low γ at N = 50 (−0.03 to −0.17 across scenarios) and higher at N = 200 (+0.04 to +0.08). High imbalance reduced power by at most 0.09.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−0.06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replicates. Surprisingly, adding phylogenetic competition to mass effects partly restored the power of every test except the PCC;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lower CI bound exceeded 0.075 at N = 100, although some raw rates of GLM PCPS2 in S2σ and of the PCC in S2h exceeded that limit at N = 100 and, more often, at N = 200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(Appendix S2). Taken together, H4 was also supported for clade recovery, but only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eigenstructure of a phylogenetic matrix is set by the tree (Diniz-Filho et al., 1998), and in trees with long internal branches near the root a few deep splits probably dominate it, so the first PCPS axis and the leading eigenvectors of the PCC probably capture the deepest dichotomy even when the gradient sorts species along another one. This parallels the finding that a small number of phylogenetic eigenvectors may be insufficient to control phylogenetic autocorrelation in ecological analyses (Diniz-Filho et al., 2012). However, the Mantel test, which also uses the whole matrix</w:t>
      </w:r>
      <w:r>
        <w:t xml:space="preserve"> </w:t>
      </w:r>
      <m:oMath>
        <m:sSub>
          <m:e>
            <m:r>
              <m:t>D</m:t>
            </m:r>
          </m:e>
          <m:sub>
            <m:r>
              <m:t>P</m:t>
            </m:r>
          </m:sub>
        </m:sSub>
      </m:oMath>
      <w:r>
        <w:t xml:space="preserve">, lost up to 0.23, and we did not record the eigenvalue spectra of each replicate, so we cannot confirm this mechanism with our data.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Unfortunately, the empirical distribution of phylogenetic signal in niche breadth is unknown for most groups.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contrast, in spatially explicit landscapes mass effects let species dominate subregions instead of homogenizing the whole metacommunity (Thompson et al., 2020), and a spatially implicit resource-competition model failed to predict spatially explicit metacommunities at high dispersal (Ai &amp; Ellwood, 2022). Our uniform dispersal kernel therefore probably represents the most extreme case.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Under mass effects, competition pruned close relatives and reduced the Colless index of the analysed tree by about 75% relative to the pool, so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Accordingly, the competition–relatedness relationship was weak in vascular plants (Cahill et al., 2008), average fitness, but not stabilizing niche differences, showed phylogenetic structure in annual plants (Godoy et al., 2014), and competition can exclude distant relatives when fitness differences are phylogenetically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Node-based analyses of species distributions (Borregaard et al., 2014) follow a similar node-by-node logic and could be added to future comparisons. Thus, branch-wise methods seem to be the appropriate choice when the aim is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In addition, the share of variation on the first PCPS axis decreased rather than increased with low γ,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First, the grid had no level with γ &gt; 0. Second, Layer B had no spatial structure and used only incidence data and five cells of the grid. Third, we did not vary the number of sites or the length of the gradient, which also change power. Finally, the case study had 13–40 ponds and no significant association, so it illustrates how the methods behave with real data rather than validating them. To the best of our knowledge, and based on searches of the literature, this is the first simulation study that evaluates tests on phylogeny-weighted species composition across controlled gradients of branching times and imbalance, with both static and process-based metacommunities, and that compares them with branch-wise methods in locating the clade associated with a gradient. In summary, we recommend that empirical studies (i) report γ and the normalized Colless index of the analysed tree; (ii) not rely on a single test, since the ranking of the tests changed with tree shape, N and dispersal, and prefer PERMANOVA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2026-10-20T14:24:15Z</dcterms:created>
  <dcterms:modified xsi:type="dcterms:W3CDTF">2026-10-20T14:24:15Z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