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9.png" ContentType="image/png"/>
  <Override PartName="/word/media/rId20.png" ContentType="image/png"/>
  <Override PartName="/word/media/rId38.png" ContentType="image/png"/>
  <Override PartName="/word/media/rId43.png" ContentType="image/png"/>
  <Override PartName="/word/media/rId4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2026-10-19</w:t>
      </w:r>
    </w:p>
    <w:bookmarkStart w:id="36"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(Pybus and Harvey’s γ) and the imbalance of the topology (the Colless index), affects the type I error and the power of tests that relate the phylogenetic structure of metacommunities to an environmental gradient; (ii) to estimate how the same tests perform under different processes of metacommunity assembly, which neither the articles that proposed these tests nor later benchmarks evaluated (Duarte et al. 2016; Peres-Neto &amp; Kembel 2015); and (iii) to estimate how well ordination and factorization methods recover a clade associated with the gradient. We generated metacommunities in two layers (Fig. 1). Layer A follows the static protocol of Peres-Neto, Leibold and Dray (2012), which was also used to validate the tests we evaluated (Duarte et al. 2016; Peres-Neto &amp; Kembel 2015), so our results can be compared directly with the published ones. Layer B simulates metacommunity dynamics with the process-based framework of Thompson et al. (2020), in which species sorting, mass effects and competition emerge from local population dynamics and dispersal. The study was not preregistered; the design was written down before the main runs (docs/PLANO_SIMULACAO.md in the code repository), and we report the departures from that plan where they occur.</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the inference step uses the same two permutation null models for all tests on matrix P.</w:t>
            </w:r>
          </w:p>
          <w:bookmarkEnd w:id="23"/>
        </w:tc>
      </w:tr>
    </w:tbl>
    <w:bookmarkEnd w:id="24"/>
    <w:bookmarkStart w:id="25" w:name="tree-generation-and-the-tree-shape-grid"/>
    <w:p>
      <w:pPr>
        <w:pStyle w:val="Heading2"/>
      </w:pPr>
      <w:r>
        <w:t xml:space="preserve">Tree generation and the tree-shape grid</w:t>
      </w:r>
    </w:p>
    <w:p>
      <w:pPr>
        <w:pStyle w:val="FirstParagraph"/>
      </w:pPr>
      <w:r>
        <w:t xml:space="preserve">We controlled γ and the Colless index independently by generating topology and branching times from separate processes. The topology was drawn from Aldous’s β-splitting model [CITAR: Aldous 1996], in which β = 0 gives Yule trees and smaller values give increasingly imbalanced trees. Branching times were drawn from a pure-birth process in which each of the k lineages diversifies at rate k^c, so that c = 0 corresponds to a Yule process and c &lt; 0 to a slowdown in diversification, as under diversity dependence, which produces negative γ. Nodes were ordered by a uniform linear extension of the partial order of the tree, and root depth was set to one. Because γ depends only on the intervals between nodes and the Colless index only on the topology, this construction controls the two axes separately; this generator is our own design choice and not a published model.</w:t>
      </w:r>
    </w:p>
    <w:p>
      <w:pPr>
        <w:pStyle w:val="BodyText"/>
      </w:pPr>
      <w:r>
        <w:t xml:space="preserve">The levels of the grid were taken from the empirical distribution of tree shape in anurans. We pruned all clades with 40–250 tips from the time-calibrated species-level tree of Portik et al. (2023) and computed γ [CITAR: Pybus &amp; Harvey 2000] and the Colless index normalized against its Yule expectation with the R package treestats [CITAR: Janzen et al. 2024]. For each pool size N (50, 100 and 200 species, as in Duarte et al. 2016), γ took three levels (zero, as in a Yule tree; the median of the empirical clades; and their 10% quantile) and the Colless index took three levels (zero, as in a Yule tree; the median; and the 90% quantile). The resulting targets ranged from −3.79 to −8.92 for γ and from 0.94 to 2.98 for the Colless index (Table S1). We calibrated c and β for each N with curves of the mean statistic against the parameter and accepted a tree only when both statistics fell within 0.5 units of the targets of its cell, which gave acceptance rates of 9–25%. Every cell of the 3 × 3 grid could be filled, so the generator covers the whole empirical space of anuran tree shapes, and the Yule × Yule cell reproduces the trees used in previous validations (Duarte et al. 2016; Peres-Neto &amp; Kembel 2015). We drew 1,000 trees per cell and N, and replicate r of every scenario used tree r 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 E drawn from a uniform distribution between 0 and 100. The expected abundance of species j at site i followed a Gaussian response, L_ij = h_j exp[−(E_i − u_j)² / (2σ_j²)], and the observed abundance was drawn from a Poisson distribution with mean L_ij (Peres-Neto et al. 2012). The optimum u_j was simulated as a continuous trait on the tree under Brownian motion transformed by Pagel’s λ [CITAR: Pagel 1999] and rescaled to the interval [−1, 101]; niche breadth σ_j was drawn from a normal distribution with mean 10 and standard deviation 10, truncated at zero, and maximum abundance h_j from a uniform distribution between 0 and 30. A novelty of our design is that σ_j and h_j could also carry phylogenetic signal: in that case, we simulated a Brownian trait on the tree (λ = 1) and imposed on it the same marginal distribution by ranks, so that scenarios with and without signal differed only in how the values were arranged on the tree. Empty sites were removed and species absent from every site were pruned from the tree before analysis. We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because neither the original Julia code nor the R package mcomsimr carry a licence. At each time step, the expected abundance of species j at site i was its density-independent growth rate, a Gaussian function of the mismatch between u_j and E_i with breadth σ_j and maximum r_j, multiplied by its abundance and divided by one plus the sum of the competitive effects of all species, following a Beverton–Holt model. Abundances were then drawn from a Poisson distribution, each individual emigrated with probability a, and emigrants were redistributed among sites in proportion to the number of emigrants from the other sites. The environment was static and the sites had no spatial structure, as the dispersal kernel was uniform; this keeps sites exchangeable, so that the site shuffle remains a valid null model and spatial autocorrelation does not confound the phylogenetic tests. All species were seeded with Poisson(0.5) individuals per site every 10 steps during the first 100 steps, the dynamics ran for 1,000 steps, and the final state was analysed as incidence data. Maximum growth rate r_j, drawn between 2 and 8, took the role of h_j in the trait scenarios.</w:t>
      </w:r>
    </w:p>
    <w:p>
      <w:pPr>
        <w:pStyle w:val="BodyText"/>
      </w:pPr>
      <w:r>
        <w:t xml:space="preserve">We crossed two dispersal regimes with two competition structures, giving four archetypes. Dispersal was low (a = 0.01) in species sorting and high (a = 0.5) in mass effects. Competition was either intraspecific only or also interspecific and structured by phylogeny: interspecific coefficients were drawn from a uniform distribution between 0 and 0.1 (relative to an intraspecific coefficient of 1, both multiplied by 0.05) and assigned to species pairs by the rank of their phylogenetic similarity, so that close relatives competed more strongly. Because competition and dispersal remove species, the cell of the grid defined the tree of the regional pool rather than the tree of the analysed metacommunity. We calibrated the size of the pool for each archetype, scenario and N so that the mean number of species left after the dynamics was close to N, and drew the pool tree with the targets of its cell, recalibrating β and c for each pool size. Mass effects with phylogenetic competition could not reach N = 200, since pools of up to 2,900 species left only about 150 species, and this combination was dropped. Layer B used five cells of the grid (the four corners and the centre) and 1,000 replicates per combination, and we recorded the γ and the Colless index of both the pool tree and the analysed tree.</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(Table 1).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The estimand of every test was its rejection rate at α = 0.05: the type I error in S0–S2h and the power in S3a–S3σ. For aim (iii), the estimand was the probability that a method identifies a planted clade (see below).</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 P of phylogeny-weighted species composition (Pillar &amp; Duarte 2010; Duarte et al. 2016), or the phylogenetic eigenvectors, to the gradient. We computed P with phylogenetic fuzzy weighting and the square-rooted Bray–Curtis dissimilarity between sites (D_P), and tested its association with E with a permutational analysis of variance (PERMANOVA, the adonis statistic) and a Mantel test (Duarte et al. 2016). We also extracted the principal coordinates of phylogenetic structure (PCPS) from D_P and fitted a linear model of each of the first two axes on E (GLM PCPS1 and GLM PCPS2) and a redundancy analysis of both axes on E (RDA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and we report the largest of the two p-values (max test), which controls the type I error when either null hypothesis holds (Peres-Neto &amp; Kembel 2015; Duarte et al. 2016).</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 u_j = −1 + 102 Φ(z_j + δ I_j), where z_j are independent standard normal deviates, I_j indicates membership of the planted clade and δ is the shift;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For a given replicate, the planted clade, the optima and the gradient were the same across shifts and data types, so that only the factor of interest changed.</w:t>
      </w:r>
    </w:p>
    <w:p>
      <w:pPr>
        <w:pStyle w:val="BodyText"/>
      </w:pPr>
      <w:r>
        <w:t xml:space="preserve">We compared four methods. For PCPS, PCC and the evolutionary principal component analysis (evoPCA; Pavoine 2016), each method took the axis most correlated with E among its first four, and the score of each internal node was the absolute correlation between membership of its clade and the species scores on that axis: the correlations of the columns of P with the PCPS axis, which equal the species scores of the R package PCPS [CITAR: Debastiani &amp; Duarte 2014]; the values of the phylogenetic eigenvector; and the correlations of the species columns of the Hellinger-transformed table of evoPCA (R package adiv; [CITAR: Pavoine 2020, adiv]).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generalized algorithm, the deviance explained by the phylogenetic factor in a binomial model with incidence data or the variance explained by the isometric log-ratio balance with abundance data; we computed it for every node, which gives the same best split as the R package phylofactor while also ranking all nodes. A method recovered the clade when its best-scoring clade was the planted one (or its complement), and we also recorded the rank of the planted node and the Jaccard similarity between the best-scoring and the planted clades.</w:t>
      </w:r>
    </w:p>
    <w:bookmarkEnd w:id="31"/>
    <w:bookmarkStart w:id="32" w:name="X2522e64decf6525bb30723c7b80a6a0d51ddcf2"/>
    <w:p>
      <w:pPr>
        <w:pStyle w:val="Heading2"/>
      </w:pPr>
      <w:r>
        <w:t xml:space="preserve">Performance measures and Monte Carlo error</w:t>
      </w:r>
    </w:p>
    <w:p>
      <w:pPr>
        <w:pStyle w:val="FirstParagraph"/>
      </w:pPr>
      <w:r>
        <w:t xml:space="preserve">The performance measure of each test was its rejection rate across the 1,000 replicates of a condition, and the performance of each clade-recovery method was its proportion of hits. With K = 1,000 replicates, the Monte Carlo standard error of a rate p is [p(1 − p)/K]^½, which is 0.007 at p = 0.05 and at most 0.016 at p = 0.5, so a 95% Monte Carlo interval around the nominal level spans about ±0.014. We chose K so that this interval would fall within Bradley’s liberal criterion for acceptable type I error, [0.025, 0.075] [CITAR: Bradley 1978], and used 999 permutations so that p-values had a resolution of 0.001. We report the Monte Carlo standard error of every rate in the Supporting Information (Table S2), and the credible intervals of the formal models below include the binomial variation among replicates.</w:t>
      </w:r>
    </w:p>
    <w:bookmarkEnd w:id="32"/>
    <w:bookmarkStart w:id="33" w:name="X968b5b6f617a54290eb0a3f0f7090b7eeb8eddb"/>
    <w:p>
      <w:pPr>
        <w:pStyle w:val="Heading2"/>
      </w:pPr>
      <w:r>
        <w:t xml:space="preserve">Statistical models of the simulation results</w:t>
      </w:r>
    </w:p>
    <w:p>
      <w:pPr>
        <w:pStyle w:val="FirstParagraph"/>
      </w:pPr>
      <w:r>
        <w:t xml:space="preserve">We modelled the rates aggregated by condition with beta-binomial models in the R package brms [CITAR: Bürkner 2017] using cmdstanr [CITAR: Gabry et al., cmdstanr], with one model for the type I error and one for the power in each layer, and one for clade recovery. The plan was to treat γ and the Colless index as continuous covariates, but each cell of the grid has a single target per axis, and layer A did not store the shape of every tree, so a continuous term would only interpolate three points; we therefore entered the levels of γ and of the Colless index as factors, with their interaction, which estimates the full γ × imbalance surface without assuming its form. In Layer A, the shape effects could differ among tests and scenarios (which is what testing a nuisance effect that depends on tree shape requires) and with N and data type; the model was test × scenario × (γ + Colless) + test × (γ:Colless + N + data type) + test × (γ + Colless) × (N + data type), in the R formula notation. In Layer B, where only five cells were simulated, the cell entered as a five-level factor: test × archetype × (scenario + cell) + test × N × (archetype + scenario + cell). The clade-recovery model was method × (γ × depth + Colless + γ:Colless + shift + N + data type) + method × (γ + Colless) × (N + data type + shift). We first fitted quasibinomial generalized linear models to the same structures, which showed dispersion 2.2–14 times larger than binomial; the beta-binomial accounts for this extra variation with a single precision parameter φ, whereas a first version with an observation-level random effect hit the maximum tree depth of the sampler in almost every transition.</w:t>
      </w:r>
    </w:p>
    <w:p>
      <w:pPr>
        <w:pStyle w:val="BodyText"/>
      </w:pPr>
      <w:r>
        <w:t xml:space="preserve">Priors were declared explicitly on the logit scale: normal(0, 1.5) for all coefficients; normal(−2.9, 1.5) for the intercept of the type I models, centred on logit(0.05), and normal(0, 1.5) for the other intercepts; and gamma(2, 0.01) for φ, which is weakly informative around the values implied by the quasibinomial dispersion (φ of about 75–500). We ran four chains of 2,000 iterations (1,000 of warm-up) with adapt_delta = 0.95 and a maximum tree depth of 10, or 12 in the Layer B type I model, in which about 1% of the transitions hit depth 10. We checked convergence with the rank-normalized R̂, the bulk and tail effective sample sizes, the number of divergent transitions and the number of transitions at the maximum tree depth, and model fit with posterior predictive checks, both for each condition and for the sums over the conditions of each test, N and cell. We summarized the results as posterior rates and contrasts between tree shapes or archetypes, with medians and 95% credible intervals.</w:t>
      </w:r>
    </w:p>
    <w:bookmarkEnd w:id="33"/>
    <w:bookmarkStart w:id="34" w:name="regional-pools-as-an-empirical-reference"/>
    <w:p>
      <w:pPr>
        <w:pStyle w:val="Heading2"/>
      </w:pPr>
      <w:r>
        <w:t xml:space="preserve">Regional pools as an empirical reference</w:t>
      </w:r>
    </w:p>
    <w:p>
      <w:pPr>
        <w:pStyle w:val="FirstParagraph"/>
      </w:pPr>
      <w:r>
        <w:t xml:space="preserve">To show where real regional species pools fall in the grid of tree shapes, we assembled pools from 14 tadpole metacommunities compiled from the literature and from unpublished data (Box 1). Species names were harmonized with the Amphibian Species of the World using the R package AmphiNom [CITAR: Liedtke 2019; Frost 2025, ASW], undetermined taxa were excluded, and the remaining 123 species were matched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w:t>
      </w:r>
    </w:p>
    <w:bookmarkEnd w:id="34"/>
    <w:bookmarkStart w:id="35" w:name="implementation-and-reproducibility"/>
    <w:p>
      <w:pPr>
        <w:pStyle w:val="Heading2"/>
      </w:pPr>
      <w:r>
        <w:t xml:space="preserve">Implementation and reproducibility</w:t>
      </w:r>
    </w:p>
    <w:p>
      <w:pPr>
        <w:pStyle w:val="FirstParagraph"/>
      </w:pPr>
      <w:r>
        <w:t xml:space="preserve">All analyses were run in R v. 4.6.1 [CITAR: R Core Team 2026], with the package versions recorded in the renv lockfile of the repository [CITAR: renv]. Trees were handled with ape [CITAR: Paradis &amp; Schliep 2019], permutation tests were written for efficiency and checked against vegan and PCPS [CITAR: Oksanen et al., vegan; Debastiani &amp; Duarte 2014], and the simulations of Layer A and Layer B were orchestrated with targets and crew [CITAR: Landau 2021] in a Docker image on cloud instances, with one random seed per branch of the pipeline; the clade-recovery runs used one seed per tree, depth and replicate. Code is available at [CITAR: repository and Zenodo DOI], together with the rates aggregated by condition, which reproduce every table and figure without rerunning the simulations.</w:t>
      </w:r>
    </w:p>
    <w:bookmarkEnd w:id="35"/>
    <w:bookmarkEnd w:id="36"/>
    <w:bookmarkStart w:id="58" w:name="results"/>
    <w:p>
      <w:pPr>
        <w:pStyle w:val="Heading1"/>
      </w:pPr>
      <w:r>
        <w:t xml:space="preserve">Results</w:t>
      </w:r>
    </w:p>
    <w:bookmarkStart w:id="37" w:name="validation"/>
    <w:p>
      <w:pPr>
        <w:pStyle w:val="Heading2"/>
      </w:pPr>
      <w:r>
        <w:t xml:space="preserve">Validation</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68 of 72 cells, which is about the number expected by chance when comparing some 60 rates at the 95% level, and the mean adonis R² and Mantel ρ agreed to the second decimal place. The PCC matched the published rates in the scenarios that do not depend on the tree; its power was slightly lower than published, but it varied between 0.71 and 0.93 among 20 Yule trees, and the published values sit at the upper end of that range, as expected from a single favourable tree.</w:t>
      </w:r>
    </w:p>
    <w:bookmarkEnd w:id="37"/>
    <w:bookmarkStart w:id="42" w:name="X6fda0e17f756476fcb0af05453767d4dea2fefb"/>
    <w:p>
      <w:pPr>
        <w:pStyle w:val="Heading2"/>
      </w:pPr>
      <w:r>
        <w:t xml:space="preserve">Type I error under tree shape and nuisance structure</w:t>
      </w:r>
    </w:p>
    <w:p>
      <w:pPr>
        <w:pStyle w:val="FirstParagraph"/>
      </w:pPr>
      <w:r>
        <w:t xml:space="preserve">Tree imbalance did not affect the type I error of any test. In all 75 combinations of test, null scenario and N, the difference between high and Yule Colless in the distance of the type I error from the nominal level was within ±0.011, and no credible interval excluded zero, with incidence or abundance data (</w:t>
      </w:r>
      <w:hyperlink w:anchor="fig-type1">
        <w:r>
          <w:rPr>
            <w:rStyle w:val="Hyperlink"/>
          </w:rPr>
          <w:t xml:space="preserve">Figure 2</w:t>
        </w:r>
      </w:hyperlink>
      <w:r>
        <w:t xml:space="preserve">). Under phylogenetic signal in the optima but an independent gradient (S0 and S1), all tests were conservative, and four of them became more conservative in trees with low γ (by 0.011–0.019 in S0).</w:t>
      </w:r>
    </w:p>
    <w:p>
      <w:pPr>
        <w:pStyle w:val="BodyText"/>
      </w:pPr>
      <w:r>
        <w:t xml:space="preserve">Phylogenetic signal in niche breadth inflated the type I error of only two tests. Compared with the same scenario without signal (S2), signal in σ (S2σ) increased the rejection rate of GLM PCPS2 by 0.03 in Yule trees and by 0.09, 0.11 and 0.16 with low γ at N = 50, 100 and 200, reaching 0.164 at N = 100 (</w:t>
      </w:r>
      <w:hyperlink w:anchor="fig-type1">
        <w:r>
          <w:rPr>
            <w:rStyle w:val="Hyperlink"/>
          </w:rPr>
          <w:t xml:space="preserve">Figure 2</w:t>
        </w:r>
      </w:hyperlink>
      <w:r>
        <w:t xml:space="preserve">). The PCC was also inflated (+0.045 in Yule trees), but less so with low γ (+0.02), although the credible intervals of the two contrasts overlapped. Interestingly, PERMANOVA, GLM PCPS1 and the Mantel test became more conservative under signal in σ (by 0.01–0.025), and signal in maximum abundance (S2h) did not change the rejection rate of any test. Therefore,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bookmarkEnd w:id="42"/>
    <w:bookmarkStart w:id="47" w:name="power-and-tree-shape"/>
    <w:p>
      <w:pPr>
        <w:pStyle w:val="Heading2"/>
      </w:pPr>
      <w:r>
        <w:t xml:space="preserve">Power and tree shape</w:t>
      </w:r>
    </w:p>
    <w:p>
      <w:pPr>
        <w:pStyle w:val="FirstParagraph"/>
      </w:pPr>
      <w:r>
        <w:t xml:space="preserve">The distribution of branching times, but not imbalance, changed the power of most tests (</w:t>
      </w:r>
      <w:hyperlink w:anchor="fig-power">
        <w:r>
          <w:rPr>
            <w:rStyle w:val="Hyperlink"/>
          </w:rPr>
          <w:t xml:space="preserve">Figure 3</w:t>
        </w:r>
      </w:hyperlink>
      <w:r>
        <w:t xml:space="preserve">). At N = 100 with incidence data, low γ reduced the power of GLM PCPS1 from 0.735 to 0.336 in S3b, and similarly in S3a and S3σ (contrasts of −0.32 to −0.46 across N), and the power of the PCC from 0.970 to 0.738 in S3b. The Mantel test lost 0.09–0.18, whereas the power of PERMANOVA was almost insensitive to γ (0.811 in Yule trees and 0.824 with low γ in S3b) and, at N = 200, slightly higher with low γ (+0.04 to +0.08). High imbalance reduced power by at most 0.08. As a result, the rank of the tests changed with tree shape: in S3b, the PCC was the most powerful test in Yule trees and the third with low γ, and in S3a GLM PCPS1 fell from second to fourth. The effect of γ also changed with N in opposite directions among tests, since the loss of GLM PCPS1 increased with N whereas that of the PCC in S3b decreased from 0.48 at N = 50 to 0.10 at N = 200.</w:t>
      </w:r>
    </w:p>
    <w:tbl>
      <w:tblPr>
        <w:tblStyle w:val="Table"/>
        <w:tblW w:type="pct" w:w="5000"/>
        <w:tblLayout w:type="fixed"/>
        <w:tblLook w:firstRow="0" w:lastRow="0" w:firstColumn="0" w:lastColumn="0" w:noHBand="0" w:noVBand="0" w:val="0000"/>
      </w:tblPr>
      <w:tblGrid>
        <w:gridCol w:w="7920"/>
      </w:tblGrid>
      <w:tr>
        <w:tc>
          <w:tcPr/>
          <w:bookmarkStart w:id="46" w:name="fig-power"/>
          <w:p>
            <w:pPr>
              <w:pStyle w:val="Compact"/>
              <w:jc w:val="center"/>
            </w:pPr>
            <w:r>
              <w:drawing>
                <wp:inline>
                  <wp:extent cx="5753100" cy="3044241"/>
                  <wp:effectExtent b="0" l="0" r="0" t="0"/>
                  <wp:docPr descr="" title="" id="44" name="Picture"/>
                  <a:graphic>
                    <a:graphicData uri="http://schemas.openxmlformats.org/drawingml/2006/picture">
                      <pic:pic>
                        <pic:nvPicPr>
                          <pic:cNvPr descr="figures/fig3_power.png" id="45" name="Picture"/>
                          <pic:cNvPicPr>
                            <a:picLocks noChangeArrowheads="1" noChangeAspect="1"/>
                          </pic:cNvPicPr>
                        </pic:nvPicPr>
                        <pic:blipFill>
                          <a:blip r:embed="rId43"/>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6"/>
        </w:tc>
      </w:tr>
    </w:tbl>
    <w:bookmarkEnd w:id="47"/>
    <w:bookmarkStart w:id="52" w:name="X72ad4947fb5ab40bd19643bc3dd668044f061db"/>
    <w:p>
      <w:pPr>
        <w:pStyle w:val="Heading2"/>
      </w:pPr>
      <w:r>
        <w:t xml:space="preserve">Performance under metacommunity assembly processes</w:t>
      </w:r>
    </w:p>
    <w:p>
      <w:pPr>
        <w:pStyle w:val="FirstParagraph"/>
      </w:pPr>
      <w:r>
        <w:t xml:space="preserve">The assembly process mattered more than tree shape for power (</w:t>
      </w:r>
      <w:hyperlink w:anchor="fig-layerB">
        <w:r>
          <w:rPr>
            <w:rStyle w:val="Hyperlink"/>
          </w:rPr>
          <w:t xml:space="preserve">Figure 4</w:t>
        </w:r>
      </w:hyperlink>
      <w:r>
        <w:t xml:space="preserve">). Under species sorting without competition, power at N = 100 in S3b ranged from 0.87 (PERMANOVA) and 0.92 (Mantel) to 0.96 (PCC) in Yule pool trees, a level similar to that of Layer A. Mass effects reduced the power of every test except GLM PCPS2: relative to species sorting, PERMANOVA lost 0.62 in Yule trees and 0.72 with low γ, the Mantel test 0.75 and 0.79, RDA PCPS 0.58 and 0.55, GLM PCPS1 0.55 and 0.27, and the PCC 0.93 and 0.76, so that the PCC detected the phylogenetic signal in almost no replicate. Surprisingly, adding phylogenetic competition to mass effects partly restored power (for instance, PERMANOVA lost 0.46 instead of 0.62 in Yule trees), whereas phylogenetic competition under species sorting changed power by −0.12 to +0.11. This last contrast should be read with care, since competition prunes close relatives and makes the analysed tree differ from the pool tree, so the effect of the process cannot be separated from a change of tree shape. Under the null hypothesis, no condition at N = 100 had a credible interval above 0.075 (largest posterior median 0.088), but raw rejection rates exceeded that limit at N = 200 for the PCC in S2h (0.111 under species sorting and 0.143 under mass effects, in Yule trees) and for GLM PCPS2 in S2σ under species sorting (0.104–0.129).</w:t>
      </w:r>
    </w:p>
    <w:tbl>
      <w:tblPr>
        <w:tblStyle w:val="Table"/>
        <w:tblW w:type="pct" w:w="5000"/>
        <w:tblLayout w:type="fixed"/>
        <w:tblLook w:firstRow="0" w:lastRow="0" w:firstColumn="0" w:lastColumn="0" w:noHBand="0" w:noVBand="0" w:val="0000"/>
      </w:tblPr>
      <w:tblGrid>
        <w:gridCol w:w="7920"/>
      </w:tblGrid>
      <w:tr>
        <w:tc>
          <w:tcPr/>
          <w:bookmarkStart w:id="51" w:name="fig-layerB"/>
          <w:p>
            <w:pPr>
              <w:pStyle w:val="Compact"/>
              <w:jc w:val="center"/>
            </w:pPr>
            <w:r>
              <w:drawing>
                <wp:inline>
                  <wp:extent cx="5753100" cy="3723605"/>
                  <wp:effectExtent b="0" l="0" r="0" t="0"/>
                  <wp:docPr descr="" title="" id="49" name="Picture"/>
                  <a:graphic>
                    <a:graphicData uri="http://schemas.openxmlformats.org/drawingml/2006/picture">
                      <pic:pic>
                        <pic:nvPicPr>
                          <pic:cNvPr descr="figures/fig4_layerB_power.png" id="50" name="Picture"/>
                          <pic:cNvPicPr>
                            <a:picLocks noChangeArrowheads="1" noChangeAspect="1"/>
                          </pic:cNvPicPr>
                        </pic:nvPicPr>
                        <pic:blipFill>
                          <a:blip r:embed="rId48"/>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51"/>
        </w:tc>
      </w:tr>
    </w:tbl>
    <w:bookmarkEnd w:id="52"/>
    <w:bookmarkStart w:id="57" w:name="recovery-of-a-planted-clade-1"/>
    <w:p>
      <w:pPr>
        <w:pStyle w:val="Heading2"/>
      </w:pPr>
      <w:r>
        <w:t xml:space="preserve">Recovery of a planted clade</w:t>
      </w:r>
    </w:p>
    <w:p>
      <w:pPr>
        <w:pStyle w:val="FirstParagraph"/>
      </w:pPr>
      <w:r>
        <w:t xml:space="preserve">evoPCA and phylofactorization recovered the planted clade far more often than PCPS and PCC (</w:t>
      </w:r>
      <w:hyperlink w:anchor="fig-clade">
        <w:r>
          <w:rPr>
            <w:rStyle w:val="Hyperlink"/>
          </w:rPr>
          <w:t xml:space="preserve">Figure 5</w:t>
        </w:r>
      </w:hyperlink>
      <w:r>
        <w:t xml:space="preserve">). With a shift of 2 and incidence data, evoPCA and phylofactorization identified the planted node in 0.44–0.88 of the replicates, depending on N and depth, and recovered basal clades more often than recent ones (0.79 and 0.66 at N = 100). PCPS recovered the clade in 0.12–0.42 of the replicates and PCC in only 0.08–0.12, probably because its four leading eigenvectors follow the deepest splits of the tree.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In contrast, the recovery of evoPCA and phylofactorization did not change with γ, and high imbalance reduced recovery by 0.02–0.07 in all methods. Interestingly, low γ improved PCPS for recent as well as for basal clades, so the advantage of basal clades seems to be a matter of degree rather than a different behaviour of the method. With abundance data, the patterns were the same, with lower recovery for the compositional phylofactorization (0.68 and 0.56 for old and recent clades at N = 100).</w:t>
      </w:r>
    </w:p>
    <w:tbl>
      <w:tblPr>
        <w:tblStyle w:val="Table"/>
        <w:tblW w:type="pct" w:w="5000"/>
        <w:tblLayout w:type="fixed"/>
        <w:tblLook w:firstRow="0" w:lastRow="0" w:firstColumn="0" w:lastColumn="0" w:noHBand="0" w:noVBand="0" w:val="0000"/>
      </w:tblPr>
      <w:tblGrid>
        <w:gridCol w:w="7920"/>
      </w:tblGrid>
      <w:tr>
        <w:tc>
          <w:tcPr/>
          <w:bookmarkStart w:id="56" w:name="fig-clade"/>
          <w:p>
            <w:pPr>
              <w:pStyle w:val="Compact"/>
              <w:jc w:val="center"/>
            </w:pPr>
            <w:r>
              <w:drawing>
                <wp:inline>
                  <wp:extent cx="5416061" cy="2886935"/>
                  <wp:effectExtent b="0" l="0" r="0" t="0"/>
                  <wp:docPr descr="" title="" id="54" name="Picture"/>
                  <a:graphic>
                    <a:graphicData uri="http://schemas.openxmlformats.org/drawingml/2006/picture">
                      <pic:pic>
                        <pic:nvPicPr>
                          <pic:cNvPr descr="figures/fig5_clade.png" id="55" name="Picture"/>
                          <pic:cNvPicPr>
                            <a:picLocks noChangeArrowheads="1" noChangeAspect="1"/>
                          </pic:cNvPicPr>
                        </pic:nvPicPr>
                        <pic:blipFill>
                          <a:blip r:embed="rId53"/>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only PCPS changes markedly with γ, whereas evoPCA and phylofactorization recover the clade at a similar rate in every cell.</w:t>
            </w:r>
          </w:p>
          <w:bookmarkEnd w:id="56"/>
        </w:tc>
      </w:tr>
    </w:tbl>
    <w:p>
      <w:pPr>
        <w:pStyle w:val="BodyText"/>
      </w:pPr>
      <w:r>
        <w:t xml:space="preserve">All models converged (R̂ ≤ 1.01, bulk effective sample size ≥ 835, tail effective sample size ≥ 1,232, no divergent transitions and no transition at the maximum tree depth), and the posterior predictive intervals of 95% contained 97–98% of the observed rates of each condition (Table S3).</w:t>
      </w:r>
    </w:p>
    <w:bookmarkEnd w:id="57"/>
    <w:bookmarkEnd w:id="58"/>
    <w:bookmarkStart w:id="63" w:name="X86b424abbb3574ac0aa0caa1d4fc972db0dba82"/>
    <w:p>
      <w:pPr>
        <w:pStyle w:val="Heading1"/>
      </w:pPr>
      <w:r>
        <w:t xml:space="preserve">Box 1. Where do real regional pools fall in the tree-shape grid?</w:t>
      </w:r>
    </w:p>
    <w:p>
      <w:pPr>
        <w:pStyle w:val="FirstParagraph"/>
      </w:pPr>
      <w:r>
        <w:t xml:space="preserve">The three regional pools of anurans fell inside the grid of tree shapes (</w:t>
      </w:r>
      <w:hyperlink w:anchor="fig-box1">
        <w:r>
          <w:rPr>
            <w:rStyle w:val="Hyperlink"/>
          </w:rPr>
          <w:t xml:space="preserve">Figure 6</w:t>
        </w:r>
      </w:hyperlink>
      <w:r>
        <w:t xml:space="preserve">). The Atlantic Forest pool (60 species) had γ = −2.51 and a normalized Colless index of 0.67; adding the metacommunities of the interior of São Paulo (81 species) lowered γ to −3.16 with a similar Colless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since the bootstrap trees have deeper roots. As a consequence, the conditions under which we found the largest effects of tree shape, the low-γ cells, are more extreme than these pools, but within the range of the anuran clades used to define the grid. [The application of the methods to the 14 empirical metacommunities will complete this box.]</w:t>
      </w:r>
    </w:p>
    <w:tbl>
      <w:tblPr>
        <w:tblStyle w:val="Table"/>
        <w:tblW w:type="pct" w:w="5000"/>
        <w:tblLayout w:type="fixed"/>
        <w:tblLook w:firstRow="0" w:lastRow="0" w:firstColumn="0" w:lastColumn="0" w:noHBand="0" w:noVBand="0" w:val="0000"/>
      </w:tblPr>
      <w:tblGrid>
        <w:gridCol w:w="7920"/>
      </w:tblGrid>
      <w:tr>
        <w:tc>
          <w:tcPr/>
          <w:bookmarkStart w:id="62" w:name="fig-box1"/>
          <w:p>
            <w:pPr>
              <w:pStyle w:val="Compact"/>
              <w:jc w:val="center"/>
            </w:pPr>
            <w:r>
              <w:drawing>
                <wp:inline>
                  <wp:extent cx="4890135" cy="3261010"/>
                  <wp:effectExtent b="0" l="0" r="0" t="0"/>
                  <wp:docPr descr="" title="" id="60" name="Picture"/>
                  <a:graphic>
                    <a:graphicData uri="http://schemas.openxmlformats.org/drawingml/2006/picture">
                      <pic:pic>
                        <pic:nvPicPr>
                          <pic:cNvPr descr="figures/box1_pools.png" id="61" name="Picture"/>
                          <pic:cNvPicPr>
                            <a:picLocks noChangeArrowheads="1" noChangeAspect="1"/>
                          </pic:cNvPicPr>
                        </pic:nvPicPr>
                        <pic:blipFill>
                          <a:blip r:embed="rId59"/>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(coloured points, point-estimate tree; bars, 2.5–97.5% quantiles across 100 bootstrap trees, centred on their median) against the targets of the simulation grid (open symbols, by N) and the anuran clades with 40–250 tips of Portik et al. (2023) (grey points). Notice that the pools fall inside the grid and close to its Yule and median levels.</w:t>
            </w:r>
          </w:p>
          <w:bookmarkEnd w:id="62"/>
        </w:tc>
      </w:tr>
    </w:tbl>
    <w:bookmarkEnd w:id="63"/>
    <w:bookmarkStart w:id="64" w:name="references-verified"/>
    <w:p>
      <w:pPr>
        <w:pStyle w:val="Heading1"/>
      </w:pPr>
      <w:r>
        <w:t xml:space="preserve">References (verified)</w:t>
      </w:r>
    </w:p>
    <w:p>
      <w:pPr>
        <w:pStyle w:val="FirstParagraph"/>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w:t>
      </w:r>
    </w:p>
    <w:p>
      <w:pPr>
        <w:pStyle w:val="BodyText"/>
      </w:pPr>
      <w:r>
        <w:t xml:space="preserve">Pavoine, S. (2016). A guide through a family of phylogenetic dissimilarity measures among sites.</w:t>
      </w:r>
      <w:r>
        <w:t xml:space="preserve"> </w:t>
      </w:r>
      <w:r>
        <w:rPr>
          <w:i/>
          <w:iCs/>
        </w:rPr>
        <w:t xml:space="preserve">Oikos</w:t>
      </w:r>
      <w:r>
        <w:t xml:space="preserve">, 125, 1719–1732.</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93(sp8), [CITAR: páginas não verificadas].</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w:t>
      </w:r>
    </w:p>
    <w:bookmarkEnd w:id="6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2026-10-20T03:15:55Z</dcterms:created>
  <dcterms:modified xsi:type="dcterms:W3CDTF">2026-10-20T03:15:55Z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Methods and Results (draft)</vt:lpwstr>
  </property>
  <property fmtid="{D5CDD505-2E9C-101B-9397-08002B2CF9AE}" pid="11" name="toc-title">
    <vt:lpwstr>Table of contents</vt:lpwstr>
  </property>
</Properties>
</file>