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9.png" ContentType="image/png"/>
  <Override PartName="/word/media/rId20.png" ContentType="image/png"/>
  <Override PartName="/word/media/rId38.png" ContentType="image/png"/>
  <Override PartName="/word/media/rId43.png" ContentType="image/png"/>
  <Override PartName="/word/media/rId48.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Methods and Results (draft)</w:t>
      </w:r>
    </w:p>
    <w:p>
      <w:pPr>
        <w:pStyle w:val="Author"/>
      </w:pPr>
      <w:r>
        <w:t xml:space="preserve">Diogo B. Provete</w:t>
      </w:r>
    </w:p>
    <w:p>
      <w:pPr>
        <w:pStyle w:val="Date"/>
      </w:pPr>
      <w:r>
        <w:t xml:space="preserve">2026-10-19</w:t>
      </w:r>
    </w:p>
    <w:bookmarkStart w:id="36" w:name="methods"/>
    <w:p>
      <w:pPr>
        <w:pStyle w:val="Heading1"/>
      </w:pPr>
      <w:r>
        <w:t xml:space="preserve">Methods</w:t>
      </w:r>
    </w:p>
    <w:bookmarkStart w:id="24" w:name="overview-of-the-simulation-study"/>
    <w:p>
      <w:pPr>
        <w:pStyle w:val="Heading2"/>
      </w:pPr>
      <w:r>
        <w:t xml:space="preserve">Overview of the simulation study</w:t>
      </w:r>
    </w:p>
    <w:p>
      <w:pPr>
        <w:pStyle w:val="FirstParagraph"/>
      </w:pPr>
      <w:r>
        <w:t xml:space="preserve">We designed the simulation study following the aims, data-generating mechanisms, estimands, methods and performance measures structure recommended for simulation studies that evaluate statistical methods (DiRenzo et al. 2023; Williams et al. 2024). The study had three aims: (i) to estimate how the shape of the phylogenetic tree, measured as the distribution of branching times (Pybus and Harvey’s γ) and the imbalance of the topology (the Colless index), affects the type I error and the power of tests that relate the phylogenetic structure of metacommunities to an environmental gradient; (ii) to estimate how the same tests perform under different processes of metacommunity assembly, which neither the articles that proposed these tests nor later benchmarks evaluated (Duarte et al. 2016; Peres-Neto &amp; Kembel 2015); and (iii) to estimate how well ordination and factorization methods recover a clade associated with the gradient. We generated metacommunities in two layers (Fig. 1). Layer A follows the static protocol of Peres-Neto, Leibold and Dray (2012), which was also used to validate the tests we evaluated (Duarte et al. 2016; Peres-Neto &amp; Kembel 2015), so our results can be compared directly with the published ones. Layer B simulates metacommunity dynamics with the process-based framework of Thompson et al. (2020), in which species sorting, mass effects and competition emerge from local population dynamics and dispersal. The study was not preregistered; the design was written down before the main runs (docs/PLANO_SIMULACAO.md in the code repository), and we report the departures from that plan where they occur.</w:t>
      </w:r>
    </w:p>
    <w:tbl>
      <w:tblPr>
        <w:tblStyle w:val="Table"/>
        <w:tblW w:type="pct" w:w="5000"/>
        <w:tblLayout w:type="fixed"/>
        <w:tblLook w:firstRow="0" w:lastRow="0" w:firstColumn="0" w:lastColumn="0" w:noHBand="0" w:noVBand="0" w:val="0000"/>
      </w:tblPr>
      <w:tblGrid>
        <w:gridCol w:w="7920"/>
      </w:tblGrid>
      <w:tr>
        <w:tc>
          <w:tcPr/>
          <w:bookmarkStart w:id="23" w:name="fig-design"/>
          <w:p>
            <w:pPr>
              <w:pStyle w:val="Compact"/>
              <w:jc w:val="center"/>
            </w:pPr>
            <w:r>
              <w:drawing>
                <wp:inline>
                  <wp:extent cx="5753100" cy="2622454"/>
                  <wp:effectExtent b="0" l="0" r="0" t="0"/>
                  <wp:docPr descr="" title="" id="21" name="Picture"/>
                  <a:graphic>
                    <a:graphicData uri="http://schemas.openxmlformats.org/drawingml/2006/picture">
                      <pic:pic>
                        <pic:nvPicPr>
                          <pic:cNvPr descr="figures/fig1_schematic.png" id="22" name="Picture"/>
                          <pic:cNvPicPr>
                            <a:picLocks noChangeArrowheads="1" noChangeAspect="1"/>
                          </pic:cNvPicPr>
                        </pic:nvPicPr>
                        <pic:blipFill>
                          <a:blip r:embed="rId20"/>
                          <a:stretch>
                            <a:fillRect/>
                          </a:stretch>
                        </pic:blipFill>
                        <pic:spPr bwMode="auto">
                          <a:xfrm>
                            <a:off x="0" y="0"/>
                            <a:ext cx="5753100" cy="2622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the inference step uses the same two permutation null models for all tests on matrix P.</w:t>
            </w:r>
          </w:p>
          <w:bookmarkEnd w:id="23"/>
        </w:tc>
      </w:tr>
    </w:tbl>
    <w:bookmarkEnd w:id="24"/>
    <w:bookmarkStart w:id="25" w:name="tree-generation-and-the-tree-shape-grid"/>
    <w:p>
      <w:pPr>
        <w:pStyle w:val="Heading2"/>
      </w:pPr>
      <w:r>
        <w:t xml:space="preserve">Tree generation and the tree-shape grid</w:t>
      </w:r>
    </w:p>
    <w:p>
      <w:pPr>
        <w:pStyle w:val="FirstParagraph"/>
      </w:pPr>
      <w:r>
        <w:t xml:space="preserve">We controlled γ and the Colless index independently by generating topology and branching times from separate processes. The topology was drawn from Aldous’s β-splitting model [CITAR: Aldous 1996], in which β = 0 gives Yule trees and smaller values give increasingly imbalanced trees. Branching times were drawn from a pure-birth process in which each of the k lineages diversifies at rate k^c, so that c = 0 corresponds to a Yule process and c &lt; 0 to a slowdown in diversification, as under diversity dependence, which produces negative γ. Nodes were ordered by a uniform linear extension of the partial order of the tree, and root depth was set to one. Because γ depends only on the intervals between nodes and the Colless index only on the topology, this construction controls the two axes separately; this generator is our own design choice and not a published model.</w:t>
      </w:r>
    </w:p>
    <w:p>
      <w:pPr>
        <w:pStyle w:val="BodyText"/>
      </w:pPr>
      <w:r>
        <w:t xml:space="preserve">The levels of the grid were taken from the empirical distribution of tree shape in anurans. We pruned all clades with 40–250 tips from the time-calibrated species-level tree of Portik et al. (2023) and computed γ [CITAR: Pybus &amp; Harvey 2000] and the Colless index normalized against its Yule expectation with the R package treestats [CITAR: Janzen et al. 2024]. For each pool size N (50, 100 and 200 species, as in Duarte et al. 2016), γ took three levels (zero, as in a Yule tree; the median of the empirical clades; and their 10% quantile) and the Colless index took three levels (zero, as in a Yule tree; the median; and the 90% quantile). The resulting targets ranged from −3.79 to −8.92 for γ and from 0.94 to 2.98 for the Colless index (Table S1). We calibrated c and β for each N with curves of the mean statistic against the parameter and accepted a tree only when both statistics fell within 0.5 units of the targets of its cell, which gave acceptance rates of 9–25%. Every cell of the 3 × 3 grid could be filled, so the grid spans the empirical range between the 10% and 90% quantiles, although it has no level with γ &gt; 0, and the Yule × Yule cell approximates the trees used in previous validations (Duarte et al. 2016; Peres-Neto &amp; Kembel 2015), since the acceptance window truncates the Yule distribution. We drew 1,000 trees per cell and N, and replicate r of every scenario used tree r of its cell, so that the scenarios were paired by tree.</w:t>
      </w:r>
    </w:p>
    <w:bookmarkEnd w:id="25"/>
    <w:bookmarkStart w:id="26" w:name="layer-a-static-metacommunities"/>
    <w:p>
      <w:pPr>
        <w:pStyle w:val="Heading2"/>
      </w:pPr>
      <w:r>
        <w:t xml:space="preserve">Layer A: static metacommunities</w:t>
      </w:r>
    </w:p>
    <w:p>
      <w:pPr>
        <w:pStyle w:val="FirstParagraph"/>
      </w:pPr>
      <w:r>
        <w:t xml:space="preserve">Each metacommunity had 100 sites along an environmental gradient E drawn from a uniform distribution between 0 and 100. The expected abundance of species j at site i followed a Gaussian response, L_ij = h_j exp[−(E_i − u_j)² / (2σ_j²)], and the observed abundance was drawn from a Poisson distribution with mean L_ij (Peres-Neto et al. 2012). The optimum u_j was simulated as a continuous trait on the tree under Brownian motion transformed by Pagel’s λ [CITAR: Pagel 1999] and rescaled to the interval [−1, 101]; niche breadth σ_j was drawn from a normal distribution with mean 10 and standard deviation 10, truncated at zero, and maximum abundance h_j from a uniform distribution between 0 and 30. A novelty of our design is that σ_j and h_j could also carry phylogenetic signal: in that case, we simulated a Brownian trait on the tree (λ = 1) and imposed on it the same marginal distribution by ranks, so that scenarios with and without signal differed only in how the values were arranged on the tree. Empty sites were removed and species absent from every site were pruned from the tree before analysis. We analysed both incidence and abundance data.</w:t>
      </w:r>
    </w:p>
    <w:bookmarkEnd w:id="26"/>
    <w:bookmarkStart w:id="27"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because neither the original Julia code nor the R package mcomsimr carry a licence. At each time step, the expected abundance of species j at site i was its density-independent growth rate, a Gaussian function of the mismatch between u_j and E_i with breadth σ_j and maximum r_j, multiplied by its abundance and divided by one plus the sum of the competitive effects of all species, following a Beverton–Holt model. Abundances were then drawn from a Poisson distribution, each individual emigrated with probability a, and emigrants were redistributed among sites in proportion to the number of emigrants from the other sites. The environment was static and the sites had no spatial structure, as the dispersal kernel was uniform; this keeps sites exchangeable, so that the site shuffle remains a valid null model and spatial autocorrelation does not confound the phylogenetic tests. All species were seeded with Poisson(0.5) individuals per site every 10 steps during the first 100 steps, the dynamics ran for 1,000 steps, and the final state was analysed as incidence data. Maximum growth rate r_j, drawn from a uniform distribution between 2 and 8, took the role of h_j in the trait scenarios.</w:t>
      </w:r>
    </w:p>
    <w:p>
      <w:pPr>
        <w:pStyle w:val="BodyText"/>
      </w:pPr>
      <w:r>
        <w:t xml:space="preserve">We crossed two dispersal regimes with two competition structures, giving four archetypes. Dispersal was low (a = 0.01) in species sorting and high (a = 0.5) in mass effects. Competition was either intraspecific only or also interspecific and structured by phylogeny: interspecific coefficients were drawn from a uniform distribution between 0 and 0.1 (relative to an intraspecific coefficient of 1, both multiplied by 0.05) and assigned to species pairs by the rank of their phylogenetic similarity, so that close relatives competed more strongly. Because competition and dispersal remove species, the cell of the grid defined the tree of the regional pool rather than the tree of the analysed metacommunity. We calibrated the size of the pool for each archetype, scenario and N so that the mean number of species left after the dynamics was close to N, and drew the pool tree with the targets of its cell, recalibrating β and c for each pool size. Mass effects with phylogenetic competition could not reach N = 200, since pools of up to 2,900 species left only about 150 species, and this combination was dropped. Layer B used five cells of the grid (the four corners and the centre) and 1,000 replicates per combination, and we recorded the γ and the Colless index of both the pool tree and the analysed tree.</w:t>
      </w:r>
    </w:p>
    <w:bookmarkEnd w:id="27"/>
    <w:bookmarkStart w:id="29" w:name="scenarios-and-estimands"/>
    <w:p>
      <w:pPr>
        <w:pStyle w:val="Heading2"/>
      </w:pPr>
      <w:r>
        <w:t xml:space="preserve">Scenarios and estimands</w:t>
      </w:r>
    </w:p>
    <w:p>
      <w:pPr>
        <w:pStyle w:val="FirstParagraph"/>
      </w:pPr>
      <w:r>
        <w:t xml:space="preserve">The eight trait scenarios were the same in both layers (Table 1). In S0 and S1, we analysed a gradient independent of the one that generated the data, with species optima without (S0) or with (S1) phylogenetic signal, so any association between phylogenetic structure and the analysed gradient arises by chance. Scenarios S2, S2σ and S2h used the gradient that generated the data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scenarios under the alternative hypothesis had optima with intermediate (S3a, λ = 0.5) or full (S3b, λ = 1) phylogenetic signal, and S3σ added signal in niche breadth. The estimand of every test was its rejection rate at α = 0.05: the type I error in S0–S2h and the power in S3a–S3σ. For aim (iii), the estimand was the probability that a method identifies a planted clade (see below).</w:t>
      </w:r>
    </w:p>
    <w:tbl>
      <w:tblPr>
        <w:tblStyle w:val="Table"/>
        <w:tblW w:type="pct" w:w="5000"/>
        <w:tblLayout w:type="fixed"/>
        <w:tblLook w:firstRow="0" w:lastRow="0" w:firstColumn="0" w:lastColumn="0" w:noHBand="0" w:noVBand="0" w:val="0000"/>
      </w:tblPr>
      <w:tblGrid>
        <w:gridCol w:w="7920"/>
      </w:tblGrid>
      <w:tr>
        <w:tc>
          <w:tcPr/>
          <w:bookmarkStart w:id="28"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28"/>
          <w:p/>
        </w:tc>
      </w:tr>
    </w:tbl>
    <w:bookmarkEnd w:id="29"/>
    <w:bookmarkStart w:id="30" w:name="methods-compared"/>
    <w:p>
      <w:pPr>
        <w:pStyle w:val="Heading2"/>
      </w:pPr>
      <w:r>
        <w:t xml:space="preserve">Methods compared</w:t>
      </w:r>
    </w:p>
    <w:p>
      <w:pPr>
        <w:pStyle w:val="FirstParagraph"/>
      </w:pPr>
      <w:r>
        <w:t xml:space="preserve">All tests relate the matrix P of phylogeny-weighted species composition (Pillar &amp; Duarte 2010; Duarte et al. 2016), or the phylogenetic eigenvectors, to the gradient. We computed P with phylogenetic fuzzy weighting and the square-rooted Bray–Curtis dissimilarity between sites (D_P), and tested its association with E with a permutational analysis of variance (PERMANOVA, the adonis statistic) and a Mantel test (Duarte et al. 2016). We also extracted the principal coordinates of phylogenetic structure (PCPS) from D_P and fitted a linear model of each of the first two axes on E (GLM PCPS1 and GLM PCPS2) and, in Layer B, a redundancy analysis of both axes on E (RDA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and we report the largest of the two p-values (max test), which controls the type I error when either null hypothesis holds (Peres-Neto &amp; Kembel 2015; Duarte et al. 2016).</w:t>
      </w:r>
    </w:p>
    <w:bookmarkEnd w:id="30"/>
    <w:bookmarkStart w:id="31"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 u_j = −1 + 102 Φ(z_j + δ I_j), where z_j are independent standard normal deviates, I_j indicates membership of the planted clade and δ is the shift;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For a given replicate, the planted clade, the optima and the gradient were the same across shifts and data types, so that only the factor of interest changed.</w:t>
      </w:r>
    </w:p>
    <w:p>
      <w:pPr>
        <w:pStyle w:val="BodyText"/>
      </w:pPr>
      <w:r>
        <w:t xml:space="preserve">We compared four methods. For PCPS, PCC and the evolutionary principal component analysis (evoPCA; Pavoine 2016), each method took the axis most correlated with E among its first four, and the score of each internal node was the absolute correlation between membership of its clade and the species scores on that axis: the correlations of the columns of P with the PCPS axis, which equal the species scores of the R package PCPS [CITAR: Debastiani &amp; Duarte 2014]; the values of the phylogenetic eigenvector; and the correlations of the species columns of the Hellinger-transformed table of evoPCA (R package adiv; [CITAR: Pavoine 2020, adiv]).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generalized algorithm, the deviance explained by the phylogenetic factor in a binomial model with incidence data or the variance explained by the isometric log-ratio balance with abundance data; we computed it for every node, which gives the same best split as the R package phylofactor [CITAR: phylofactor package] while also ranking all nodes. A method recovered the clade when its best-scoring clade was the planted one (or its complement), and we also recorded the rank of the planted node and the Jaccard similarity between the best-scoring and the planted clades.</w:t>
      </w:r>
    </w:p>
    <w:bookmarkEnd w:id="31"/>
    <w:bookmarkStart w:id="32" w:name="X2522e64decf6525bb30723c7b80a6a0d51ddcf2"/>
    <w:p>
      <w:pPr>
        <w:pStyle w:val="Heading2"/>
      </w:pPr>
      <w:r>
        <w:t xml:space="preserve">Performance measures and Monte Carlo error</w:t>
      </w:r>
    </w:p>
    <w:p>
      <w:pPr>
        <w:pStyle w:val="FirstParagraph"/>
      </w:pPr>
      <w:r>
        <w:t xml:space="preserve">The performance measure of each test was its rejection rate across the 1,000 replicates of a condition, and the performance of each clade-recovery method was its proportion of hits. With K = 1,000 replicates, the Monte Carlo standard error of a rate p is [p(1 − p)/K]^½, which is 0.007 at p = 0.05 and at most 0.016 at p = 0.5, so a 95% Monte Carlo interval around the nominal level spans about ±0.014. We chose K so that this interval would fall within Bradley’s liberal criterion for acceptable type I error, [0.025, 0.075] [CITAR: Bradley 1978], and used 999 permutations so that p-values had a resolution of 0.001. We report the Monte Carlo standard error of every rate in the Supporting Information (Table S2), and the credible intervals of the formal models below include the binomial variation among replicates.</w:t>
      </w:r>
    </w:p>
    <w:bookmarkEnd w:id="32"/>
    <w:bookmarkStart w:id="33" w:name="X968b5b6f617a54290eb0a3f0f7090b7eeb8eddb"/>
    <w:p>
      <w:pPr>
        <w:pStyle w:val="Heading2"/>
      </w:pPr>
      <w:r>
        <w:t xml:space="preserve">Statistical models of the simulation results</w:t>
      </w:r>
    </w:p>
    <w:p>
      <w:pPr>
        <w:pStyle w:val="FirstParagraph"/>
      </w:pPr>
      <w:r>
        <w:t xml:space="preserve">We modelled the rates aggregated by condition with beta-binomial models in the R package brms [CITAR: Bürkner 2017] using cmdstanr [CITAR: Gabry et al., cmdstanr], with one model for the type I error and one for the power in each layer, and one for clade recovery. The plan was to treat γ and the Colless index as continuous covariates, but each cell of the grid has a single target per axis, and layer A did not store the shape of every tree, so a continuous term would only interpolate three points; we therefore entered the levels of γ and of the Colless index as factors, with their interaction, which estimates the full γ × imbalance surface without assuming its form. In Layer A, the shape effects could differ among tests and scenarios (which is what testing a nuisance effect that depends on tree shape requires) and with N and data type; the model was test × scenario × (γ + Colless) + test × (γ:Colless + N + data type) + test × (γ + Colless) × (N + data type), in the R formula notation. In Layer B, where only five cells were simulated, the cell entered as a five-level factor: test × archetype × (scenario + cell) + test × N × (archetype + scenario + cell). The clade-recovery model was method × (γ × depth + Colless + γ:Colless + shift + N + data type) + method × (γ + Colless) × (N + data type + shift). We first fitted quasibinomial generalized linear models to the same structures, which showed dispersion 2.2–14 times larger than binomial; the beta-binomial accounts for this extra variation with a single precision parameter φ, whereas a first version with an observation-level random effect hit the maximum tree depth of the sampler in almost every transition.</w:t>
      </w:r>
    </w:p>
    <w:p>
      <w:pPr>
        <w:pStyle w:val="BodyText"/>
      </w:pPr>
      <w:r>
        <w:t xml:space="preserve">Priors were declared explicitly on the logit scale: normal(0, 1.5) for all coefficients; normal(−2.9, 1.5) for the intercept of the type I models, centred on logit(0.05), and normal(0, 1.5) for the other intercepts; and gamma(2, 0.01) for φ, which is weakly informative around the values implied by the quasibinomial dispersion (φ of about 75–830). We ran four chains of 2,000 iterations (1,000 of warm-up) with adapt_delta = 0.95 and a maximum tree depth of 10 in Layer A and 12 in Layer B, where about 1% of the transitions of the type I model reached depth 10. We checked convergence with the rank-normalized R̂, the bulk and tail effective sample sizes, the number of divergent transitions and the number of transitions at the maximum tree depth, and model fit with posterior predictive checks, both for each condition and for the sums over the conditions of each test, N and cell. We summarized the results as posterior rates and contrasts between tree shapes or archetypes, with medians and 95% credible intervals.</w:t>
      </w:r>
    </w:p>
    <w:bookmarkEnd w:id="33"/>
    <w:bookmarkStart w:id="34" w:name="regional-pools-as-an-empirical-reference"/>
    <w:p>
      <w:pPr>
        <w:pStyle w:val="Heading2"/>
      </w:pPr>
      <w:r>
        <w:t xml:space="preserve">Regional pools as an empirical reference</w:t>
      </w:r>
    </w:p>
    <w:p>
      <w:pPr>
        <w:pStyle w:val="FirstParagraph"/>
      </w:pPr>
      <w:r>
        <w:t xml:space="preserve">To show where real regional species pools fall in the grid of tree shapes, we assembled pools from 14 tadpole metacommunities compiled from the literature and from unpublished data (Box 1). Species names were harmonized with the Amphibian Species of the World using the R package AmphiNom [CITAR: Liedtke 2019; Frost 2025, ASW], undetermined taxa were excluded, and the remaining 123 species were matched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w:t>
      </w:r>
    </w:p>
    <w:bookmarkEnd w:id="34"/>
    <w:bookmarkStart w:id="35" w:name="implementation-and-reproducibility"/>
    <w:p>
      <w:pPr>
        <w:pStyle w:val="Heading2"/>
      </w:pPr>
      <w:r>
        <w:t xml:space="preserve">Implementation and reproducibility</w:t>
      </w:r>
    </w:p>
    <w:p>
      <w:pPr>
        <w:pStyle w:val="FirstParagraph"/>
      </w:pPr>
      <w:r>
        <w:t xml:space="preserve">All analyses were run in R v. 4.6.1 [CITAR: R Core Team 2026], with the package versions recorded in the renv lockfile of the repository [CITAR: renv]. Trees were handled with ape [CITAR: Paradis &amp; Schliep 2019], permutation tests were written for efficiency and checked against vegan and PCPS [CITAR: Oksanen et al., vegan; Debastiani &amp; Duarte 2014], and the simulations of Layer A and Layer B were orchestrated with targets and crew [CITAR: Landau 2021] in a Docker image on cloud instances, with one random seed per branch of the pipeline; the clade-recovery runs used one seed per tree, depth and replicate. Code is available at [CITAR: repository and Zenodo DOI], together with the rates aggregated by condition, which reproduce every table and figure without rerunning the simulations.</w:t>
      </w:r>
    </w:p>
    <w:bookmarkEnd w:id="35"/>
    <w:bookmarkEnd w:id="36"/>
    <w:bookmarkStart w:id="58" w:name="results"/>
    <w:p>
      <w:pPr>
        <w:pStyle w:val="Heading1"/>
      </w:pPr>
      <w:r>
        <w:t xml:space="preserve">Results</w:t>
      </w:r>
    </w:p>
    <w:bookmarkStart w:id="37" w:name="validation"/>
    <w:p>
      <w:pPr>
        <w:pStyle w:val="Heading2"/>
      </w:pPr>
      <w:r>
        <w:t xml:space="preserve">Validation</w:t>
      </w:r>
    </w:p>
    <w:p>
      <w:pPr>
        <w:pStyle w:val="FirstParagraph"/>
      </w:pPr>
      <w:r>
        <w:t xml:space="preserve">The static layer reproduced the published validations. In the Yule trees of Duarte et al. (2016), the rejection rates of the site shuffle, the taxa shuffle and the max test fell within the 95% binomial interval of our estimates in 66 of 72 cells; the six exceptions came from two conditions that fell outside in more than one null model, slightly more than the 3.6 expected by chance. The mean PERMANOVA R² and Mantel ρ agreed to the second decimal place when we used the Bray–Curtis dissimilarity without the square root, as in Duarte et al. (2016); elsewhere we used the square-rooted version. The PCC matched the published rates in the scenarios that do not depend on the tree; its power was slightly lower than published, but it varied between 0.71 and 0.93 among 20 Yule trees, and the published values sit at the upper end of that range, which seems to reflect a single favourable tree.</w:t>
      </w:r>
    </w:p>
    <w:bookmarkEnd w:id="37"/>
    <w:bookmarkStart w:id="42" w:name="X6fda0e17f756476fcb0af05453767d4dea2fefb"/>
    <w:p>
      <w:pPr>
        <w:pStyle w:val="Heading2"/>
      </w:pPr>
      <w:r>
        <w:t xml:space="preserve">Type I error under tree shape and nuisance structure</w:t>
      </w:r>
    </w:p>
    <w:p>
      <w:pPr>
        <w:pStyle w:val="FirstParagraph"/>
      </w:pPr>
      <w:r>
        <w:t xml:space="preserve">Tree imbalance did not affect the type I error of any test. In all 75 combinations of test, null scenario and N, the difference between high and Yule Colless in the distance of the type I error from the nominal level was within ±0.011, and no credible interval excluded zero, with incidence or abundance data (</w:t>
      </w:r>
      <w:hyperlink w:anchor="fig-type1">
        <w:r>
          <w:rPr>
            <w:rStyle w:val="Hyperlink"/>
          </w:rPr>
          <w:t xml:space="preserve">Figure 2</w:t>
        </w:r>
      </w:hyperlink>
      <w:r>
        <w:t xml:space="preserve">). In S0, where optima had no phylogenetic signal and the gradient was independent, all tests were conservative, and four of them became more conservative in trees with low γ (by 0.011–0.019).</w:t>
      </w:r>
    </w:p>
    <w:p>
      <w:pPr>
        <w:pStyle w:val="BodyText"/>
      </w:pPr>
      <w:r>
        <w:t xml:space="preserve">Phylogenetic signal in niche breadth inflated the type I error of only two tests. Compared with the same scenario without signal (S2), signal in σ (S2σ) increased the rejection rate of GLM PCPS2 by 0.03 in Yule trees and by 0.09, 0.11 and 0.16 with low γ at N = 50, 100 and 200, reaching 0.164 at N = 100 (</w:t>
      </w:r>
      <w:hyperlink w:anchor="fig-type1">
        <w:r>
          <w:rPr>
            <w:rStyle w:val="Hyperlink"/>
          </w:rPr>
          <w:t xml:space="preserve">Figure 2</w:t>
        </w:r>
      </w:hyperlink>
      <w:r>
        <w:t xml:space="preserve">). The raw rates were even higher at N = 200, up to 0.36 in low-γ trees, since the model shares the scenario effects across N on the logit scale. The PCC was also inflated (+0.045 in Yule trees), but less so with low γ (+0.02), although the credible intervals of the two contrasts overlapped. Interestingly, PERMANOVA, GLM PCPS1 and the Mantel test became more conservative under signal in σ (by 0.01–0.025), and signal in maximum abundance (S2h) did not change the rejection rate of any test. Therefore,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bookmarkEnd w:id="42"/>
    <w:bookmarkStart w:id="47" w:name="power-and-tree-shape"/>
    <w:p>
      <w:pPr>
        <w:pStyle w:val="Heading2"/>
      </w:pPr>
      <w:r>
        <w:t xml:space="preserve">Power and tree shape</w:t>
      </w:r>
    </w:p>
    <w:p>
      <w:pPr>
        <w:pStyle w:val="FirstParagraph"/>
      </w:pPr>
      <w:r>
        <w:t xml:space="preserve">The distribution of branching times, but not imbalance, changed the power of most tests (</w:t>
      </w:r>
      <w:hyperlink w:anchor="fig-power">
        <w:r>
          <w:rPr>
            <w:rStyle w:val="Hyperlink"/>
          </w:rPr>
          <w:t xml:space="preserve">Figure 3</w:t>
        </w:r>
      </w:hyperlink>
      <w:r>
        <w:t xml:space="preserve">). At N = 100 with incidence data, low γ reduced the power of GLM PCPS1 from 0.735 to 0.336 in S3b, and similarly in S3a and S3σ (contrasts of −0.32 to −0.46 across N), and the power of the PCC from 0.970 to 0.738 in S3b. The Mantel test lost 0.05–0.14 at N = 100 and up to 0.23 at N = 50, whereas the power of PERMANOVA was almost insensitive to γ (0.811 in Yule trees and 0.824 with low γ in S3b) and, at N = 200, slightly higher with low γ (+0.04 to +0.08). High imbalance reduced power by at most 0.10. As a result, the rank of the tests changed with tree shape: in S3b, the PCC was the most powerful test in Yule trees and the third with low γ, and in S3a GLM PCPS1 fell from third to fourth. The effect of γ also changed with N in opposite directions among tests, since the loss of GLM PCPS1 increased with N whereas that of the PCC in S3b decreased from 0.48 at N = 50 to 0.10 at N = 200.</w:t>
      </w:r>
    </w:p>
    <w:tbl>
      <w:tblPr>
        <w:tblStyle w:val="Table"/>
        <w:tblW w:type="pct" w:w="5000"/>
        <w:tblLayout w:type="fixed"/>
        <w:tblLook w:firstRow="0" w:lastRow="0" w:firstColumn="0" w:lastColumn="0" w:noHBand="0" w:noVBand="0" w:val="0000"/>
      </w:tblPr>
      <w:tblGrid>
        <w:gridCol w:w="7920"/>
      </w:tblGrid>
      <w:tr>
        <w:tc>
          <w:tcPr/>
          <w:bookmarkStart w:id="46" w:name="fig-power"/>
          <w:p>
            <w:pPr>
              <w:pStyle w:val="Compact"/>
              <w:jc w:val="center"/>
            </w:pPr>
            <w:r>
              <w:drawing>
                <wp:inline>
                  <wp:extent cx="5753100" cy="3044241"/>
                  <wp:effectExtent b="0" l="0" r="0" t="0"/>
                  <wp:docPr descr="" title="" id="44" name="Picture"/>
                  <a:graphic>
                    <a:graphicData uri="http://schemas.openxmlformats.org/drawingml/2006/picture">
                      <pic:pic>
                        <pic:nvPicPr>
                          <pic:cNvPr descr="figures/fig3_power.png" id="45" name="Picture"/>
                          <pic:cNvPicPr>
                            <a:picLocks noChangeArrowheads="1" noChangeAspect="1"/>
                          </pic:cNvPicPr>
                        </pic:nvPicPr>
                        <pic:blipFill>
                          <a:blip r:embed="rId43"/>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6"/>
        </w:tc>
      </w:tr>
    </w:tbl>
    <w:bookmarkEnd w:id="47"/>
    <w:bookmarkStart w:id="52" w:name="X72ad4947fb5ab40bd19643bc3dd668044f061db"/>
    <w:p>
      <w:pPr>
        <w:pStyle w:val="Heading2"/>
      </w:pPr>
      <w:r>
        <w:t xml:space="preserve">Performance under metacommunity assembly processes</w:t>
      </w:r>
    </w:p>
    <w:p>
      <w:pPr>
        <w:pStyle w:val="FirstParagraph"/>
      </w:pPr>
      <w:r>
        <w:t xml:space="preserve">The assembly process mattered more than tree shape for power (</w:t>
      </w:r>
      <w:hyperlink w:anchor="fig-layerB">
        <w:r>
          <w:rPr>
            <w:rStyle w:val="Hyperlink"/>
          </w:rPr>
          <w:t xml:space="preserve">Figure 4</w:t>
        </w:r>
      </w:hyperlink>
      <w:r>
        <w:t xml:space="preserve">). Under species sorting without competition, power at N = 100 in S3b ranged from 0.87 (PERMANOVA) and 0.92 (Mantel) to 0.96 (PCC) in Yule pool trees, a level similar to that of Layer A. Mass effects reduced the power of every test except GLM PCPS2: relative to species sorting, PERMANOVA lost 0.62 in Yule trees and 0.72 with low γ, the Mantel test 0.75 and 0.79, RDA PCPS 0.58 and 0.55, GLM PCPS1 0.55 and 0.27, and the PCC 0.93 and 0.76, so that the PCC detected the phylogenetic signal in almost no replicate. Surprisingly, adding phylogenetic competition to mass effects partly restored power (for instance, PERMANOVA lost 0.46 instead of 0.62 in Yule trees), whereas phylogenetic competition under species sorting changed power by −0.12 to +0.11. These contrasts should be read with care, since competition prunes close relatives and changes the analysed tree relative to the pool tree, most strongly under mass effects (Colless about 75% lower), so the effect of the process cannot be separated from a change of tree shape. Under the null hypothesis, no condition at N = 100 had a credible interval above 0.075 (largest posterior median 0.088), but raw rejection rates exceeded that limit at N = 200 for the PCC in S2h (0.111 under species sorting and 0.143 under mass effects, in Yule trees) and for GLM PCPS2 in S2σ under species sorting in the low- and mid-γ cells (0.104–0.129).</w:t>
      </w:r>
    </w:p>
    <w:tbl>
      <w:tblPr>
        <w:tblStyle w:val="Table"/>
        <w:tblW w:type="pct" w:w="5000"/>
        <w:tblLayout w:type="fixed"/>
        <w:tblLook w:firstRow="0" w:lastRow="0" w:firstColumn="0" w:lastColumn="0" w:noHBand="0" w:noVBand="0" w:val="0000"/>
      </w:tblPr>
      <w:tblGrid>
        <w:gridCol w:w="7920"/>
      </w:tblGrid>
      <w:tr>
        <w:tc>
          <w:tcPr/>
          <w:bookmarkStart w:id="51" w:name="fig-layerB"/>
          <w:p>
            <w:pPr>
              <w:pStyle w:val="Compact"/>
              <w:jc w:val="center"/>
            </w:pPr>
            <w:r>
              <w:drawing>
                <wp:inline>
                  <wp:extent cx="5753100" cy="3723605"/>
                  <wp:effectExtent b="0" l="0" r="0" t="0"/>
                  <wp:docPr descr="" title="" id="49" name="Picture"/>
                  <a:graphic>
                    <a:graphicData uri="http://schemas.openxmlformats.org/drawingml/2006/picture">
                      <pic:pic>
                        <pic:nvPicPr>
                          <pic:cNvPr descr="figures/fig4_layerB_power.png" id="50" name="Picture"/>
                          <pic:cNvPicPr>
                            <a:picLocks noChangeArrowheads="1" noChangeAspect="1"/>
                          </pic:cNvPicPr>
                        </pic:nvPicPr>
                        <pic:blipFill>
                          <a:blip r:embed="rId48"/>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51"/>
        </w:tc>
      </w:tr>
    </w:tbl>
    <w:bookmarkEnd w:id="52"/>
    <w:bookmarkStart w:id="57" w:name="recovery-of-a-planted-clade-1"/>
    <w:p>
      <w:pPr>
        <w:pStyle w:val="Heading2"/>
      </w:pPr>
      <w:r>
        <w:t xml:space="preserve">Recovery of a planted clade</w:t>
      </w:r>
    </w:p>
    <w:p>
      <w:pPr>
        <w:pStyle w:val="FirstParagraph"/>
      </w:pPr>
      <w:r>
        <w:t xml:space="preserve">evoPCA and phylofactorization recovered the planted clade far more often than PCPS and PCC (</w:t>
      </w:r>
      <w:hyperlink w:anchor="fig-clade">
        <w:r>
          <w:rPr>
            <w:rStyle w:val="Hyperlink"/>
          </w:rPr>
          <w:t xml:space="preserve">Figure 5</w:t>
        </w:r>
      </w:hyperlink>
      <w:r>
        <w:t xml:space="preserve">). With a shift of 2 and incidence data, evoPCA and phylofactorization identified the planted node in 0.44–0.88 of the replicates, depending on N and depth, and recovered basal clades more often than recent ones (0.79 and 0.66 at N = 100). PCPS recovered the clade in 0.12–0.42 of the replicates and PCC in only 0.08–0.12, probably because its four leading eigenvectors follow the deepest splits of the tree.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In contrast, the recovery of evoPCA and phylofactorization did not change with γ, and high imbalance reduced recovery by 0.01–0.10 in all methods. Interestingly, low γ improved PCPS for recent as well as for basal clades, so the advantage of basal clades seems to be a matter of degree rather than a different behaviour of the method. With abundance data, the patterns were the same, with lower recovery for the compositional phylofactorization (0.68 and 0.56 for old and recent clades at N = 100).</w:t>
      </w:r>
    </w:p>
    <w:tbl>
      <w:tblPr>
        <w:tblStyle w:val="Table"/>
        <w:tblW w:type="pct" w:w="5000"/>
        <w:tblLayout w:type="fixed"/>
        <w:tblLook w:firstRow="0" w:lastRow="0" w:firstColumn="0" w:lastColumn="0" w:noHBand="0" w:noVBand="0" w:val="0000"/>
      </w:tblPr>
      <w:tblGrid>
        <w:gridCol w:w="7920"/>
      </w:tblGrid>
      <w:tr>
        <w:tc>
          <w:tcPr/>
          <w:bookmarkStart w:id="56" w:name="fig-clade"/>
          <w:p>
            <w:pPr>
              <w:pStyle w:val="Compact"/>
              <w:jc w:val="center"/>
            </w:pPr>
            <w:r>
              <w:drawing>
                <wp:inline>
                  <wp:extent cx="5416061" cy="2886935"/>
                  <wp:effectExtent b="0" l="0" r="0" t="0"/>
                  <wp:docPr descr="" title="" id="54" name="Picture"/>
                  <a:graphic>
                    <a:graphicData uri="http://schemas.openxmlformats.org/drawingml/2006/picture">
                      <pic:pic>
                        <pic:nvPicPr>
                          <pic:cNvPr descr="figures/fig5_clade.png" id="55" name="Picture"/>
                          <pic:cNvPicPr>
                            <a:picLocks noChangeArrowheads="1" noChangeAspect="1"/>
                          </pic:cNvPicPr>
                        </pic:nvPicPr>
                        <pic:blipFill>
                          <a:blip r:embed="rId53"/>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6"/>
        </w:tc>
      </w:tr>
    </w:tbl>
    <w:p>
      <w:pPr>
        <w:pStyle w:val="BodyText"/>
      </w:pPr>
      <w:r>
        <w:t xml:space="preserve">All models converged (R̂ ≤ 1.01, bulk effective sample size ≥ 835, tail effective sample size ≥ 1,596, no divergent transitions and no transition at the maximum tree depth), and the posterior predictive intervals of 95% contained 97–98% of the observed rates of each condition (Table S3).</w:t>
      </w:r>
    </w:p>
    <w:bookmarkEnd w:id="57"/>
    <w:bookmarkEnd w:id="58"/>
    <w:bookmarkStart w:id="63" w:name="X86b424abbb3574ac0aa0caa1d4fc972db0dba82"/>
    <w:p>
      <w:pPr>
        <w:pStyle w:val="Heading1"/>
      </w:pPr>
      <w:r>
        <w:t xml:space="preserve">Box 1. Where do real regional pools fall in the tree-shape grid?</w:t>
      </w:r>
    </w:p>
    <w:p>
      <w:pPr>
        <w:pStyle w:val="FirstParagraph"/>
      </w:pPr>
      <w:r>
        <w:t xml:space="preserve">The three regional pools of anurans fell inside the grid of tree shapes (</w:t>
      </w:r>
      <w:hyperlink w:anchor="fig-box1">
        <w:r>
          <w:rPr>
            <w:rStyle w:val="Hyperlink"/>
          </w:rPr>
          <w:t xml:space="preserve">Figure 6</w:t>
        </w:r>
      </w:hyperlink>
      <w:r>
        <w:t xml:space="preserve">). The Atlantic Forest pool (60 species) had γ = −2.51 and a normalized Colless index of 0.67; adding the metacommunities of the interior of São Paulo (81 species) lowered γ to −3.16 with a similar Colless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conditions under which we found the largest effects of tree shape, the low-γ cells, are more extreme than these pools, but within the range of the anuran clades used to define the grid. The three metacommunities of the case study (Bocaina, Provete et al. 2014; southern Brazil, Both et al. [CITAR: confirmar 2009 Hydrobiologia 624: 125–138 ou 2011 Acta Oecologica]; northwestern São Paulo, Prado &amp; Rossa-Feres 2014) had small trees, with negative γ in Bocaina (15 species, 13 ponds; −1.59) and southern Brazil (21 species, 32 ponds; −1.53) and positive γ in northwestern São Paulo (26 species, 40 ponds; 1.39), outside the grid. No test rejected the null hypothesis of no association between phylogenetic structure and pond depth with the max test (all p ≥ 0.11). In Bocaina, canopy cover was associated with phylogenetic composition under the site shuffle (p = 0.048–0.053 for PERMANOVA, GLM PCPS1, RDA PCPS and PCC) but not under the taxa shuffle (p = 0.23–0.56). This means that canopy cover structures composition, as found with PCPS by Provete (2018), but that the phylogenetic arrangement of the species adds nothing beyond composition once tips are permuted, which is the inference the max test protects. The clade-scoring methods agreed where the simulation predicts: in Bocaina, PCC, evoPCA and phylofactorization chose the same clade of five Dendropsophus and Scinax species along depth, and in northwestern São Paulo PCC and evoPCA chose the three microhylids; without a significant test, these clades describe the strongest phylogenetic contrast rather than a demonstrated association.</w:t>
      </w:r>
    </w:p>
    <w:tbl>
      <w:tblPr>
        <w:tblStyle w:val="Table"/>
        <w:tblW w:type="pct" w:w="5000"/>
        <w:tblLayout w:type="fixed"/>
        <w:tblLook w:firstRow="0" w:lastRow="0" w:firstColumn="0" w:lastColumn="0" w:noHBand="0" w:noVBand="0" w:val="0000"/>
      </w:tblPr>
      <w:tblGrid>
        <w:gridCol w:w="7920"/>
      </w:tblGrid>
      <w:tr>
        <w:tc>
          <w:tcPr/>
          <w:bookmarkStart w:id="62" w:name="fig-box1"/>
          <w:p>
            <w:pPr>
              <w:pStyle w:val="Compact"/>
              <w:jc w:val="center"/>
            </w:pPr>
            <w:r>
              <w:drawing>
                <wp:inline>
                  <wp:extent cx="4890135" cy="3261010"/>
                  <wp:effectExtent b="0" l="0" r="0" t="0"/>
                  <wp:docPr descr="" title="" id="60" name="Picture"/>
                  <a:graphic>
                    <a:graphicData uri="http://schemas.openxmlformats.org/drawingml/2006/picture">
                      <pic:pic>
                        <pic:nvPicPr>
                          <pic:cNvPr descr="figures/box1_pools.png" id="61" name="Picture"/>
                          <pic:cNvPicPr>
                            <a:picLocks noChangeArrowheads="1" noChangeAspect="1"/>
                          </pic:cNvPicPr>
                        </pic:nvPicPr>
                        <pic:blipFill>
                          <a:blip r:embed="rId59"/>
                          <a:stretch>
                            <a:fillRect/>
                          </a:stretch>
                        </pic:blipFill>
                        <pic:spPr bwMode="auto">
                          <a:xfrm>
                            <a:off x="0" y="0"/>
                            <a:ext cx="4890135" cy="3261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Tree shape of three nested regional pools of anurans (coloured points, point-estimate tree; bars, 2.5–97.5% quantiles across 100 bootstrap trees, centred on their median) against the targets of the simulation grid (open symbols, by N) and the anuran clades with 40–250 tips of Portik et al. (2023) (grey points). Notice that the pools fall inside the grid and close to its Yule and median levels.</w:t>
            </w:r>
          </w:p>
          <w:bookmarkEnd w:id="62"/>
        </w:tc>
      </w:tr>
    </w:tbl>
    <w:bookmarkEnd w:id="63"/>
    <w:bookmarkStart w:id="64" w:name="references-verified"/>
    <w:p>
      <w:pPr>
        <w:pStyle w:val="Heading1"/>
      </w:pPr>
      <w:r>
        <w:t xml:space="preserve">References (verified)</w:t>
      </w:r>
    </w:p>
    <w:p>
      <w:pPr>
        <w:pStyle w:val="FirstParagraph"/>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w:t>
      </w:r>
    </w:p>
    <w:p>
      <w:pPr>
        <w:pStyle w:val="BodyText"/>
      </w:pPr>
      <w:r>
        <w:t xml:space="preserve">Pavoine, S. (2016). A guide through a family of phylogenetic dissimilarity measures among sites.</w:t>
      </w:r>
      <w:r>
        <w:t xml:space="preserve"> </w:t>
      </w:r>
      <w:r>
        <w:rPr>
          <w:i/>
          <w:iCs/>
        </w:rPr>
        <w:t xml:space="preserve">Oikos</w:t>
      </w:r>
      <w:r>
        <w:t xml:space="preserve">, 125, 1719–1732.</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93(sp8), [CITAR: páginas não verificadas].</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w:t>
      </w:r>
    </w:p>
    <w:bookmarkEnd w:id="64"/>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9" Target="media/rId59.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Diogo B. Provete</dc:creator>
  <cp:keywords/>
  <dcterms:created xsi:type="dcterms:W3CDTF">2026-10-20T03:27:02Z</dcterms:created>
  <dcterms:modified xsi:type="dcterms:W3CDTF">2026-10-20T03:27:02Z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Methods and Results (draft)</vt:lpwstr>
  </property>
  <property fmtid="{D5CDD505-2E9C-101B-9397-08002B2CF9AE}" pid="11" name="toc-title">
    <vt:lpwstr>Table of contents</vt:lpwstr>
  </property>
</Properties>
</file>