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However, real phylogenies vary in imbalance and branching times, and dispersal and competition assemble metacommunities.</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With uniform dispersal, mass effects reduced the power of every test except the second PCPS axis by 0.55–0.93 and almost abolished that of the PCC; with distance-limited dispersal the losses were smaller, and the PCC kept its power with abundance data.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and three regional anuran pools fell at moderate levels of the grid. We recommend reporting γ of the analysed tree, not relying on a single test, interpreting the second PCPS axis and the PCC with caution when niche breadth may be conserved, considering abundance data for the PCC, and using evoPCA or phylofactorization to identify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(https://doi.org/10.5281/zenodo.23500660);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determines how many phylogenetic eigenvectors are retained (Diniz-Filho et al., 1998), which are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et al.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 Since tree shape changes both the optima and the tree analysed, we repeated the power scenarios with the same evenly spaced optima in every tree (Appendix S1).</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drawn from a Poisson distribution, and a proportion</w:t>
      </w:r>
      <w:r>
        <w:t xml:space="preserve"> </w:t>
      </w:r>
      <m:oMath>
        <m:r>
          <m:t>a</m:t>
        </m:r>
      </m:oMath>
      <w:r>
        <w:t xml:space="preserve"> </w:t>
      </w:r>
      <w:r>
        <w:t xml:space="preserve">of the individuals dispersed uniformly among sites, which keeps sites exchangeable and the site shuffle valid; after 1,000 steps, we analysed the final state as incidence data.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 We also ran a spatial version at N = 100, with sites on a torus, a spatially autocorrelated gradient, distance-limited dispersal and torus translations instead of the site shuffle, analysed with incidence and abundance data (Appendix S1).</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(https://doi.org/10.5281/zenodo.23500660),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largely insensitive to the priors and to the lack of fit of the fixed structure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The RDA PCPS was not inflated (0.004–0.021 in S2σ) and lost much less power with low γ than GLM PCPS1 (posterior medians 0.65 with low γ against 0.76 in Yule trees, against 0.34 and 0.74 for GLM PCPS1, at N = 100 in S3b), whereas rotating the null axes by Procrustes removed the inflation of GLM PCPS2 but made it conservative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 With the optima given the same distribution in every tree, low γ still reduced the power of GLM PCPS1 (from 0.77 to 0.25) and of the PCC (from 0.99 to 0.80), and not that of PERMANOVA (raw rates at N = 100 in S3b; Appendix S2).</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100 and 200 (Appendix S2). With spatial structure, more power was retained under mass effects (PERMANOVA 0.54 against 0.29 in Yule pool trees), except for the PCC with incidence data (0.02; 0.98 with abundance data), and low γ had the same effect as without it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ranks and Jaccard similarities agreed with this ranking (Appendix S2). Without a planted effect, recovery was 0.003–0.021 for evoPCA and phylofactorization and 0.018–0.050 for PCPS and PCC, so the PCC recovered the planted clade only about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topology of the tree determines how many phylogenetic eigenvectors are needed to describe it (Diniz-Filho et al., 1998), and in trees with long internal branches near the root a few deep splits probably dominate the leading eigenvectors, so the first PCPS axis and the eigenvectors of the PCC may capture the deepest dichotomy even when the gradient sorts species along another one, although the share of variation on the first PCPS axis decreased rather than increased with low γ (Appendix S2). This parallels the finding that a small number of phylogenetic eigenvectors may be insufficient to control phylogenetic autocorrelation in ecological analyses (Diniz-Filho et al., 2012). The RDA on the first two PCPS axes lost much less power, and the loss persisted when the optima had the same distribution in every tree, which agrees with this mechanism and suggests that γ acts mainly through the analysis rather than through the marginal distribution of the optima. However, we did not record the eigenvalue spectra of each replicate, so we cannot confirm it.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With uniform dispersal, 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spatially explicit landscapes, however, mass effects let species dominate subregions instead of homogenizing the whole metacommunity in the model of Thompson et al. (2020), and a spatially implicit model failed to predict spatially explicit metacommunities at high dispersal (Ai &amp; Ellwood, 2022). Accordingly, more power was retained under mass effects in our spatial version, which suggests that uniform dispersal is a severe case. The PCC kept almost no power with incidence data even then, but not with abundance data, which suggests that its failure is tied to incidence data, in which widespread species occur almost everywhere.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Indeed, competition was weakly related to relatedness in vascular plants (Cahill et al., 2008), average fitness differences, but not stabilising niche differences, showed phylogenetic structure in 18 annual plants (Godoy et al., 2014), and competition can sometimes exclude less related taxa even when traits are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since (i) the grid had no level with γ &gt; 0; (ii) the spatial version covered only N = 100, with an approximate redistribution of dispersers; (iii) we did not vary the number of sites or the length of the gradient; and (iv) the case study, with 13–40 ponds and no significant association, illustrates rather than validates the methods.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axes or eigenvectors when γ is very negative; (iii) interpret the second PCPS axis and the PCC with caution when niche breadth may be phylogenetically conserved; (iv) not read a lack of power under high dispersal as evidence against niche-based assembly, and consider abundance data for the PCC; and (v) use evoPCA or phylofactorization, rather than PCPS axes, to identify the clades associated with a gradient.</w:t>
      </w:r>
    </w:p>
    <w:bookmarkEnd w:id="55"/>
    <w:bookmarkStart w:id="56" w:name="references"/>
    <w:p>
      <w:pPr>
        <w:pStyle w:val="Heading1"/>
      </w:pPr>
      <w:r>
        <w:t xml:space="preserve">References</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https://doi.org/10.1007/978-94-011-2106-4)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https://doi.org/10.32614/R.manuals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https://doi.org/10.32614/CRAN.package.renv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2026-10-21T14:58:17Z</dcterms:created>
  <dcterms:modified xsi:type="dcterms:W3CDTF">2026-10-21T14:58:17Z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