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However, real phylogenies vary in imbalance and branching times, and dispersal and competition assemble metacommunities.</w:t>
      </w:r>
    </w:p>
    <w:p>
      <w:pPr>
        <w:numPr>
          <w:ilvl w:val="0"/>
          <w:numId w:val="1001"/>
        </w:numPr>
      </w:pPr>
      <w:r>
        <w:t xml:space="preserve">We simulated metacommunities on a grid of tree shapes that crossed the distribution of branching times (γ) with topological imbalance (Colless index), with levels from anuran clades, in static simulations reproducing the original validations and process-based simulations with species sorting, mass effects and phylogenetic competition. We modelled the type I error and power of six tests, and clade recovery by four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With uniform dispersal, mass effects reduced the power of every test except the second PCPS axis by 0.55–0.93 and almost abolished that of the PCC; with distance-limited dispersal the losses were smaller, and the PCC kept its power with abundance data.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and three regional anuran pools fell at moderate levels of the grid. We recommend reporting γ of the analysed tree, not relying on a single test, interpreting the second PCPS axis and the PCC with caution when niche breadth may be conserved, considering abundance data for the PCC, and using evoPCA or phylofactorization to identify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(https://doi.org/10.5281/zenodo.23500660);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determines how many phylogenetic eigenvectors are retained (Diniz-Filho et al., 1998), which are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with two kinds of simulations (</w:t>
      </w:r>
      <w:hyperlink w:anchor="fig-design">
        <w:r>
          <w:rPr>
            <w:rStyle w:val="Hyperlink"/>
          </w:rPr>
          <w:t xml:space="preserve">Fig. 1</w:t>
        </w:r>
      </w:hyperlink>
      <w:r>
        <w:t xml:space="preserve">). The static simulations follow the protocol of Peres-Neto et al. (2012), which was also used to validate the tests we evaluated, so our results can be compared directly with the published ones. The process-based simulations reproduce metacommunity dynamics with the framework of Thompson et al. (2020), in which species sorting, mass effects and competition emerge from local population dynamics and dispersal.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static-simulations"/>
    <w:p>
      <w:pPr>
        <w:pStyle w:val="Heading2"/>
      </w:pPr>
      <w:r>
        <w:t xml:space="preserve">Static simulations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 Since tree shape changes both the optima and the tree analysed, we repeated the power scenarios with the same evenly spaced optima in every tree (Appendix S1).</w:t>
      </w:r>
    </w:p>
    <w:bookmarkEnd w:id="28"/>
    <w:bookmarkStart w:id="29" w:name="process-based-simulations"/>
    <w:p>
      <w:pPr>
        <w:pStyle w:val="Heading2"/>
      </w:pPr>
      <w:r>
        <w:t xml:space="preserve">Process-based simulations</w:t>
      </w:r>
    </w:p>
    <w:p>
      <w:pPr>
        <w:pStyle w:val="FirstParagraph"/>
      </w:pPr>
      <w:r>
        <w:t xml:space="preserve">The process-based simulations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drawn from a Poisson distribution, and a proportion</w:t>
      </w:r>
      <w:r>
        <w:t xml:space="preserve"> </w:t>
      </w:r>
      <m:oMath>
        <m:r>
          <m:t>a</m:t>
        </m:r>
      </m:oMath>
      <w:r>
        <w:t xml:space="preserve"> </w:t>
      </w:r>
      <w:r>
        <w:t xml:space="preserve">of the individuals dispersed uniformly among sites, which keeps sites exchangeable and the site shuffle valid; after 1,000 steps, we analysed the final state as incidence data.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These simulations used five cells of the grid (the four corners and the centre) and 1,000 replicates per combination. We also ran a spatial version at N = 100, with sites on a torus, a spatially autocorrelated gradient, distance-limited dispersal and torus translations instead of the site shuffle, analysed with incidence and abundance data (Appendix S1).</w:t>
      </w:r>
    </w:p>
    <w:bookmarkEnd w:id="29"/>
    <w:bookmarkStart w:id="31" w:name="scenarios-and-estimands"/>
    <w:p>
      <w:pPr>
        <w:pStyle w:val="Heading2"/>
      </w:pPr>
      <w:r>
        <w:t xml:space="preserve">Scenarios and estimands</w:t>
      </w:r>
    </w:p>
    <w:p>
      <w:pPr>
        <w:pStyle w:val="FirstParagraph"/>
      </w:pPr>
      <w:r>
        <w:t xml:space="preserve">The eight trait scenarios were the same in both kinds of simulation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the static and process-based simulations.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the process-based simulations,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the static simulations,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the static simulations.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kind of simulation,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(https://doi.org/10.5281/zenodo.23500660),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simulations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largely insensitive to the priors and to the lack of fit of the fixed structure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The RDA PCPS was not inflated (0.004–0.021 in S2σ) and lost much less power with low γ than GLM PCPS1 (posterior medians 0.65 with low γ against 0.76 in Yule trees, against 0.34 and 0.74 for GLM PCPS1, at N = 100 in S3b), whereas rotating the null axes by Procrustes removed the inflation of GLM PCPS2 but made it conservative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 With the optima given the same distribution in every tree, low γ still reduced the power of GLM PCPS1 (from 0.77 to 0.25) and of the PCC (from 0.99 to 0.80), and not that of PERMANOVA (raw rates at N = 100 in S3b; Appendix S2).</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100 and 200 (Appendix S2). With spatial structure, more power was retained under mass effects (PERMANOVA 0.54 against 0.29 in Yule pool trees), except for the PCC with incidence data (0.02; 0.98 with abundance data), and low γ had the same effect as without it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the process-based simulations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ranks and Jaccard similarities agreed with this ranking (Appendix S2). Without a planted effect, recovery was 0.003–0.021 for evoPCA and phylofactorization and 0.018–0.050 for PCPS and PCC, so the PCC recovered the planted clade only about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topology of the tree determines how many phylogenetic eigenvectors are needed to describe it (Diniz-Filho et al., 1998), and in trees with long internal branches near the root a few deep splits probably dominate the leading eigenvectors, so the first PCPS axis and the eigenvectors of the PCC may capture the deepest dichotomy even when the gradient sorts species along another one, although the share of variation on the first PCPS axis decreased rather than increased with low γ (Appendix S2). This parallels the finding that a small number of phylogenetic eigenvectors may be insufficient to control phylogenetic autocorrelation in ecological analyses (Diniz-Filho et al., 2012). The RDA on the first two PCPS axes lost much less power, and the loss persisted when the optima had the same distribution in every tree, which agrees with this mechanism and suggests that γ acts mainly through the analysis rather than through the marginal distribution of the optima. However, we did not record the eigenvalue spectra of each replicate, so we cannot confirm it.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With uniform dispersal, 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spatially explicit landscapes, however, mass effects let species dominate subregions instead of homogenizing the whole metacommunity in the model of Thompson et al. (2020), and a spatially implicit model failed to predict spatially explicit metacommunities at high dispersal (Ai &amp; Ellwood, 2022). Accordingly, more power was retained under mass effects in our spatial version, which suggests that uniform dispersal is a severe case. The PCC kept almost no power with incidence data even then, but not with abundance data, which suggests that its failure is tied to incidence data, in which widespread species occur almost everywhere.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Indeed, competition was weakly related to relatedness in vascular plants (Cahill et al., 2008), average fitness differences, but not stabilising niche differences, showed phylogenetic structure in 18 annual plants (Godoy et al., 2014), and competition can sometimes exclude less related taxa even when traits are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since (i) the grid had no level with γ &gt; 0; (ii) the spatial version covered only N = 100, with an approximate redistribution of dispersers; (iii) we did not vary the number of sites or the length of the gradient; and (iv) the case study, with 13–40 ponds and no significant association, illustrates rather than validates the methods.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axes or eigenvectors when γ is very negative; (iii) interpret the second PCPS axis and the PCC with caution when niche breadth may be phylogenetically conserved; (iv) not read a lack of power under high dispersal as evidence against niche-based assembly, and consider abundance data for the PCC; and (v) use evoPCA or phylofactorization, rather than PCPS axes, to identify the clades associated with a gradient.</w:t>
      </w:r>
    </w:p>
    <w:bookmarkEnd w:id="55"/>
    <w:bookmarkStart w:id="56" w:name="references"/>
    <w:p>
      <w:pPr>
        <w:pStyle w:val="Heading1"/>
      </w:pPr>
      <w:r>
        <w:t xml:space="preserve">References</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https://doi.org/10.1007/978-94-011-2106-4)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CNPq (Conselho Nacional de Desenvolvimento Científico e Tecnológico). (2026). Portaria CNPq nº 2.664, de 6 de março de 2026: Política de Integridade na Atividade Científica do CNPq.</w:t>
      </w:r>
      <w:r>
        <w:t xml:space="preserve"> </w:t>
      </w:r>
      <w:r>
        <w:rPr>
          <w:i/>
          <w:iCs/>
        </w:rPr>
        <w:t xml:space="preserve">Diário Oficial da União</w:t>
      </w:r>
      <w:r>
        <w:t xml:space="preserve">, Seção 1, 11 March 2026, p. 4.</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Drobniak, S. M., Cendrowska-Pek, M., Gudowska, A., Janas, K., Podkowa, P., Skorb, K., Gronowska, M., Oleś, W., Bikmurzina, F., Boroń, N., Zagalska-Neubauer, M., Nakagawa, S., Łagisz, M., Arct, A., &amp; Rutkowska, J. (2026). A systematic map of generative AI guidelines and reporting in ecology and evolutionary biology: towards the framework of AI disclosure for Improved Transparency (AIdIT).</w:t>
      </w:r>
      <w:r>
        <w:t xml:space="preserve"> </w:t>
      </w:r>
      <w:r>
        <w:rPr>
          <w:i/>
          <w:iCs/>
        </w:rPr>
        <w:t xml:space="preserve">Research Integrity and Peer Review</w:t>
      </w:r>
      <w:r>
        <w:t xml:space="preserve">, 11, 57. https://doi.org/10.1186/s41073-026-00230-1</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https://doi.org/10.32614/R.manuals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https://doi.org/10.32614/CRAN.package.renv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bookmarkStart w:id="57" w:name="ai-disclosure-statement"/>
    <w:p>
      <w:pPr>
        <w:pStyle w:val="Heading1"/>
      </w:pPr>
      <w:r>
        <w:t xml:space="preserve">AI disclosure statement</w:t>
      </w:r>
    </w:p>
    <w:p>
      <w:pPr>
        <w:pStyle w:val="FirstParagraph"/>
      </w:pPr>
      <w:r>
        <w:t xml:space="preserve">We used the following AI engines in the present study: Claude Opus 5.5 through Claude Code (Anthropic; v. claude-opus-5-5; timestamp: 2026-10-21); Consensus (timestamp: 2026-10-20); Undermind (timestamp: 2026-10-20); Scholar Gateway and Wiley Scholar Gateway (timestamp: 2026-10-20); LeapSpace (Elsevier; timestamp: 2026-10-20). Area(s) of generative AI usage: Claude Opus 5.5 - new code generation, refining existing code, code generation for visuals, statistical model formulation, identifying appropriate methods, error management, data cross-checking, bibliography management, identification of literature to cite, summarising multiple data sources, text generation based on prompts, text editing for style/grammar/spelling; Consensus - identification of literature to cite; Undermind - identification of literature to cite; Scholar Gateway and Wiley Scholar Gateway - identification of literature to cite; LeapSpace - identification of literature to cite, summarising multiple data sources. The author declares that all content generated or modified by the AI tools used was verified and approved by the author. The use of AI in this paper was in compliance with the ethical regulations of all funders and host institutions, including the Policy on Integrity in Scientific Activity of the Brazilian National Council for Scientific and Technological Development, which requires the declaration of every use of generative AI (Portaria CNPq nº 2.664, of 6 March 2026; CNPq, 2026). Representative prompts used in AI content generation are available upon request, and a log of the interactions with the AI engines is kept in the public code repository (docs/AI_INTERACTION_LOG.md), which will be cited after review. AI tools were used between 2026-10-16 and 2026-10-21, following the AIdIT framework (Drobniak et al., 2026); all design decisions were made by the author, all numbers in the text are computed from the archived outputs of the analyses, and every reference was checked against its DOI.</w:t>
      </w:r>
    </w:p>
    <w:bookmarkEnd w:id="57"/>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2026-10-21T19:38:27Z</dcterms:created>
  <dcterms:modified xsi:type="dcterms:W3CDTF">2026-10-21T19:38:27Z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