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Supporting Information</w:t>
      </w:r>
    </w:p>
    <w:p>
      <w:pPr>
        <w:pStyle w:val="Subtitle"/>
      </w:pPr>
      <w:r>
        <w:t xml:space="preserve">Tree shape and metacommunity assembly govern the performance of phylogenetic community–environment methods</w:t>
      </w:r>
    </w:p>
    <w:bookmarkStart w:id="27" w:name="appendix-s1.-extended-methods"/>
    <w:p>
      <w:pPr>
        <w:pStyle w:val="Heading1"/>
      </w:pPr>
      <w:r>
        <w:t xml:space="preserve">Appendix S1. Extended methods</w:t>
      </w:r>
    </w:p>
    <w:bookmarkStart w:id="20" w:name="X42301795ba2a3f321752147db30b74ed2bfaf8b"/>
    <w:p>
      <w:pPr>
        <w:pStyle w:val="Heading2"/>
      </w:pPr>
      <w:r>
        <w:t xml:space="preserve">Tree generator and calibration of the grid</w:t>
      </w:r>
    </w:p>
    <w:p>
      <w:pPr>
        <w:pStyle w:val="FirstParagraph"/>
      </w:pPr>
      <w:r>
        <w:t xml:space="preserve">We drew topologies from Aldous’s β-splitting model (Aldous, 1996) and branching times from a pure-birth process in which each of the</w:t>
      </w:r>
      <w:r>
        <w:t xml:space="preserve"> </w:t>
      </w:r>
      <m:oMath>
        <m:r>
          <m:t>k</m:t>
        </m:r>
      </m:oMath>
      <w:r>
        <w:t xml:space="preserve"> </w:t>
      </w:r>
      <w:r>
        <w:t xml:space="preserve">lineages diversifies at rate</w:t>
      </w:r>
      <w:r>
        <w:t xml:space="preserve"> </w:t>
      </w:r>
      <m:oMath>
        <m:sSup>
          <m:e>
            <m:r>
              <m:t>k</m:t>
            </m:r>
          </m:e>
          <m:sup>
            <m:r>
              <m:t>c</m:t>
            </m:r>
          </m:sup>
        </m:sSup>
      </m:oMath>
      <w:r>
        <w:t xml:space="preserve">, so that</w:t>
      </w:r>
      <w:r>
        <w:t xml:space="preserve"> </w:t>
      </w:r>
      <m:oMath>
        <m:r>
          <m:t>c</m:t>
        </m:r>
        <m:r>
          <m:rPr>
            <m:sty m:val="p"/>
          </m:rPr>
          <m:t>=</m:t>
        </m:r>
        <m:r>
          <m:t>0</m:t>
        </m:r>
      </m:oMath>
      <w:r>
        <w:t xml:space="preserve"> </w:t>
      </w:r>
      <w:r>
        <w:t xml:space="preserve">corresponds to a Yule process and</w:t>
      </w:r>
      <w:r>
        <w:t xml:space="preserve"> </w:t>
      </w:r>
      <m:oMath>
        <m:r>
          <m:t>c</m:t>
        </m:r>
        <m:r>
          <m:rPr>
            <m:sty m:val="p"/>
          </m:rPr>
          <m:t>&lt;</m:t>
        </m:r>
        <m:r>
          <m:t>0</m:t>
        </m:r>
      </m:oMath>
      <w:r>
        <w:t xml:space="preserve"> </w:t>
      </w:r>
      <w:r>
        <w:t xml:space="preserve">to a slowdown in diversification, as under diversity dependence. We then ordered the nodes by a uniform linear extension of the partial order of the tree and set the root depth to one. Because γ depends only on the intervals between nodes and the Colless index only on the topology, this construction controls the two axes separately. This generator is our own design choice and not a published model; it replaced the library of trees from several generators, sampled by strata, that we had planned, because it gives independent control by construction.</w:t>
      </w:r>
    </w:p>
    <w:p>
      <w:pPr>
        <w:pStyle w:val="BodyText"/>
      </w:pPr>
      <w:r>
        <w:t xml:space="preserve">We calibrated</w:t>
      </w:r>
      <w:r>
        <w:t xml:space="preserve"> </w:t>
      </w:r>
      <m:oMath>
        <m:r>
          <m:t>c</m:t>
        </m:r>
      </m:oMath>
      <w:r>
        <w:t xml:space="preserve"> </w:t>
      </w:r>
      <w:r>
        <w:t xml:space="preserve">and β for each N with curves of the mean statistic against the parameter, and accepted a tree only when both statistics fell within 0.5 units of the targets of its cell, which gave acceptance rates of 9–25% (Table S1). Thus, every cell of the 3 × 3 grid could be filled. The Yule × Yule cell approximates the trees used in previous validations (Peres-Neto &amp; Kembel, 2015; Duarte et al., 2016), since the acceptance window truncates the Yule distribution of both statistics.</w:t>
      </w:r>
    </w:p>
    <w:bookmarkEnd w:id="20"/>
    <w:bookmarkStart w:id="21" w:name="X9fc1777e7a62f10d90bc482976a7335c7d8d32c"/>
    <w:p>
      <w:pPr>
        <w:pStyle w:val="Heading2"/>
      </w:pPr>
      <w:r>
        <w:t xml:space="preserve">Phylogenetic signal in niche breadth and maximum abundance</w:t>
      </w:r>
    </w:p>
    <w:p>
      <w:pPr>
        <w:pStyle w:val="FirstParagraph"/>
      </w:pPr>
      <w:r>
        <w:t xml:space="preserve">When</w:t>
      </w:r>
      <w:r>
        <w:t xml:space="preserve"> </w:t>
      </w:r>
      <m:oMath>
        <m:sSub>
          <m:e>
            <m:r>
              <m:t>σ</m:t>
            </m:r>
          </m:e>
          <m:sub>
            <m:r>
              <m:t>j</m:t>
            </m:r>
          </m:sub>
        </m:sSub>
      </m:oMath>
      <w:r>
        <w:t xml:space="preserve"> </w:t>
      </w:r>
      <w:r>
        <w:t xml:space="preserve">or</w:t>
      </w:r>
      <w:r>
        <w:t xml:space="preserve"> </w:t>
      </w:r>
      <m:oMath>
        <m:sSub>
          <m:e>
            <m:r>
              <m:t>h</m:t>
            </m:r>
          </m:e>
          <m:sub>
            <m:r>
              <m:t>j</m:t>
            </m:r>
          </m:sub>
        </m:sSub>
      </m:oMath>
      <w:r>
        <w:t xml:space="preserve"> </w:t>
      </w:r>
      <w:r>
        <w:t xml:space="preserve">carried phylogenetic signal, we simulated a Brownian trait on the tree (λ = 1) and imposed on it the marginal distribution of the scenario without signal by ranks, that is, the species with the</w:t>
      </w:r>
      <w:r>
        <w:t xml:space="preserve"> </w:t>
      </w:r>
      <m:oMath>
        <m:r>
          <m:t>m</m:t>
        </m:r>
      </m:oMath>
      <w:r>
        <w:t xml:space="preserve">-th largest Brownian value received the</w:t>
      </w:r>
      <w:r>
        <w:t xml:space="preserve"> </w:t>
      </w:r>
      <m:oMath>
        <m:r>
          <m:t>m</m:t>
        </m:r>
      </m:oMath>
      <w:r>
        <w:t xml:space="preserve">-th largest value of a sample from the original distribution. Scenarios with and without signal therefore differed only in how the values were arranged on the tree.</w:t>
      </w:r>
    </w:p>
    <w:bookmarkEnd w:id="21"/>
    <w:bookmarkStart w:id="22" w:name="layer-b"/>
    <w:p>
      <w:pPr>
        <w:pStyle w:val="Heading2"/>
      </w:pPr>
      <w:r>
        <w:t xml:space="preserve">Layer B</w:t>
      </w:r>
    </w:p>
    <w:p>
      <w:pPr>
        <w:pStyle w:val="FirstParagraph"/>
      </w:pPr>
      <w:r>
        <w:t xml:space="preserve">The dynamics followed Thompson et al. (2020), which we implemented in R from the published equations, because neither the original Julia code nor the R package mcomsimr carries a licence. The expected abundance of species</w:t>
      </w:r>
      <w:r>
        <w:t xml:space="preserve"> </w:t>
      </w:r>
      <m:oMath>
        <m:r>
          <m:t>j</m:t>
        </m:r>
      </m:oMath>
      <w:r>
        <w:t xml:space="preserve"> </w:t>
      </w:r>
      <w:r>
        <w:t xml:space="preserve">at site</w:t>
      </w:r>
      <w:r>
        <w:t xml:space="preserve"> </w:t>
      </w:r>
      <m:oMath>
        <m:r>
          <m:t>i</m:t>
        </m:r>
      </m:oMath>
      <w:r>
        <w:t xml:space="preserve"> </w:t>
      </w:r>
      <w:r>
        <w:t xml:space="preserve">at time</w:t>
      </w:r>
      <w:r>
        <w:t xml:space="preserve"> </w:t>
      </w:r>
      <m:oMath>
        <m:r>
          <m:t>t</m:t>
        </m:r>
        <m:r>
          <m:rPr>
            <m:sty m:val="p"/>
          </m:rPr>
          <m:t>+</m:t>
        </m:r>
        <m:r>
          <m:t>1</m:t>
        </m:r>
      </m:oMath>
      <w:r>
        <w:t xml:space="preserve"> </w:t>
      </w:r>
      <w:r>
        <w:t xml:space="preserve">was</w:t>
      </w:r>
    </w:p>
    <w:p>
      <w:pPr>
        <w:pStyle w:val="BodyText"/>
      </w:pPr>
      <m:oMathPara>
        <m:oMathParaPr>
          <m:jc m:val="center"/>
        </m:oMathParaPr>
        <m:oMath>
          <m:sSub>
            <m:e>
              <m:r>
                <m:t>μ</m:t>
              </m:r>
            </m:e>
            <m:sub>
              <m:r>
                <m:t>i</m:t>
              </m:r>
              <m:r>
                <m:t>j</m:t>
              </m:r>
            </m:sub>
          </m:sSub>
          <m:d>
            <m:dPr>
              <m:begChr m:val="("/>
              <m:sepChr m:val=""/>
              <m:endChr m:val=")"/>
              <m:grow/>
            </m:dPr>
            <m:e>
              <m:r>
                <m:t>t</m:t>
              </m:r>
            </m:e>
          </m:d>
          <m:r>
            <m:rPr>
              <m:sty m:val="p"/>
            </m:rPr>
            <m:t>=</m:t>
          </m:r>
          <m:f>
            <m:fPr>
              <m:type m:val="bar"/>
            </m:fPr>
            <m:num>
              <m:sSub>
                <m:e>
                  <m:r>
                    <m:t>r</m:t>
                  </m:r>
                </m:e>
                <m:sub>
                  <m:r>
                    <m:t>j</m:t>
                  </m:r>
                </m:sub>
              </m:sSub>
              <m:r>
                <m:rPr>
                  <m:sty m:val="p"/>
                </m:rPr>
                <m:t>exp</m:t>
              </m:r>
              <m:d>
                <m:dPr>
                  <m:begChr m:val="["/>
                  <m:sepChr m:val=""/>
                  <m:endChr m:val="]"/>
                  <m:grow/>
                </m:dPr>
                <m:e>
                  <m:r>
                    <m:rPr>
                      <m:sty m:val="p"/>
                    </m:rPr>
                    <m:t>−</m:t>
                  </m:r>
                  <m:f>
                    <m:fPr>
                      <m:type m:val="bar"/>
                    </m:fPr>
                    <m:num>
                      <m:sSup>
                        <m:e>
                          <m:d>
                            <m:dPr>
                              <m:begChr m:val="("/>
                              <m:sepChr m:val=""/>
                              <m:endChr m:val=")"/>
                              <m:grow/>
                            </m:dPr>
                            <m:e>
                              <m:sSub>
                                <m:e>
                                  <m:r>
                                    <m:t>E</m:t>
                                  </m:r>
                                </m:e>
                                <m:sub>
                                  <m:r>
                                    <m:t>i</m:t>
                                  </m:r>
                                </m:sub>
                              </m:sSub>
                              <m:r>
                                <m:rPr>
                                  <m:sty m:val="p"/>
                                </m:rPr>
                                <m:t>−</m:t>
                              </m:r>
                              <m:sSub>
                                <m:e>
                                  <m:r>
                                    <m:t>u</m:t>
                                  </m:r>
                                </m:e>
                                <m:sub>
                                  <m:r>
                                    <m:t>j</m:t>
                                  </m:r>
                                </m:sub>
                              </m:sSub>
                            </m:e>
                          </m:d>
                        </m:e>
                        <m:sup>
                          <m:r>
                            <m:t>2</m:t>
                          </m:r>
                        </m:sup>
                      </m:sSup>
                    </m:num>
                    <m:den>
                      <m:r>
                        <m:t>2</m:t>
                      </m:r>
                      <m:sSubSup>
                        <m:e>
                          <m:r>
                            <m:t>σ</m:t>
                          </m:r>
                        </m:e>
                        <m:sub>
                          <m:r>
                            <m:t>j</m:t>
                          </m:r>
                        </m:sub>
                        <m:sup>
                          <m:r>
                            <m:t>2</m:t>
                          </m:r>
                        </m:sup>
                      </m:sSubSup>
                    </m:den>
                  </m:f>
                </m:e>
              </m:d>
              <m:sSub>
                <m:e>
                  <m:r>
                    <m:t>N</m:t>
                  </m:r>
                </m:e>
                <m:sub>
                  <m:r>
                    <m:t>i</m:t>
                  </m:r>
                  <m:r>
                    <m:t>j</m:t>
                  </m:r>
                </m:sub>
              </m:sSub>
              <m:d>
                <m:dPr>
                  <m:begChr m:val="("/>
                  <m:sepChr m:val=""/>
                  <m:endChr m:val=")"/>
                  <m:grow/>
                </m:dPr>
                <m:e>
                  <m:r>
                    <m:t>t</m:t>
                  </m:r>
                </m:e>
              </m:d>
            </m:num>
            <m:den>
              <m:r>
                <m:t>1</m:t>
              </m:r>
              <m:r>
                <m:rPr>
                  <m:sty m:val="p"/>
                </m:rPr>
                <m:t>+</m:t>
              </m:r>
              <m:nary>
                <m:naryPr>
                  <m:chr m:val="∑"/>
                  <m:limLoc m:val="undOvr"/>
                  <m:subHide m:val="off"/>
                  <m:supHide m:val="on"/>
                </m:naryPr>
                <m:sub>
                  <m:r>
                    <m:t>k</m:t>
                  </m:r>
                </m:sub>
                <m:sup>
                  <m:r>
                    <m:t>​</m:t>
                  </m:r>
                </m:sup>
                <m:e>
                  <m:sSub>
                    <m:e>
                      <m:r>
                        <m:t>α</m:t>
                      </m:r>
                    </m:e>
                    <m:sub>
                      <m:r>
                        <m:t>j</m:t>
                      </m:r>
                      <m:r>
                        <m:t>k</m:t>
                      </m:r>
                    </m:sub>
                  </m:sSub>
                </m:e>
              </m:nary>
              <m:sSub>
                <m:e>
                  <m:r>
                    <m:t>N</m:t>
                  </m:r>
                </m:e>
                <m:sub>
                  <m:r>
                    <m:t>i</m:t>
                  </m:r>
                  <m:r>
                    <m:t>k</m:t>
                  </m:r>
                </m:sub>
              </m:sSub>
              <m:d>
                <m:dPr>
                  <m:begChr m:val="("/>
                  <m:sepChr m:val=""/>
                  <m:endChr m:val=")"/>
                  <m:grow/>
                </m:dPr>
                <m:e>
                  <m:r>
                    <m:t>t</m:t>
                  </m:r>
                </m:e>
              </m:d>
            </m:den>
          </m:f>
          <m:r>
            <m:rPr>
              <m:sty m:val="p"/>
            </m:rPr>
            <m:t>,</m:t>
          </m:r>
        </m:oMath>
      </m:oMathPara>
    </w:p>
    <w:p>
      <w:pPr>
        <w:pStyle w:val="FirstParagraph"/>
      </w:pPr>
      <w:r>
        <w:t xml:space="preserve">where</w:t>
      </w:r>
      <w:r>
        <w:t xml:space="preserve"> </w:t>
      </w:r>
      <m:oMath>
        <m:sSub>
          <m:e>
            <m:r>
              <m:t>N</m:t>
            </m:r>
          </m:e>
          <m:sub>
            <m:r>
              <m:t>i</m:t>
            </m:r>
            <m:r>
              <m:t>j</m:t>
            </m:r>
          </m:sub>
        </m:sSub>
        <m:d>
          <m:dPr>
            <m:begChr m:val="("/>
            <m:sepChr m:val=""/>
            <m:endChr m:val=")"/>
            <m:grow/>
          </m:dPr>
          <m:e>
            <m:r>
              <m:t>t</m:t>
            </m:r>
          </m:e>
        </m:d>
      </m:oMath>
      <w:r>
        <w:t xml:space="preserve"> </w:t>
      </w:r>
      <w:r>
        <w:t xml:space="preserve">is the abundance of species</w:t>
      </w:r>
      <w:r>
        <w:t xml:space="preserve"> </w:t>
      </w:r>
      <m:oMath>
        <m:r>
          <m:t>j</m:t>
        </m:r>
      </m:oMath>
      <w:r>
        <w:t xml:space="preserve"> </w:t>
      </w:r>
      <w:r>
        <w:t xml:space="preserve">at site</w:t>
      </w:r>
      <w:r>
        <w:t xml:space="preserve"> </w:t>
      </w:r>
      <m:oMath>
        <m:r>
          <m:t>i</m:t>
        </m:r>
      </m:oMath>
      <w:r>
        <w:t xml:space="preserve"> </w:t>
      </w:r>
      <w:r>
        <w:t xml:space="preserve">and</w:t>
      </w:r>
      <w:r>
        <w:t xml:space="preserve"> </w:t>
      </w:r>
      <m:oMath>
        <m:sSub>
          <m:e>
            <m:r>
              <m:t>α</m:t>
            </m:r>
          </m:e>
          <m:sub>
            <m:r>
              <m:t>j</m:t>
            </m:r>
            <m:r>
              <m:t>k</m:t>
            </m:r>
          </m:sub>
        </m:sSub>
      </m:oMath>
      <w:r>
        <w:t xml:space="preserve"> </w:t>
      </w:r>
      <w:r>
        <w:t xml:space="preserve">is the effect of species</w:t>
      </w:r>
      <w:r>
        <w:t xml:space="preserve"> </w:t>
      </w:r>
      <m:oMath>
        <m:r>
          <m:t>k</m:t>
        </m:r>
      </m:oMath>
      <w:r>
        <w:t xml:space="preserve"> </w:t>
      </w:r>
      <w:r>
        <w:t xml:space="preserve">on species</w:t>
      </w:r>
      <w:r>
        <w:t xml:space="preserve"> </w:t>
      </w:r>
      <m:oMath>
        <m:r>
          <m:t>j</m:t>
        </m:r>
      </m:oMath>
      <w:r>
        <w:t xml:space="preserve">. We drew abundances from a Poisson distribution with mean</w:t>
      </w:r>
      <w:r>
        <w:t xml:space="preserve"> </w:t>
      </w:r>
      <m:oMath>
        <m:sSub>
          <m:e>
            <m:r>
              <m:t>μ</m:t>
            </m:r>
          </m:e>
          <m:sub>
            <m:r>
              <m:t>i</m:t>
            </m:r>
            <m:r>
              <m:t>j</m:t>
            </m:r>
          </m:sub>
        </m:sSub>
        <m:d>
          <m:dPr>
            <m:begChr m:val="("/>
            <m:sepChr m:val=""/>
            <m:endChr m:val=")"/>
            <m:grow/>
          </m:dPr>
          <m:e>
            <m:r>
              <m:t>t</m:t>
            </m:r>
          </m:e>
        </m:d>
      </m:oMath>
      <w:r>
        <w:t xml:space="preserve">; each individual then emigrated with probability</w:t>
      </w:r>
      <w:r>
        <w:t xml:space="preserve"> </w:t>
      </w:r>
      <m:oMath>
        <m:r>
          <m:t>a</m:t>
        </m:r>
      </m:oMath>
      <w:r>
        <w:t xml:space="preserve">, and each site received the emigrants of each species from all other sites in proportion to their number (a multinomial draw), so that the dispersal kernel was uniform. Our σ is the standard deviation of the Gaussian response, as in Layer A, and equals</w:t>
      </w:r>
      <w:r>
        <w:t xml:space="preserve"> </w:t>
      </w:r>
      <m:oMath>
        <m:rad>
          <m:radPr>
            <m:degHide m:val="on"/>
          </m:radPr>
          <m:deg/>
          <m:e>
            <m:r>
              <m:t>2</m:t>
            </m:r>
          </m:e>
        </m:rad>
      </m:oMath>
      <w:r>
        <w:t xml:space="preserve"> </w:t>
      </w:r>
      <w:r>
        <w:t xml:space="preserve">times the breadth parameter of Thompson et al. (2020). The environment was static. All species were seeded with Poisson(0.5) individuals per site every 10 steps during the first 100 steps, the dynamics ran for 1,000 steps, and we kept only the final state, a single survey, rather than a temporal mean. Maximum growth rate</w:t>
      </w:r>
      <w:r>
        <w:t xml:space="preserve"> </w:t>
      </w:r>
      <m:oMath>
        <m:sSub>
          <m:e>
            <m:r>
              <m:t>r</m:t>
            </m:r>
          </m:e>
          <m:sub>
            <m:r>
              <m:t>j</m:t>
            </m:r>
          </m:sub>
        </m:sSub>
      </m:oMath>
      <w:r>
        <w:t xml:space="preserve">, drawn from a uniform distribution between 2 and 8, took the role of</w:t>
      </w:r>
      <w:r>
        <w:t xml:space="preserve"> </w:t>
      </w:r>
      <m:oMath>
        <m:sSub>
          <m:e>
            <m:r>
              <m:t>h</m:t>
            </m:r>
          </m:e>
          <m:sub>
            <m:r>
              <m:t>j</m:t>
            </m:r>
          </m:sub>
        </m:sSub>
      </m:oMath>
      <w:r>
        <w:t xml:space="preserve"> </w:t>
      </w:r>
      <w:r>
        <w:t xml:space="preserve">in the trait scenarios.</w:t>
      </w:r>
    </w:p>
    <w:p>
      <w:pPr>
        <w:pStyle w:val="BodyText"/>
      </w:pPr>
      <w:r>
        <w:t xml:space="preserve">Under phylogenetic competition, interspecific coefficients came from a uniform distribution between 0 and 0.1, relative to an intraspecific coefficient of 1 (both multiplied by 0.05), and were assigned to species pairs by the rank of their phylogenetic similarity, so that close relatives competed more strongly. We calibrated the size of the pool for each archetype, scenario and N so that the mean number of species left after the dynamics was close to N, and drew the pool tree with the targets of its cell, recalibrating β and</w:t>
      </w:r>
      <w:r>
        <w:t xml:space="preserve"> </w:t>
      </w:r>
      <m:oMath>
        <m:r>
          <m:t>c</m:t>
        </m:r>
      </m:oMath>
      <w:r>
        <w:t xml:space="preserve"> </w:t>
      </w:r>
      <w:r>
        <w:t xml:space="preserve">for each pool size. However, mass effects with phylogenetic competition could not reach N = 200, since pools of up to 2,900 species left only about 150 species, and we dropped this combination. We recorded γ and the Colless index of both the pool tree and the analysed tree.</w:t>
      </w:r>
    </w:p>
    <w:bookmarkEnd w:id="22"/>
    <w:bookmarkStart w:id="23" w:name="permutation-tests"/>
    <w:p>
      <w:pPr>
        <w:pStyle w:val="Heading2"/>
      </w:pPr>
      <w:r>
        <w:t xml:space="preserve">Permutation tests</w:t>
      </w:r>
    </w:p>
    <w:p>
      <w:pPr>
        <w:pStyle w:val="FirstParagraph"/>
      </w:pPr>
      <w:r>
        <w:t xml:space="preserve">We wrote the permutation loops ourselves for efficiency and checked, in unit tests, that the observed statistics equal those of the R packages vegan v. 2.7-6 (Oksanen et al., 2026) and PCPS v. 1.0.9 (Debastiani, 2026). The 999 permutations give P-values a resolution of 0.001.</w:t>
      </w:r>
    </w:p>
    <w:bookmarkEnd w:id="23"/>
    <w:bookmarkStart w:id="24" w:name="X21df7844d013affdd44c0f6e5261fd7f9b8c4da"/>
    <w:p>
      <w:pPr>
        <w:pStyle w:val="Heading2"/>
      </w:pPr>
      <w:r>
        <w:t xml:space="preserve">Node scores of the clade-recovery methods</w:t>
      </w:r>
    </w:p>
    <w:p>
      <w:pPr>
        <w:pStyle w:val="FirstParagraph"/>
      </w:pPr>
      <w:r>
        <w:t xml:space="preserve">For PCPS, PCC and evoPCA, each method took the axis most correlated with</w:t>
      </w:r>
      <w:r>
        <w:t xml:space="preserve"> </w:t>
      </w:r>
      <m:oMath>
        <m:r>
          <m:t>E</m:t>
        </m:r>
      </m:oMath>
      <w:r>
        <w:t xml:space="preserve"> </w:t>
      </w:r>
      <w:r>
        <w:t xml:space="preserve">among its first four, and the score of each internal node was the absolute correlation between membership of its clade and the species scores on that axis. The species scores were the correlations of the columns of</w:t>
      </w:r>
      <w:r>
        <w:t xml:space="preserve"> </w:t>
      </w:r>
      <m:oMath>
        <m:r>
          <m:rPr>
            <m:sty m:val="b"/>
          </m:rPr>
          <m:t>P</m:t>
        </m:r>
      </m:oMath>
      <w:r>
        <w:t xml:space="preserve"> </w:t>
      </w:r>
      <w:r>
        <w:t xml:space="preserve">with the PCPS axis, which equal the species scores of the R package PCPS; the values of the phylogenetic eigenvector for PCC; and the correlations of the species columns of the Hellinger-transformed table of evoPCA (Legendre &amp; Gallagher, 2001). We did not use the branch loadings of evoPCA because, with incidence data, a branch is present wherever any of its descendants is, so the branch above a planted clade saturates and small subclades always correlate better with the axis. For phylofactorization (Washburne et al., 2017), the score of each split was the objective of the algorithm, the deviance explained by the phylogenetic factor in a binomial model with incidence data or the variance explained by the isometric log-ratio balance with abundance data; we computed it for every node, which gives the same best split as the R package phylofactor v. 0.0.1 (Washburne et al., 2017) while also ranking all nodes. For a given replicate, the planted clade, the optima and the gradient were the same across shifts and data types, so that only the factor of interest changed. The planted-clade objective replaced the per-node effect sizes under continuous Brownian motion that we had planned, because a planted clade defines unambiguously which answer is correct.</w:t>
      </w:r>
    </w:p>
    <w:bookmarkEnd w:id="24"/>
    <w:bookmarkStart w:id="25" w:name="Xb3c5d702d9c3acbb94abf6ca1650d89d268e15b"/>
    <w:p>
      <w:pPr>
        <w:pStyle w:val="Heading2"/>
      </w:pPr>
      <w:r>
        <w:t xml:space="preserve">Performance measures and formal models of the simulation results</w:t>
      </w:r>
    </w:p>
    <w:p>
      <w:pPr>
        <w:pStyle w:val="FirstParagraph"/>
      </w:pPr>
      <w:r>
        <w:t xml:space="preserve">With</w:t>
      </w:r>
      <w:r>
        <w:t xml:space="preserve"> </w:t>
      </w:r>
      <m:oMath>
        <m:r>
          <m:t>K</m:t>
        </m:r>
        <m:r>
          <m:rPr>
            <m:sty m:val="p"/>
          </m:rPr>
          <m:t>=</m:t>
        </m:r>
        <m:r>
          <m:t>1</m:t>
        </m:r>
        <m:r>
          <m:rPr>
            <m:sty m:val="p"/>
          </m:rPr>
          <m:t>,</m:t>
        </m:r>
        <m:r>
          <m:t>000</m:t>
        </m:r>
      </m:oMath>
      <w:r>
        <w:t xml:space="preserve"> </w:t>
      </w:r>
      <w:r>
        <w:t xml:space="preserve">replicates, the Monte Carlo standard error is at most 0.016 (at a rate of 0.5), and a 95% Monte Carlo interval around the nominal level spans about ±0.014; we chose</w:t>
      </w:r>
      <w:r>
        <w:t xml:space="preserve"> </w:t>
      </w:r>
      <m:oMath>
        <m:r>
          <m:t>K</m:t>
        </m:r>
      </m:oMath>
      <w:r>
        <w:t xml:space="preserve"> </w:t>
      </w:r>
      <w:r>
        <w:t xml:space="preserve">so that this interval falls within Bradley’s liberal criterion for acceptable type I error, [0.025, 0.075] (Bradley, 1978). The credible intervals of the formal models include the binomial variation among replicates.</w:t>
      </w:r>
    </w:p>
    <w:p>
      <w:pPr>
        <w:pStyle w:val="BodyText"/>
      </w:pPr>
      <w:r>
        <w:t xml:space="preserve">The plan was to treat γ and the Colless index as continuous covariates, but each cell of the grid has a single target per axis, and Layer A did not store the shape of every tree, so a continuous term would only interpolate three points. Therefore, we entered the levels of both statistics as factors. In Layer A, the shape effects could differ among tests and scenarios, which is what testing a nuisance effect that depends on tree shape requires, and with N and data type; in the R formula notation, the model was test * scenario * (γ + Colless) + test * (γ:Colless + N + data type) + test:(γ + Colless):(N + data type) + test:scenario:N, where the last term lets the scenario effects, such as the inflation under nuisance structure, differ with N. In Layer B, where only five cells were simulated, the cell entered as a five-level factor, in test * archetype * (scenario + cell) + test * N * (archetype + scenario + cell). The clade-recovery model was method * (γ * depth + Colless + γ:Colless + shift + N + data type) + method:(γ + Colless):(N + data type + shift).</w:t>
      </w:r>
    </w:p>
    <w:p>
      <w:pPr>
        <w:pStyle w:val="BodyText"/>
      </w:pPr>
      <w:r>
        <w:t xml:space="preserve">We first fitted quasibinomial generalized linear models to the same structures, which showed a dispersion 2.1–8.5 times larger than binomial. The beta-binomial accounts for this extra variation with a single precision parameter φ, whereas a first version with an observation-level random effect hit the maximum tree depth of the sampler in almost every transition. We used normal(0, 1.5) for all coefficients on the logit scale; normal(−2.9, 1.5) for the intercept of the type I models, centred on logit(0.05), and normal(0, 1.5) for the other intercepts; and gamma(2, 0.01) for φ, which is weakly informative around the values implied by the quasibinomial dispersion (φ of about 130–910). We ran four chains of 2,000 iterations (1,000 of warm-up) with adapt_delta = 0.95 and a maximum tree depth of 12, since with the default of 10 a few transitions of the type I models reached the limit. Posterior predictive checks were in sample, both for each condition and for the sums over the conditions of each test, N and cell.</w:t>
      </w:r>
    </w:p>
    <w:bookmarkEnd w:id="25"/>
    <w:bookmarkStart w:id="26" w:name="computation"/>
    <w:p>
      <w:pPr>
        <w:pStyle w:val="Heading2"/>
      </w:pPr>
      <w:r>
        <w:t xml:space="preserve">Computation</w:t>
      </w:r>
    </w:p>
    <w:p>
      <w:pPr>
        <w:pStyle w:val="FirstParagraph"/>
      </w:pPr>
      <w:r>
        <w:t xml:space="preserve">The simulations of Layer A and Layer B ran in a Docker image on spot cloud instances with 192 virtual CPUs (190 workers); the pipeline seed was 20261018, from which the R package targets v. 1.12.0 (Landau, 2021) derives one seed per branch, with workers launched by crew v. 1.3.3 (Landau, 2026). Layer A took about 8 h for the 432,000 metacommunities of the main run and Layer B about 7.5 h for its 440,000. The clade-recovery runs took 1.2 h on a 16-core workstation, with one seed per tree, depth and replicate, and each formal model 1–7 min. The trait simulation, the β-splitting and branching-time generator and the calibration of the grid are our own R code in the repository.</w:t>
      </w:r>
    </w:p>
    <w:bookmarkEnd w:id="26"/>
    <w:bookmarkEnd w:id="27"/>
    <w:bookmarkStart w:id="32" w:name="appendix-s2.-extended-results"/>
    <w:p>
      <w:pPr>
        <w:pStyle w:val="Heading1"/>
      </w:pPr>
      <w:r>
        <w:t xml:space="preserve">Appendix S2. Extended results</w:t>
      </w:r>
    </w:p>
    <w:bookmarkStart w:id="28" w:name="validation-against-published-results"/>
    <w:p>
      <w:pPr>
        <w:pStyle w:val="Heading2"/>
      </w:pPr>
      <w:r>
        <w:t xml:space="preserve">Validation against published results</w:t>
      </w:r>
    </w:p>
    <w:p>
      <w:pPr>
        <w:pStyle w:val="FirstParagraph"/>
      </w:pPr>
      <w:r>
        <w:t xml:space="preserve">The static layer reproduced the published validations. In the Yule trees of Duarte et al. (2016), the rejection rates of the site shuffle, the taxa shuffle and the max test fell within the 95% binomial interval of our estimates in 66 of 72 cells. The six exceptions came from four conditions (PERMANOVA with both components at N = 100, with environment only at N = 200 and with phylogeny only at N = 200, and the Mantel test with environment only at N = 200), slightly more than the 3.6 cells expected by chance. The mean PERMANOVA R² and Mantel ρ agreed to the second decimal place when we used the Bray–Curtis dissimilarity without the square root, as in the code of Duarte et al. (2016); in the rest of the study we used the square-rooted version. The PCC matched the published rates of Peres-Neto and Kembel (2015) in the scenarios that do not depend on the tree. Its power was lower than published (0.93 against 0.95), and it varied between 0.71 and 0.93 among 20 Yule trees, so the published values lie just above that range, which seems to reflect a single favourable tree. Thus, our implementation closely reproduces both benchmarks.</w:t>
      </w:r>
    </w:p>
    <w:bookmarkEnd w:id="28"/>
    <w:bookmarkStart w:id="29" w:name="type-i-error-in-layer-b"/>
    <w:p>
      <w:pPr>
        <w:pStyle w:val="Heading2"/>
      </w:pPr>
      <w:r>
        <w:t xml:space="preserve">Type I error in Layer B</w:t>
      </w:r>
    </w:p>
    <w:p>
      <w:pPr>
        <w:pStyle w:val="FirstParagraph"/>
      </w:pPr>
      <w:r>
        <w:t xml:space="preserve">Under the null hypothesis, no lower CI bound exceeded 0.075 at N = 100 (largest posterior median 0.088). However, raw rejection rates exceeded that limit for GLM PCPS2 in S2σ under species sorting (0.094 at N = 100 and 0.104–0.129 at N = 200 in the low- and mid-γ cells) and for the PCC in S2h (0.085–0.089 at N = 100; 0.111 under species sorting and 0.116–0.143 under mass effects at N = 200).</w:t>
      </w:r>
    </w:p>
    <w:bookmarkEnd w:id="29"/>
    <w:bookmarkStart w:id="30" w:name="clade-recovery-with-abundance-data"/>
    <w:p>
      <w:pPr>
        <w:pStyle w:val="Heading2"/>
      </w:pPr>
      <w:r>
        <w:t xml:space="preserve">Clade recovery with abundance data</w:t>
      </w:r>
    </w:p>
    <w:p>
      <w:pPr>
        <w:pStyle w:val="FirstParagraph"/>
      </w:pPr>
      <w:r>
        <w:t xml:space="preserve">With abundance data, recovery was lower for the compositional phylofactorization (0.68 and 0.56 for basal and recent clades at N = 100) than for evoPCA (0.78 and 0.65), and PCPS gained 0.29 (95% CI 0.25–0.33) and 0.23 (0.21–0.25) with low γ.</w:t>
      </w:r>
    </w:p>
    <w:bookmarkEnd w:id="30"/>
    <w:bookmarkStart w:id="31" w:name="convergence-and-fit-of-the-formal-models"/>
    <w:p>
      <w:pPr>
        <w:pStyle w:val="Heading2"/>
      </w:pPr>
      <w:r>
        <w:t xml:space="preserve">Convergence and fit of the formal models</w:t>
      </w:r>
    </w:p>
    <w:p>
      <w:pPr>
        <w:pStyle w:val="FirstParagraph"/>
      </w:pPr>
      <w:r>
        <w:t xml:space="preserve">All models converged, with</w:t>
      </w:r>
      <w:r>
        <w:t xml:space="preserve"> </w:t>
      </w:r>
      <m:oMath>
        <m:acc>
          <m:accPr>
            <m:chr m:val="̂"/>
          </m:accPr>
          <m:e>
            <m:r>
              <m:t>R</m:t>
            </m:r>
          </m:e>
        </m:acc>
      </m:oMath>
      <w:r>
        <w:t xml:space="preserve"> </w:t>
      </w:r>
      <w:r>
        <w:t xml:space="preserve">≤ 1.01, bulk effective sample size ≥ 908 and tail effective sample size ≥ 1,477, no divergent transitions and no transition at the maximum tree depth (Table S3). The in-sample 95% posterior predictive intervals contained 96–98% of the observed rates of each condition and the 50% intervals 61–70%, so the predictive intervals are slightly wider than needed; when we summed the conditions of each test, N and cell, every group fell within its 95% interval.</w:t>
      </w:r>
    </w:p>
    <w:bookmarkEnd w:id="31"/>
    <w:bookmarkEnd w:id="32"/>
    <w:bookmarkStart w:id="38" w:name="Xe229b3875b755fa040ccee6a6defa38ba6f6b70"/>
    <w:p>
      <w:pPr>
        <w:pStyle w:val="Heading1"/>
      </w:pPr>
      <w:r>
        <w:t xml:space="preserve">Appendix S3. Real pools and real metacommunities</w:t>
      </w:r>
    </w:p>
    <w:bookmarkStart w:id="33" w:name="methods"/>
    <w:p>
      <w:pPr>
        <w:pStyle w:val="Heading2"/>
      </w:pPr>
      <w:r>
        <w:t xml:space="preserve">Methods</w:t>
      </w:r>
    </w:p>
    <w:p>
      <w:pPr>
        <w:pStyle w:val="FirstParagraph"/>
      </w:pPr>
      <w:r>
        <w:t xml:space="preserve">To show where real regional species pools fall in the grid of tree shapes, and how the methods behave with real data, we used 14 tadpole metacommunities compiled from the literature and from unpublished data. We harmonized species names with the Amphibian Species of the World (Frost, 2026; through the internal dataset of AmphiNom, updated on 16 October 2025) using the R package AmphiNom v. 1.1.0 (Liedtke, 2019), excluded undetermined taxa, and matched the remaining 123 species to the tips of the Portik et al. (2023) tree. We built three nested pools (Atlantic Forest; Atlantic Forest and interior of São Paulo; all South American metacommunities) pruned the tree to each, and computed γ and the normalized Colless index on the point-estimate tree and on its 100 time-calibrated bootstrap trees. For the case study, we used the metacommunities with at least 10 ponds and pond depth measured in every pond, namely two of the 14 and one additional published dataset: Serra da Bocaina (13 ponds; Provete et al., 2014), southern Brazil (32 ponds; Both et al., 2011) and northwestern São Paulo (40 ponds; Prado &amp; Rossa-Feres, 2014). We applied all tests and the four clade-scoring methods to incidence data with pond depth as the gradient, and also with canopy cover in Bocaina, the variable associated with its phylogenetic composition in a previous analysis with PCPS (Provete, 2018).</w:t>
      </w:r>
    </w:p>
    <w:bookmarkEnd w:id="33"/>
    <w:bookmarkStart w:id="37" w:name="results"/>
    <w:p>
      <w:pPr>
        <w:pStyle w:val="Heading2"/>
      </w:pPr>
      <w:r>
        <w:t xml:space="preserve">Results</w:t>
      </w:r>
    </w:p>
    <w:p>
      <w:pPr>
        <w:pStyle w:val="FirstParagraph"/>
      </w:pPr>
      <w:r>
        <w:t xml:space="preserve">The three regional pools of anurans fell inside the grid of tree shapes (Fig. S1). The Atlantic Forest pool (60 species) had γ = −2.51 and a normalized Colless index of 0.67; adding the metacommunities of the interior of São Paulo (81 species) lowered γ to −3.16 with the same Colless index (0.67), and the South American pool (123 species) had γ = −3.90 and a Colless index of 1.99. Thus, γ of the three pools lies between the Yule and the median levels of the grid, and imbalance between the Yule and the median levels except in the largest pool, which lies between the median and the 90% quantile. Across the 100 bootstrap trees of Portik et al. (2023), γ varied by about one unit and the Colless index by up to 1.1 units, and the point-estimate tree sat at the lower edge of the distribution of γ, probably because the bootstrap trees differ in topology and have deeper roots. As a consequence, the low-γ cells, where we found the largest effects of tree shape, are more extreme than these pools, but within the range of the anuran clades used to define the grid.</w:t>
      </w:r>
    </w:p>
    <w:p>
      <w:pPr>
        <w:pStyle w:val="BodyText"/>
      </w:pPr>
      <w:r>
        <w:t xml:space="preserve">The three metacommunities of the case study had small trees with contrasting shapes. Bocaina (Provete et al., 2014; 15 species in 13 ponds) and southern Brazil (Both et al., 2011; 21 species in 32 ponds) had negative γ (−1.59 and −1.53), whereas northwestern São Paulo (Prado &amp; Rossa-Feres, 2014; 26 species in 40 ponds) had positive γ (1.39), outside the range of the grid. No test rejected the null hypothesis of no association between phylogenetic structure and pond depth with the max test (all P ≥ 0.107). In Bocaina, canopy cover was marginally associated with phylogenetic composition under the site shuffle (P = 0.048 for PERMANOVA and 0.050–0.053 for GLM PCPS1, RDA PCPS and PCC), but not under the taxa shuffle (P = 0.23–0.56). This seems to indicate that canopy cover is related to the composition of these ponds, in line with the analysis with PCPS of Provete (2018), but that the phylogenetic arrangement of the species adds no detectable signal once the tips are permuted, which is the inference the max test protects. The clade-scoring methods partly agreed: in Bocaina, PCC, evoPCA and phylofactorization chose the same clade of five Dendropsophus and Scinax species along the depth gradient, and in northwestern São Paulo PCC and evoPCA chose the three microhylids; the agreement of the PCC is unexpected, given its poor recovery in the simulations. However, with 13–40 ponds and without a significant test, these clades describe the strongest phylogenetic contrast along the gradient rather than a demonstrated association.</w:t>
      </w:r>
    </w:p>
    <w:p>
      <w:pPr>
        <w:pStyle w:val="BodyText"/>
      </w:pPr>
      <w:r>
        <w:drawing>
          <wp:inline>
            <wp:extent cx="4890135" cy="3261010"/>
            <wp:effectExtent b="0" l="0" r="0" t="0"/>
            <wp:docPr descr="" title="" id="35" name="Picture"/>
            <a:graphic>
              <a:graphicData uri="http://schemas.openxmlformats.org/drawingml/2006/picture">
                <pic:pic>
                  <pic:nvPicPr>
                    <pic:cNvPr descr="figures/box1_pools.png" id="36" name="Picture"/>
                    <pic:cNvPicPr>
                      <a:picLocks noChangeArrowheads="1" noChangeAspect="1"/>
                    </pic:cNvPicPr>
                  </pic:nvPicPr>
                  <pic:blipFill>
                    <a:blip r:embed="rId34"/>
                    <a:stretch>
                      <a:fillRect/>
                    </a:stretch>
                  </pic:blipFill>
                  <pic:spPr bwMode="auto">
                    <a:xfrm>
                      <a:off x="0" y="0"/>
                      <a:ext cx="4890135" cy="3261010"/>
                    </a:xfrm>
                    <a:prstGeom prst="rect">
                      <a:avLst/>
                    </a:prstGeom>
                    <a:noFill/>
                    <a:ln w="9525">
                      <a:noFill/>
                      <a:headEnd/>
                      <a:tailEnd/>
                    </a:ln>
                  </pic:spPr>
                </pic:pic>
              </a:graphicData>
            </a:graphic>
          </wp:inline>
        </w:drawing>
      </w:r>
    </w:p>
    <w:p>
      <w:pPr>
        <w:pStyle w:val="BodyText"/>
      </w:pPr>
      <w:r>
        <w:t xml:space="preserve">Fig. S1. Tree shape of three nested regional pools of anurans (filled points and bars, median and 2.5–97.5% quantiles across 100 bootstrap trees; open diamonds, point-estimate tree) against the targets of the simulation grid (open symbols, by N) and the anuran clades with 40–250 tips of Portik et al. (2023) (grey points). Notice that the pools fall inside the grid and close to its Yule and median levels, and that the point-estimate tree has a lower γ than most bootstrap trees.</w:t>
      </w:r>
    </w:p>
    <w:bookmarkEnd w:id="37"/>
    <w:bookmarkEnd w:id="38"/>
    <w:bookmarkStart w:id="40" w:name="table-s1"/>
    <w:p>
      <w:pPr>
        <w:pStyle w:val="Heading1"/>
      </w:pPr>
      <w:r>
        <w:t xml:space="preserve">Table S1</w:t>
      </w:r>
    </w:p>
    <w:p>
      <w:pPr>
        <w:pStyle w:val="FirstParagraph"/>
      </w:pPr>
      <w:r>
        <w:t xml:space="preserve">Targets of the tree-shape grid for each pool size N. Levels of γ are zero (Yule), the median and the 10% quantile of the anuran clades with 40–250 tips of Portik et al. (2023); levels of the Colless index (normalized against its Yule expectation) are zero, the median and the 90% quantile.</w:t>
      </w:r>
      <w:r>
        <w:t xml:space="preserve"> </w:t>
      </w:r>
      <m:oMath>
        <m:r>
          <m:t>c</m:t>
        </m:r>
      </m:oMath>
      <w:r>
        <w:t xml:space="preserve"> </w:t>
      </w:r>
      <w:r>
        <w:t xml:space="preserve">and β are the calibrated parameters of the generator, and acceptance is the proportion of simulated trees that fell within 0.5 units of both targets.</w:t>
      </w:r>
    </w:p>
    <w:tbl>
      <w:tblPr>
        <w:tblStyle w:val="Table"/>
        <w:tblW w:type="pct" w:w="5000"/>
        <w:tblLayout w:type="fixed"/>
        <w:tblLook w:firstRow="0" w:lastRow="0" w:firstColumn="0" w:lastColumn="0" w:noHBand="0" w:noVBand="0" w:val="0000"/>
      </w:tblPr>
      <w:tblGrid>
        <w:gridCol w:w="7920"/>
      </w:tblGrid>
      <w:tr>
        <w:tc>
          <w:tcPr/>
          <w:bookmarkStart w:id="39" w:name="tbl-s1"/>
          <w:p>
            <w:pPr>
              <w:jc w:val="center"/>
            </w:pPr>
            <w:pPr>
              <w:jc w:val="left"/>
              <w:spacing w:before="200"/>
              <w:pStyle w:val="ImageCaption"/>
            </w:pPr>
            <w:r>
              <w:t xml:space="preserve">Table 1</w:t>
            </w:r>
          </w:p>
          <w:tbl>
            <w:tblPr>
              <w:tblStyle w:val="Table"/>
              <w:tblW w:type="pct" w:w="5000"/>
              <w:tblLayout w:type="fixed"/>
              <w:tblLook w:firstRow="1" w:lastRow="0" w:firstColumn="0" w:lastColumn="0" w:noHBand="0" w:noVBand="0" w:val="0020"/>
            </w:tblPr>
            <w:tblGrid>
              <w:gridCol w:w="396"/>
              <w:gridCol w:w="1287"/>
              <w:gridCol w:w="1386"/>
              <w:gridCol w:w="891"/>
              <w:gridCol w:w="1485"/>
              <w:gridCol w:w="693"/>
              <w:gridCol w:w="693"/>
              <w:gridCol w:w="1089"/>
            </w:tblGrid>
            <w:tr>
              <w:trPr>
                <w:tblHeader w:val="on"/>
              </w:trPr>
              <w:tc>
                <w:tcPr/>
                <w:p>
                  <w:pPr>
                    <w:pStyle w:val="Compact"/>
                    <w:jc w:val="right"/>
                    <w:jc w:val="center"/>
                  </w:pPr>
                  <w:r>
                    <w:t xml:space="preserve">N</w:t>
                  </w:r>
                </w:p>
              </w:tc>
              <w:tc>
                <w:tcPr/>
                <w:p>
                  <w:pPr>
                    <w:pStyle w:val="Compact"/>
                    <w:jc w:val="left"/>
                    <w:jc w:val="center"/>
                  </w:pPr>
                  <w:r>
                    <w:t xml:space="preserve">γ level</w:t>
                  </w:r>
                </w:p>
              </w:tc>
              <w:tc>
                <w:tcPr/>
                <w:p>
                  <w:pPr>
                    <w:pStyle w:val="Compact"/>
                    <w:jc w:val="left"/>
                    <w:jc w:val="center"/>
                  </w:pPr>
                  <w:r>
                    <w:t xml:space="preserve">Colless level</w:t>
                  </w:r>
                </w:p>
              </w:tc>
              <w:tc>
                <w:tcPr/>
                <w:p>
                  <w:pPr>
                    <w:pStyle w:val="Compact"/>
                    <w:jc w:val="right"/>
                    <w:jc w:val="center"/>
                  </w:pPr>
                  <w:r>
                    <w:t xml:space="preserve">γ target</w:t>
                  </w:r>
                </w:p>
              </w:tc>
              <w:tc>
                <w:tcPr/>
                <w:p>
                  <w:pPr>
                    <w:pStyle w:val="Compact"/>
                    <w:jc w:val="right"/>
                    <w:jc w:val="center"/>
                  </w:pPr>
                  <w:r>
                    <w:t xml:space="preserve">Colless target</w:t>
                  </w:r>
                </w:p>
              </w:tc>
              <w:tc>
                <w:tcPr/>
                <w:p>
                  <w:pPr>
                    <w:pStyle w:val="Compact"/>
                    <w:jc w:val="right"/>
                    <w:jc w:val="center"/>
                  </w:pPr>
                  <w:r>
                    <w:t xml:space="preserve">c</w:t>
                  </w:r>
                </w:p>
              </w:tc>
              <w:tc>
                <w:tcPr/>
                <w:p>
                  <w:pPr>
                    <w:pStyle w:val="Compact"/>
                    <w:jc w:val="right"/>
                    <w:jc w:val="center"/>
                  </w:pPr>
                  <w:r>
                    <w:t xml:space="preserve">β</w:t>
                  </w:r>
                </w:p>
              </w:tc>
              <w:tc>
                <w:tcPr/>
                <w:p>
                  <w:pPr>
                    <w:pStyle w:val="Compact"/>
                    <w:jc w:val="right"/>
                    <w:jc w:val="center"/>
                  </w:pPr>
                  <w:r>
                    <w:t xml:space="preserve">Acceptance</w:t>
                  </w:r>
                </w:p>
              </w:tc>
            </w:tr>
            <w:tr>
              <w:tc>
                <w:tcPr/>
                <w:p>
                  <w:pPr>
                    <w:pStyle w:val="Compact"/>
                    <w:jc w:val="right"/>
                    <w:jc w:val="center"/>
                  </w:pPr>
                  <w:r>
                    <w:t xml:space="preserve">50</w:t>
                  </w:r>
                </w:p>
              </w:tc>
              <w:tc>
                <w:tcPr/>
                <w:p>
                  <w:pPr>
                    <w:pStyle w:val="Compact"/>
                    <w:jc w:val="left"/>
                    <w:jc w:val="center"/>
                  </w:pPr>
                  <w:r>
                    <w:t xml:space="preserve">10% quantile</w:t>
                  </w:r>
                </w:p>
              </w:tc>
              <w:tc>
                <w:tcPr/>
                <w:p>
                  <w:pPr>
                    <w:pStyle w:val="Compact"/>
                    <w:jc w:val="left"/>
                    <w:jc w:val="center"/>
                  </w:pPr>
                  <w:r>
                    <w:t xml:space="preserve">90% quantile</w:t>
                  </w:r>
                </w:p>
              </w:tc>
              <w:tc>
                <w:tcPr/>
                <w:p>
                  <w:pPr>
                    <w:pStyle w:val="Compact"/>
                    <w:jc w:val="right"/>
                    <w:jc w:val="center"/>
                  </w:pPr>
                  <w:r>
                    <w:t xml:space="preserve">-5.58</w:t>
                  </w:r>
                </w:p>
              </w:tc>
              <w:tc>
                <w:tcPr/>
                <w:p>
                  <w:pPr>
                    <w:pStyle w:val="Compact"/>
                    <w:jc w:val="right"/>
                    <w:jc w:val="center"/>
                  </w:pPr>
                  <w:r>
                    <w:t xml:space="preserve">2.39</w:t>
                  </w:r>
                </w:p>
              </w:tc>
              <w:tc>
                <w:tcPr/>
                <w:p>
                  <w:pPr>
                    <w:pStyle w:val="Compact"/>
                    <w:jc w:val="right"/>
                    <w:jc w:val="center"/>
                  </w:pPr>
                  <w:r>
                    <w:t xml:space="preserve">-1.797</w:t>
                  </w:r>
                </w:p>
              </w:tc>
              <w:tc>
                <w:tcPr/>
                <w:p>
                  <w:pPr>
                    <w:pStyle w:val="Compact"/>
                    <w:jc w:val="right"/>
                    <w:jc w:val="center"/>
                  </w:pPr>
                  <w:r>
                    <w:t xml:space="preserve">-1.096</w:t>
                  </w:r>
                </w:p>
              </w:tc>
              <w:tc>
                <w:tcPr/>
                <w:p>
                  <w:pPr>
                    <w:pStyle w:val="Compact"/>
                    <w:jc w:val="right"/>
                    <w:jc w:val="center"/>
                  </w:pPr>
                  <w:r>
                    <w:t xml:space="preserve">0.127</w:t>
                  </w:r>
                </w:p>
              </w:tc>
            </w:tr>
            <w:tr>
              <w:tc>
                <w:tcPr/>
                <w:p>
                  <w:pPr>
                    <w:pStyle w:val="Compact"/>
                    <w:jc w:val="right"/>
                    <w:jc w:val="center"/>
                  </w:pPr>
                  <w:r>
                    <w:t xml:space="preserve">50</w:t>
                  </w:r>
                </w:p>
              </w:tc>
              <w:tc>
                <w:tcPr/>
                <w:p>
                  <w:pPr>
                    <w:pStyle w:val="Compact"/>
                    <w:jc w:val="left"/>
                    <w:jc w:val="center"/>
                  </w:pPr>
                  <w:r>
                    <w:t xml:space="preserve">10% quantile</w:t>
                  </w:r>
                </w:p>
              </w:tc>
              <w:tc>
                <w:tcPr/>
                <w:p>
                  <w:pPr>
                    <w:pStyle w:val="Compact"/>
                    <w:jc w:val="left"/>
                    <w:jc w:val="center"/>
                  </w:pPr>
                  <w:r>
                    <w:t xml:space="preserve">median</w:t>
                  </w:r>
                </w:p>
              </w:tc>
              <w:tc>
                <w:tcPr/>
                <w:p>
                  <w:pPr>
                    <w:pStyle w:val="Compact"/>
                    <w:jc w:val="right"/>
                    <w:jc w:val="center"/>
                  </w:pPr>
                  <w:r>
                    <w:t xml:space="preserve">-5.58</w:t>
                  </w:r>
                </w:p>
              </w:tc>
              <w:tc>
                <w:tcPr/>
                <w:p>
                  <w:pPr>
                    <w:pStyle w:val="Compact"/>
                    <w:jc w:val="right"/>
                    <w:jc w:val="center"/>
                  </w:pPr>
                  <w:r>
                    <w:t xml:space="preserve">0.94</w:t>
                  </w:r>
                </w:p>
              </w:tc>
              <w:tc>
                <w:tcPr/>
                <w:p>
                  <w:pPr>
                    <w:pStyle w:val="Compact"/>
                    <w:jc w:val="right"/>
                    <w:jc w:val="center"/>
                  </w:pPr>
                  <w:r>
                    <w:t xml:space="preserve">-1.797</w:t>
                  </w:r>
                </w:p>
              </w:tc>
              <w:tc>
                <w:tcPr/>
                <w:p>
                  <w:pPr>
                    <w:pStyle w:val="Compact"/>
                    <w:jc w:val="right"/>
                    <w:jc w:val="center"/>
                  </w:pPr>
                  <w:r>
                    <w:t xml:space="preserve">-0.660</w:t>
                  </w:r>
                </w:p>
              </w:tc>
              <w:tc>
                <w:tcPr/>
                <w:p>
                  <w:pPr>
                    <w:pStyle w:val="Compact"/>
                    <w:jc w:val="right"/>
                    <w:jc w:val="center"/>
                  </w:pPr>
                  <w:r>
                    <w:t xml:space="preserve">0.172</w:t>
                  </w:r>
                </w:p>
              </w:tc>
            </w:tr>
            <w:tr>
              <w:tc>
                <w:tcPr/>
                <w:p>
                  <w:pPr>
                    <w:pStyle w:val="Compact"/>
                    <w:jc w:val="right"/>
                    <w:jc w:val="center"/>
                  </w:pPr>
                  <w:r>
                    <w:t xml:space="preserve">50</w:t>
                  </w:r>
                </w:p>
              </w:tc>
              <w:tc>
                <w:tcPr/>
                <w:p>
                  <w:pPr>
                    <w:pStyle w:val="Compact"/>
                    <w:jc w:val="left"/>
                    <w:jc w:val="center"/>
                  </w:pPr>
                  <w:r>
                    <w:t xml:space="preserve">10% quantile</w:t>
                  </w:r>
                </w:p>
              </w:tc>
              <w:tc>
                <w:tcPr/>
                <w:p>
                  <w:pPr>
                    <w:pStyle w:val="Compact"/>
                    <w:jc w:val="left"/>
                    <w:jc w:val="center"/>
                  </w:pPr>
                  <w:r>
                    <w:t xml:space="preserve">Yule</w:t>
                  </w:r>
                </w:p>
              </w:tc>
              <w:tc>
                <w:tcPr/>
                <w:p>
                  <w:pPr>
                    <w:pStyle w:val="Compact"/>
                    <w:jc w:val="right"/>
                    <w:jc w:val="center"/>
                  </w:pPr>
                  <w:r>
                    <w:t xml:space="preserve">-5.58</w:t>
                  </w:r>
                </w:p>
              </w:tc>
              <w:tc>
                <w:tcPr/>
                <w:p>
                  <w:pPr>
                    <w:pStyle w:val="Compact"/>
                    <w:jc w:val="right"/>
                    <w:jc w:val="center"/>
                  </w:pPr>
                  <w:r>
                    <w:t xml:space="preserve">0.00</w:t>
                  </w:r>
                </w:p>
              </w:tc>
              <w:tc>
                <w:tcPr/>
                <w:p>
                  <w:pPr>
                    <w:pStyle w:val="Compact"/>
                    <w:jc w:val="right"/>
                    <w:jc w:val="center"/>
                  </w:pPr>
                  <w:r>
                    <w:t xml:space="preserve">-1.797</w:t>
                  </w:r>
                </w:p>
              </w:tc>
              <w:tc>
                <w:tcPr/>
                <w:p>
                  <w:pPr>
                    <w:pStyle w:val="Compact"/>
                    <w:jc w:val="right"/>
                    <w:jc w:val="center"/>
                  </w:pPr>
                  <w:r>
                    <w:t xml:space="preserve">0.000</w:t>
                  </w:r>
                </w:p>
              </w:tc>
              <w:tc>
                <w:tcPr/>
                <w:p>
                  <w:pPr>
                    <w:pStyle w:val="Compact"/>
                    <w:jc w:val="right"/>
                    <w:jc w:val="center"/>
                  </w:pPr>
                  <w:r>
                    <w:t xml:space="preserve">0.246</w:t>
                  </w:r>
                </w:p>
              </w:tc>
            </w:tr>
            <w:tr>
              <w:tc>
                <w:tcPr/>
                <w:p>
                  <w:pPr>
                    <w:pStyle w:val="Compact"/>
                    <w:jc w:val="right"/>
                    <w:jc w:val="center"/>
                  </w:pPr>
                  <w:r>
                    <w:t xml:space="preserve">50</w:t>
                  </w:r>
                </w:p>
              </w:tc>
              <w:tc>
                <w:tcPr/>
                <w:p>
                  <w:pPr>
                    <w:pStyle w:val="Compact"/>
                    <w:jc w:val="left"/>
                    <w:jc w:val="center"/>
                  </w:pPr>
                  <w:r>
                    <w:t xml:space="preserve">median</w:t>
                  </w:r>
                </w:p>
              </w:tc>
              <w:tc>
                <w:tcPr/>
                <w:p>
                  <w:pPr>
                    <w:pStyle w:val="Compact"/>
                    <w:jc w:val="left"/>
                    <w:jc w:val="center"/>
                  </w:pPr>
                  <w:r>
                    <w:t xml:space="preserve">90% quantile</w:t>
                  </w:r>
                </w:p>
              </w:tc>
              <w:tc>
                <w:tcPr/>
                <w:p>
                  <w:pPr>
                    <w:pStyle w:val="Compact"/>
                    <w:jc w:val="right"/>
                    <w:jc w:val="center"/>
                  </w:pPr>
                  <w:r>
                    <w:t xml:space="preserve">-3.79</w:t>
                  </w:r>
                </w:p>
              </w:tc>
              <w:tc>
                <w:tcPr/>
                <w:p>
                  <w:pPr>
                    <w:pStyle w:val="Compact"/>
                    <w:jc w:val="right"/>
                    <w:jc w:val="center"/>
                  </w:pPr>
                  <w:r>
                    <w:t xml:space="preserve">2.39</w:t>
                  </w:r>
                </w:p>
              </w:tc>
              <w:tc>
                <w:tcPr/>
                <w:p>
                  <w:pPr>
                    <w:pStyle w:val="Compact"/>
                    <w:jc w:val="right"/>
                    <w:jc w:val="center"/>
                  </w:pPr>
                  <w:r>
                    <w:t xml:space="preserve">-0.994</w:t>
                  </w:r>
                </w:p>
              </w:tc>
              <w:tc>
                <w:tcPr/>
                <w:p>
                  <w:pPr>
                    <w:pStyle w:val="Compact"/>
                    <w:jc w:val="right"/>
                    <w:jc w:val="center"/>
                  </w:pPr>
                  <w:r>
                    <w:t xml:space="preserve">-1.096</w:t>
                  </w:r>
                </w:p>
              </w:tc>
              <w:tc>
                <w:tcPr/>
                <w:p>
                  <w:pPr>
                    <w:pStyle w:val="Compact"/>
                    <w:jc w:val="right"/>
                    <w:jc w:val="center"/>
                  </w:pPr>
                  <w:r>
                    <w:t xml:space="preserve">0.123</w:t>
                  </w:r>
                </w:p>
              </w:tc>
            </w:tr>
            <w:tr>
              <w:tc>
                <w:tcPr/>
                <w:p>
                  <w:pPr>
                    <w:pStyle w:val="Compact"/>
                    <w:jc w:val="right"/>
                    <w:jc w:val="center"/>
                  </w:pPr>
                  <w:r>
                    <w:t xml:space="preserve">50</w:t>
                  </w:r>
                </w:p>
              </w:tc>
              <w:tc>
                <w:tcPr/>
                <w:p>
                  <w:pPr>
                    <w:pStyle w:val="Compact"/>
                    <w:jc w:val="left"/>
                    <w:jc w:val="center"/>
                  </w:pPr>
                  <w:r>
                    <w:t xml:space="preserve">median</w:t>
                  </w:r>
                </w:p>
              </w:tc>
              <w:tc>
                <w:tcPr/>
                <w:p>
                  <w:pPr>
                    <w:pStyle w:val="Compact"/>
                    <w:jc w:val="left"/>
                    <w:jc w:val="center"/>
                  </w:pPr>
                  <w:r>
                    <w:t xml:space="preserve">median</w:t>
                  </w:r>
                </w:p>
              </w:tc>
              <w:tc>
                <w:tcPr/>
                <w:p>
                  <w:pPr>
                    <w:pStyle w:val="Compact"/>
                    <w:jc w:val="right"/>
                    <w:jc w:val="center"/>
                  </w:pPr>
                  <w:r>
                    <w:t xml:space="preserve">-3.79</w:t>
                  </w:r>
                </w:p>
              </w:tc>
              <w:tc>
                <w:tcPr/>
                <w:p>
                  <w:pPr>
                    <w:pStyle w:val="Compact"/>
                    <w:jc w:val="right"/>
                    <w:jc w:val="center"/>
                  </w:pPr>
                  <w:r>
                    <w:t xml:space="preserve">0.94</w:t>
                  </w:r>
                </w:p>
              </w:tc>
              <w:tc>
                <w:tcPr/>
                <w:p>
                  <w:pPr>
                    <w:pStyle w:val="Compact"/>
                    <w:jc w:val="right"/>
                    <w:jc w:val="center"/>
                  </w:pPr>
                  <w:r>
                    <w:t xml:space="preserve">-0.994</w:t>
                  </w:r>
                </w:p>
              </w:tc>
              <w:tc>
                <w:tcPr/>
                <w:p>
                  <w:pPr>
                    <w:pStyle w:val="Compact"/>
                    <w:jc w:val="right"/>
                    <w:jc w:val="center"/>
                  </w:pPr>
                  <w:r>
                    <w:t xml:space="preserve">-0.660</w:t>
                  </w:r>
                </w:p>
              </w:tc>
              <w:tc>
                <w:tcPr/>
                <w:p>
                  <w:pPr>
                    <w:pStyle w:val="Compact"/>
                    <w:jc w:val="right"/>
                    <w:jc w:val="center"/>
                  </w:pPr>
                  <w:r>
                    <w:t xml:space="preserve">0.185</w:t>
                  </w:r>
                </w:p>
              </w:tc>
            </w:tr>
            <w:tr>
              <w:tc>
                <w:tcPr/>
                <w:p>
                  <w:pPr>
                    <w:pStyle w:val="Compact"/>
                    <w:jc w:val="right"/>
                    <w:jc w:val="center"/>
                  </w:pPr>
                  <w:r>
                    <w:t xml:space="preserve">50</w:t>
                  </w:r>
                </w:p>
              </w:tc>
              <w:tc>
                <w:tcPr/>
                <w:p>
                  <w:pPr>
                    <w:pStyle w:val="Compact"/>
                    <w:jc w:val="left"/>
                    <w:jc w:val="center"/>
                  </w:pPr>
                  <w:r>
                    <w:t xml:space="preserve">median</w:t>
                  </w:r>
                </w:p>
              </w:tc>
              <w:tc>
                <w:tcPr/>
                <w:p>
                  <w:pPr>
                    <w:pStyle w:val="Compact"/>
                    <w:jc w:val="left"/>
                    <w:jc w:val="center"/>
                  </w:pPr>
                  <w:r>
                    <w:t xml:space="preserve">Yule</w:t>
                  </w:r>
                </w:p>
              </w:tc>
              <w:tc>
                <w:tcPr/>
                <w:p>
                  <w:pPr>
                    <w:pStyle w:val="Compact"/>
                    <w:jc w:val="right"/>
                    <w:jc w:val="center"/>
                  </w:pPr>
                  <w:r>
                    <w:t xml:space="preserve">-3.79</w:t>
                  </w:r>
                </w:p>
              </w:tc>
              <w:tc>
                <w:tcPr/>
                <w:p>
                  <w:pPr>
                    <w:pStyle w:val="Compact"/>
                    <w:jc w:val="right"/>
                    <w:jc w:val="center"/>
                  </w:pPr>
                  <w:r>
                    <w:t xml:space="preserve">0.00</w:t>
                  </w:r>
                </w:p>
              </w:tc>
              <w:tc>
                <w:tcPr/>
                <w:p>
                  <w:pPr>
                    <w:pStyle w:val="Compact"/>
                    <w:jc w:val="right"/>
                    <w:jc w:val="center"/>
                  </w:pPr>
                  <w:r>
                    <w:t xml:space="preserve">-0.994</w:t>
                  </w:r>
                </w:p>
              </w:tc>
              <w:tc>
                <w:tcPr/>
                <w:p>
                  <w:pPr>
                    <w:pStyle w:val="Compact"/>
                    <w:jc w:val="right"/>
                    <w:jc w:val="center"/>
                  </w:pPr>
                  <w:r>
                    <w:t xml:space="preserve">0.000</w:t>
                  </w:r>
                </w:p>
              </w:tc>
              <w:tc>
                <w:tcPr/>
                <w:p>
                  <w:pPr>
                    <w:pStyle w:val="Compact"/>
                    <w:jc w:val="right"/>
                    <w:jc w:val="center"/>
                  </w:pPr>
                  <w:r>
                    <w:t xml:space="preserve">0.249</w:t>
                  </w:r>
                </w:p>
              </w:tc>
            </w:tr>
            <w:tr>
              <w:tc>
                <w:tcPr/>
                <w:p>
                  <w:pPr>
                    <w:pStyle w:val="Compact"/>
                    <w:jc w:val="right"/>
                    <w:jc w:val="center"/>
                  </w:pPr>
                  <w:r>
                    <w:t xml:space="preserve">50</w:t>
                  </w:r>
                </w:p>
              </w:tc>
              <w:tc>
                <w:tcPr/>
                <w:p>
                  <w:pPr>
                    <w:pStyle w:val="Compact"/>
                    <w:jc w:val="left"/>
                    <w:jc w:val="center"/>
                  </w:pPr>
                  <w:r>
                    <w:t xml:space="preserve">Yule</w:t>
                  </w:r>
                </w:p>
              </w:tc>
              <w:tc>
                <w:tcPr/>
                <w:p>
                  <w:pPr>
                    <w:pStyle w:val="Compact"/>
                    <w:jc w:val="left"/>
                    <w:jc w:val="center"/>
                  </w:pPr>
                  <w:r>
                    <w:t xml:space="preserve">90% quantile</w:t>
                  </w:r>
                </w:p>
              </w:tc>
              <w:tc>
                <w:tcPr/>
                <w:p>
                  <w:pPr>
                    <w:pStyle w:val="Compact"/>
                    <w:jc w:val="right"/>
                    <w:jc w:val="center"/>
                  </w:pPr>
                  <w:r>
                    <w:t xml:space="preserve">0.00</w:t>
                  </w:r>
                </w:p>
              </w:tc>
              <w:tc>
                <w:tcPr/>
                <w:p>
                  <w:pPr>
                    <w:pStyle w:val="Compact"/>
                    <w:jc w:val="right"/>
                    <w:jc w:val="center"/>
                  </w:pPr>
                  <w:r>
                    <w:t xml:space="preserve">2.39</w:t>
                  </w:r>
                </w:p>
              </w:tc>
              <w:tc>
                <w:tcPr/>
                <w:p>
                  <w:pPr>
                    <w:pStyle w:val="Compact"/>
                    <w:jc w:val="right"/>
                    <w:jc w:val="center"/>
                  </w:pPr>
                  <w:r>
                    <w:t xml:space="preserve">0.000</w:t>
                  </w:r>
                </w:p>
              </w:tc>
              <w:tc>
                <w:tcPr/>
                <w:p>
                  <w:pPr>
                    <w:pStyle w:val="Compact"/>
                    <w:jc w:val="right"/>
                    <w:jc w:val="center"/>
                  </w:pPr>
                  <w:r>
                    <w:t xml:space="preserve">-1.096</w:t>
                  </w:r>
                </w:p>
              </w:tc>
              <w:tc>
                <w:tcPr/>
                <w:p>
                  <w:pPr>
                    <w:pStyle w:val="Compact"/>
                    <w:jc w:val="right"/>
                    <w:jc w:val="center"/>
                  </w:pPr>
                  <w:r>
                    <w:t xml:space="preserve">0.097</w:t>
                  </w:r>
                </w:p>
              </w:tc>
            </w:tr>
            <w:tr>
              <w:tc>
                <w:tcPr/>
                <w:p>
                  <w:pPr>
                    <w:pStyle w:val="Compact"/>
                    <w:jc w:val="right"/>
                    <w:jc w:val="center"/>
                  </w:pPr>
                  <w:r>
                    <w:t xml:space="preserve">50</w:t>
                  </w:r>
                </w:p>
              </w:tc>
              <w:tc>
                <w:tcPr/>
                <w:p>
                  <w:pPr>
                    <w:pStyle w:val="Compact"/>
                    <w:jc w:val="left"/>
                    <w:jc w:val="center"/>
                  </w:pPr>
                  <w:r>
                    <w:t xml:space="preserve">Yule</w:t>
                  </w:r>
                </w:p>
              </w:tc>
              <w:tc>
                <w:tcPr/>
                <w:p>
                  <w:pPr>
                    <w:pStyle w:val="Compact"/>
                    <w:jc w:val="left"/>
                    <w:jc w:val="center"/>
                  </w:pPr>
                  <w:r>
                    <w:t xml:space="preserve">median</w:t>
                  </w:r>
                </w:p>
              </w:tc>
              <w:tc>
                <w:tcPr/>
                <w:p>
                  <w:pPr>
                    <w:pStyle w:val="Compact"/>
                    <w:jc w:val="right"/>
                    <w:jc w:val="center"/>
                  </w:pPr>
                  <w:r>
                    <w:t xml:space="preserve">0.00</w:t>
                  </w:r>
                </w:p>
              </w:tc>
              <w:tc>
                <w:tcPr/>
                <w:p>
                  <w:pPr>
                    <w:pStyle w:val="Compact"/>
                    <w:jc w:val="right"/>
                    <w:jc w:val="center"/>
                  </w:pPr>
                  <w:r>
                    <w:t xml:space="preserve">0.94</w:t>
                  </w:r>
                </w:p>
              </w:tc>
              <w:tc>
                <w:tcPr/>
                <w:p>
                  <w:pPr>
                    <w:pStyle w:val="Compact"/>
                    <w:jc w:val="right"/>
                    <w:jc w:val="center"/>
                  </w:pPr>
                  <w:r>
                    <w:t xml:space="preserve">0.000</w:t>
                  </w:r>
                </w:p>
              </w:tc>
              <w:tc>
                <w:tcPr/>
                <w:p>
                  <w:pPr>
                    <w:pStyle w:val="Compact"/>
                    <w:jc w:val="right"/>
                    <w:jc w:val="center"/>
                  </w:pPr>
                  <w:r>
                    <w:t xml:space="preserve">-0.660</w:t>
                  </w:r>
                </w:p>
              </w:tc>
              <w:tc>
                <w:tcPr/>
                <w:p>
                  <w:pPr>
                    <w:pStyle w:val="Compact"/>
                    <w:jc w:val="right"/>
                    <w:jc w:val="center"/>
                  </w:pPr>
                  <w:r>
                    <w:t xml:space="preserve">0.156</w:t>
                  </w:r>
                </w:p>
              </w:tc>
            </w:tr>
            <w:tr>
              <w:tc>
                <w:tcPr/>
                <w:p>
                  <w:pPr>
                    <w:pStyle w:val="Compact"/>
                    <w:jc w:val="right"/>
                    <w:jc w:val="center"/>
                  </w:pPr>
                  <w:r>
                    <w:t xml:space="preserve">50</w:t>
                  </w:r>
                </w:p>
              </w:tc>
              <w:tc>
                <w:tcPr/>
                <w:p>
                  <w:pPr>
                    <w:pStyle w:val="Compact"/>
                    <w:jc w:val="left"/>
                    <w:jc w:val="center"/>
                  </w:pPr>
                  <w:r>
                    <w:t xml:space="preserve">Yule</w:t>
                  </w:r>
                </w:p>
              </w:tc>
              <w:tc>
                <w:tcPr/>
                <w:p>
                  <w:pPr>
                    <w:pStyle w:val="Compact"/>
                    <w:jc w:val="left"/>
                    <w:jc w:val="center"/>
                  </w:pPr>
                  <w:r>
                    <w:t xml:space="preserve">Yule</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0.000</w:t>
                  </w:r>
                </w:p>
              </w:tc>
              <w:tc>
                <w:tcPr/>
                <w:p>
                  <w:pPr>
                    <w:pStyle w:val="Compact"/>
                    <w:jc w:val="right"/>
                    <w:jc w:val="center"/>
                  </w:pPr>
                  <w:r>
                    <w:t xml:space="preserve">0.000</w:t>
                  </w:r>
                </w:p>
              </w:tc>
              <w:tc>
                <w:tcPr/>
                <w:p>
                  <w:pPr>
                    <w:pStyle w:val="Compact"/>
                    <w:jc w:val="right"/>
                    <w:jc w:val="center"/>
                  </w:pPr>
                  <w:r>
                    <w:t xml:space="preserve">0.214</w:t>
                  </w:r>
                </w:p>
              </w:tc>
            </w:tr>
            <w:tr>
              <w:tc>
                <w:tcPr/>
                <w:p>
                  <w:pPr>
                    <w:pStyle w:val="Compact"/>
                    <w:jc w:val="right"/>
                    <w:jc w:val="center"/>
                  </w:pPr>
                  <w:r>
                    <w:t xml:space="preserve">100</w:t>
                  </w:r>
                </w:p>
              </w:tc>
              <w:tc>
                <w:tcPr/>
                <w:p>
                  <w:pPr>
                    <w:pStyle w:val="Compact"/>
                    <w:jc w:val="left"/>
                    <w:jc w:val="center"/>
                  </w:pPr>
                  <w:r>
                    <w:t xml:space="preserve">10% quantile</w:t>
                  </w:r>
                </w:p>
              </w:tc>
              <w:tc>
                <w:tcPr/>
                <w:p>
                  <w:pPr>
                    <w:pStyle w:val="Compact"/>
                    <w:jc w:val="left"/>
                    <w:jc w:val="center"/>
                  </w:pPr>
                  <w:r>
                    <w:t xml:space="preserve">90% quantile</w:t>
                  </w:r>
                </w:p>
              </w:tc>
              <w:tc>
                <w:tcPr/>
                <w:p>
                  <w:pPr>
                    <w:pStyle w:val="Compact"/>
                    <w:jc w:val="right"/>
                    <w:jc w:val="center"/>
                  </w:pPr>
                  <w:r>
                    <w:t xml:space="preserve">-6.54</w:t>
                  </w:r>
                </w:p>
              </w:tc>
              <w:tc>
                <w:tcPr/>
                <w:p>
                  <w:pPr>
                    <w:pStyle w:val="Compact"/>
                    <w:jc w:val="right"/>
                    <w:jc w:val="center"/>
                  </w:pPr>
                  <w:r>
                    <w:t xml:space="preserve">2.74</w:t>
                  </w:r>
                </w:p>
              </w:tc>
              <w:tc>
                <w:tcPr/>
                <w:p>
                  <w:pPr>
                    <w:pStyle w:val="Compact"/>
                    <w:jc w:val="right"/>
                    <w:jc w:val="center"/>
                  </w:pPr>
                  <w:r>
                    <w:t xml:space="preserve">-1.282</w:t>
                  </w:r>
                </w:p>
              </w:tc>
              <w:tc>
                <w:tcPr/>
                <w:p>
                  <w:pPr>
                    <w:pStyle w:val="Compact"/>
                    <w:jc w:val="right"/>
                    <w:jc w:val="center"/>
                  </w:pPr>
                  <w:r>
                    <w:t xml:space="preserve">-0.945</w:t>
                  </w:r>
                </w:p>
              </w:tc>
              <w:tc>
                <w:tcPr/>
                <w:p>
                  <w:pPr>
                    <w:pStyle w:val="Compact"/>
                    <w:jc w:val="right"/>
                    <w:jc w:val="center"/>
                  </w:pPr>
                  <w:r>
                    <w:t xml:space="preserve">0.111</w:t>
                  </w:r>
                </w:p>
              </w:tc>
            </w:tr>
            <w:tr>
              <w:tc>
                <w:tcPr/>
                <w:p>
                  <w:pPr>
                    <w:pStyle w:val="Compact"/>
                    <w:jc w:val="right"/>
                    <w:jc w:val="center"/>
                  </w:pPr>
                  <w:r>
                    <w:t xml:space="preserve">100</w:t>
                  </w:r>
                </w:p>
              </w:tc>
              <w:tc>
                <w:tcPr/>
                <w:p>
                  <w:pPr>
                    <w:pStyle w:val="Compact"/>
                    <w:jc w:val="left"/>
                    <w:jc w:val="center"/>
                  </w:pPr>
                  <w:r>
                    <w:t xml:space="preserve">10% quantile</w:t>
                  </w:r>
                </w:p>
              </w:tc>
              <w:tc>
                <w:tcPr/>
                <w:p>
                  <w:pPr>
                    <w:pStyle w:val="Compact"/>
                    <w:jc w:val="left"/>
                    <w:jc w:val="center"/>
                  </w:pPr>
                  <w:r>
                    <w:t xml:space="preserve">median</w:t>
                  </w:r>
                </w:p>
              </w:tc>
              <w:tc>
                <w:tcPr/>
                <w:p>
                  <w:pPr>
                    <w:pStyle w:val="Compact"/>
                    <w:jc w:val="right"/>
                    <w:jc w:val="center"/>
                  </w:pPr>
                  <w:r>
                    <w:t xml:space="preserve">-6.54</w:t>
                  </w:r>
                </w:p>
              </w:tc>
              <w:tc>
                <w:tcPr/>
                <w:p>
                  <w:pPr>
                    <w:pStyle w:val="Compact"/>
                    <w:jc w:val="right"/>
                    <w:jc w:val="center"/>
                  </w:pPr>
                  <w:r>
                    <w:t xml:space="preserve">1.31</w:t>
                  </w:r>
                </w:p>
              </w:tc>
              <w:tc>
                <w:tcPr/>
                <w:p>
                  <w:pPr>
                    <w:pStyle w:val="Compact"/>
                    <w:jc w:val="right"/>
                    <w:jc w:val="center"/>
                  </w:pPr>
                  <w:r>
                    <w:t xml:space="preserve">-1.282</w:t>
                  </w:r>
                </w:p>
              </w:tc>
              <w:tc>
                <w:tcPr/>
                <w:p>
                  <w:pPr>
                    <w:pStyle w:val="Compact"/>
                    <w:jc w:val="right"/>
                    <w:jc w:val="center"/>
                  </w:pPr>
                  <w:r>
                    <w:t xml:space="preserve">-0.649</w:t>
                  </w:r>
                </w:p>
              </w:tc>
              <w:tc>
                <w:tcPr/>
                <w:p>
                  <w:pPr>
                    <w:pStyle w:val="Compact"/>
                    <w:jc w:val="right"/>
                    <w:jc w:val="center"/>
                  </w:pPr>
                  <w:r>
                    <w:t xml:space="preserve">0.137</w:t>
                  </w:r>
                </w:p>
              </w:tc>
            </w:tr>
            <w:tr>
              <w:tc>
                <w:tcPr/>
                <w:p>
                  <w:pPr>
                    <w:pStyle w:val="Compact"/>
                    <w:jc w:val="right"/>
                    <w:jc w:val="center"/>
                  </w:pPr>
                  <w:r>
                    <w:t xml:space="preserve">100</w:t>
                  </w:r>
                </w:p>
              </w:tc>
              <w:tc>
                <w:tcPr/>
                <w:p>
                  <w:pPr>
                    <w:pStyle w:val="Compact"/>
                    <w:jc w:val="left"/>
                    <w:jc w:val="center"/>
                  </w:pPr>
                  <w:r>
                    <w:t xml:space="preserve">10% quantile</w:t>
                  </w:r>
                </w:p>
              </w:tc>
              <w:tc>
                <w:tcPr/>
                <w:p>
                  <w:pPr>
                    <w:pStyle w:val="Compact"/>
                    <w:jc w:val="left"/>
                    <w:jc w:val="center"/>
                  </w:pPr>
                  <w:r>
                    <w:t xml:space="preserve">Yule</w:t>
                  </w:r>
                </w:p>
              </w:tc>
              <w:tc>
                <w:tcPr/>
                <w:p>
                  <w:pPr>
                    <w:pStyle w:val="Compact"/>
                    <w:jc w:val="right"/>
                    <w:jc w:val="center"/>
                  </w:pPr>
                  <w:r>
                    <w:t xml:space="preserve">-6.54</w:t>
                  </w:r>
                </w:p>
              </w:tc>
              <w:tc>
                <w:tcPr/>
                <w:p>
                  <w:pPr>
                    <w:pStyle w:val="Compact"/>
                    <w:jc w:val="right"/>
                    <w:jc w:val="center"/>
                  </w:pPr>
                  <w:r>
                    <w:t xml:space="preserve">0.00</w:t>
                  </w:r>
                </w:p>
              </w:tc>
              <w:tc>
                <w:tcPr/>
                <w:p>
                  <w:pPr>
                    <w:pStyle w:val="Compact"/>
                    <w:jc w:val="right"/>
                    <w:jc w:val="center"/>
                  </w:pPr>
                  <w:r>
                    <w:t xml:space="preserve">-1.282</w:t>
                  </w:r>
                </w:p>
              </w:tc>
              <w:tc>
                <w:tcPr/>
                <w:p>
                  <w:pPr>
                    <w:pStyle w:val="Compact"/>
                    <w:jc w:val="right"/>
                    <w:jc w:val="center"/>
                  </w:pPr>
                  <w:r>
                    <w:t xml:space="preserve">0.000</w:t>
                  </w:r>
                </w:p>
              </w:tc>
              <w:tc>
                <w:tcPr/>
                <w:p>
                  <w:pPr>
                    <w:pStyle w:val="Compact"/>
                    <w:jc w:val="right"/>
                    <w:jc w:val="center"/>
                  </w:pPr>
                  <w:r>
                    <w:t xml:space="preserve">0.221</w:t>
                  </w:r>
                </w:p>
              </w:tc>
            </w:tr>
            <w:tr>
              <w:tc>
                <w:tcPr/>
                <w:p>
                  <w:pPr>
                    <w:pStyle w:val="Compact"/>
                    <w:jc w:val="right"/>
                    <w:jc w:val="center"/>
                  </w:pPr>
                  <w:r>
                    <w:t xml:space="preserve">100</w:t>
                  </w:r>
                </w:p>
              </w:tc>
              <w:tc>
                <w:tcPr/>
                <w:p>
                  <w:pPr>
                    <w:pStyle w:val="Compact"/>
                    <w:jc w:val="left"/>
                    <w:jc w:val="center"/>
                  </w:pPr>
                  <w:r>
                    <w:t xml:space="preserve">median</w:t>
                  </w:r>
                </w:p>
              </w:tc>
              <w:tc>
                <w:tcPr/>
                <w:p>
                  <w:pPr>
                    <w:pStyle w:val="Compact"/>
                    <w:jc w:val="left"/>
                    <w:jc w:val="center"/>
                  </w:pPr>
                  <w:r>
                    <w:t xml:space="preserve">90% quantile</w:t>
                  </w:r>
                </w:p>
              </w:tc>
              <w:tc>
                <w:tcPr/>
                <w:p>
                  <w:pPr>
                    <w:pStyle w:val="Compact"/>
                    <w:jc w:val="right"/>
                    <w:jc w:val="center"/>
                  </w:pPr>
                  <w:r>
                    <w:t xml:space="preserve">-4.94</w:t>
                  </w:r>
                </w:p>
              </w:tc>
              <w:tc>
                <w:tcPr/>
                <w:p>
                  <w:pPr>
                    <w:pStyle w:val="Compact"/>
                    <w:jc w:val="right"/>
                    <w:jc w:val="center"/>
                  </w:pPr>
                  <w:r>
                    <w:t xml:space="preserve">2.74</w:t>
                  </w:r>
                </w:p>
              </w:tc>
              <w:tc>
                <w:tcPr/>
                <w:p>
                  <w:pPr>
                    <w:pStyle w:val="Compact"/>
                    <w:jc w:val="right"/>
                    <w:jc w:val="center"/>
                  </w:pPr>
                  <w:r>
                    <w:t xml:space="preserve">-0.854</w:t>
                  </w:r>
                </w:p>
              </w:tc>
              <w:tc>
                <w:tcPr/>
                <w:p>
                  <w:pPr>
                    <w:pStyle w:val="Compact"/>
                    <w:jc w:val="right"/>
                    <w:jc w:val="center"/>
                  </w:pPr>
                  <w:r>
                    <w:t xml:space="preserve">-0.945</w:t>
                  </w:r>
                </w:p>
              </w:tc>
              <w:tc>
                <w:tcPr/>
                <w:p>
                  <w:pPr>
                    <w:pStyle w:val="Compact"/>
                    <w:jc w:val="right"/>
                    <w:jc w:val="center"/>
                  </w:pPr>
                  <w:r>
                    <w:t xml:space="preserve">0.105</w:t>
                  </w:r>
                </w:p>
              </w:tc>
            </w:tr>
            <w:tr>
              <w:tc>
                <w:tcPr/>
                <w:p>
                  <w:pPr>
                    <w:pStyle w:val="Compact"/>
                    <w:jc w:val="right"/>
                    <w:jc w:val="center"/>
                  </w:pPr>
                  <w:r>
                    <w:t xml:space="preserve">100</w:t>
                  </w:r>
                </w:p>
              </w:tc>
              <w:tc>
                <w:tcPr/>
                <w:p>
                  <w:pPr>
                    <w:pStyle w:val="Compact"/>
                    <w:jc w:val="left"/>
                    <w:jc w:val="center"/>
                  </w:pPr>
                  <w:r>
                    <w:t xml:space="preserve">median</w:t>
                  </w:r>
                </w:p>
              </w:tc>
              <w:tc>
                <w:tcPr/>
                <w:p>
                  <w:pPr>
                    <w:pStyle w:val="Compact"/>
                    <w:jc w:val="left"/>
                    <w:jc w:val="center"/>
                  </w:pPr>
                  <w:r>
                    <w:t xml:space="preserve">median</w:t>
                  </w:r>
                </w:p>
              </w:tc>
              <w:tc>
                <w:tcPr/>
                <w:p>
                  <w:pPr>
                    <w:pStyle w:val="Compact"/>
                    <w:jc w:val="right"/>
                    <w:jc w:val="center"/>
                  </w:pPr>
                  <w:r>
                    <w:t xml:space="preserve">-4.94</w:t>
                  </w:r>
                </w:p>
              </w:tc>
              <w:tc>
                <w:tcPr/>
                <w:p>
                  <w:pPr>
                    <w:pStyle w:val="Compact"/>
                    <w:jc w:val="right"/>
                    <w:jc w:val="center"/>
                  </w:pPr>
                  <w:r>
                    <w:t xml:space="preserve">1.31</w:t>
                  </w:r>
                </w:p>
              </w:tc>
              <w:tc>
                <w:tcPr/>
                <w:p>
                  <w:pPr>
                    <w:pStyle w:val="Compact"/>
                    <w:jc w:val="right"/>
                    <w:jc w:val="center"/>
                  </w:pPr>
                  <w:r>
                    <w:t xml:space="preserve">-0.854</w:t>
                  </w:r>
                </w:p>
              </w:tc>
              <w:tc>
                <w:tcPr/>
                <w:p>
                  <w:pPr>
                    <w:pStyle w:val="Compact"/>
                    <w:jc w:val="right"/>
                    <w:jc w:val="center"/>
                  </w:pPr>
                  <w:r>
                    <w:t xml:space="preserve">-0.649</w:t>
                  </w:r>
                </w:p>
              </w:tc>
              <w:tc>
                <w:tcPr/>
                <w:p>
                  <w:pPr>
                    <w:pStyle w:val="Compact"/>
                    <w:jc w:val="right"/>
                    <w:jc w:val="center"/>
                  </w:pPr>
                  <w:r>
                    <w:t xml:space="preserve">0.157</w:t>
                  </w:r>
                </w:p>
              </w:tc>
            </w:tr>
            <w:tr>
              <w:tc>
                <w:tcPr/>
                <w:p>
                  <w:pPr>
                    <w:pStyle w:val="Compact"/>
                    <w:jc w:val="right"/>
                    <w:jc w:val="center"/>
                  </w:pPr>
                  <w:r>
                    <w:t xml:space="preserve">100</w:t>
                  </w:r>
                </w:p>
              </w:tc>
              <w:tc>
                <w:tcPr/>
                <w:p>
                  <w:pPr>
                    <w:pStyle w:val="Compact"/>
                    <w:jc w:val="left"/>
                    <w:jc w:val="center"/>
                  </w:pPr>
                  <w:r>
                    <w:t xml:space="preserve">median</w:t>
                  </w:r>
                </w:p>
              </w:tc>
              <w:tc>
                <w:tcPr/>
                <w:p>
                  <w:pPr>
                    <w:pStyle w:val="Compact"/>
                    <w:jc w:val="left"/>
                    <w:jc w:val="center"/>
                  </w:pPr>
                  <w:r>
                    <w:t xml:space="preserve">Yule</w:t>
                  </w:r>
                </w:p>
              </w:tc>
              <w:tc>
                <w:tcPr/>
                <w:p>
                  <w:pPr>
                    <w:pStyle w:val="Compact"/>
                    <w:jc w:val="right"/>
                    <w:jc w:val="center"/>
                  </w:pPr>
                  <w:r>
                    <w:t xml:space="preserve">-4.94</w:t>
                  </w:r>
                </w:p>
              </w:tc>
              <w:tc>
                <w:tcPr/>
                <w:p>
                  <w:pPr>
                    <w:pStyle w:val="Compact"/>
                    <w:jc w:val="right"/>
                    <w:jc w:val="center"/>
                  </w:pPr>
                  <w:r>
                    <w:t xml:space="preserve">0.00</w:t>
                  </w:r>
                </w:p>
              </w:tc>
              <w:tc>
                <w:tcPr/>
                <w:p>
                  <w:pPr>
                    <w:pStyle w:val="Compact"/>
                    <w:jc w:val="right"/>
                    <w:jc w:val="center"/>
                  </w:pPr>
                  <w:r>
                    <w:t xml:space="preserve">-0.854</w:t>
                  </w:r>
                </w:p>
              </w:tc>
              <w:tc>
                <w:tcPr/>
                <w:p>
                  <w:pPr>
                    <w:pStyle w:val="Compact"/>
                    <w:jc w:val="right"/>
                    <w:jc w:val="center"/>
                  </w:pPr>
                  <w:r>
                    <w:t xml:space="preserve">0.000</w:t>
                  </w:r>
                </w:p>
              </w:tc>
              <w:tc>
                <w:tcPr/>
                <w:p>
                  <w:pPr>
                    <w:pStyle w:val="Compact"/>
                    <w:jc w:val="right"/>
                    <w:jc w:val="center"/>
                  </w:pPr>
                  <w:r>
                    <w:t xml:space="preserve">0.206</w:t>
                  </w:r>
                </w:p>
              </w:tc>
            </w:tr>
            <w:tr>
              <w:tc>
                <w:tcPr/>
                <w:p>
                  <w:pPr>
                    <w:pStyle w:val="Compact"/>
                    <w:jc w:val="right"/>
                    <w:jc w:val="center"/>
                  </w:pPr>
                  <w:r>
                    <w:t xml:space="preserve">100</w:t>
                  </w:r>
                </w:p>
              </w:tc>
              <w:tc>
                <w:tcPr/>
                <w:p>
                  <w:pPr>
                    <w:pStyle w:val="Compact"/>
                    <w:jc w:val="left"/>
                    <w:jc w:val="center"/>
                  </w:pPr>
                  <w:r>
                    <w:t xml:space="preserve">Yule</w:t>
                  </w:r>
                </w:p>
              </w:tc>
              <w:tc>
                <w:tcPr/>
                <w:p>
                  <w:pPr>
                    <w:pStyle w:val="Compact"/>
                    <w:jc w:val="left"/>
                    <w:jc w:val="center"/>
                  </w:pPr>
                  <w:r>
                    <w:t xml:space="preserve">90% quantile</w:t>
                  </w:r>
                </w:p>
              </w:tc>
              <w:tc>
                <w:tcPr/>
                <w:p>
                  <w:pPr>
                    <w:pStyle w:val="Compact"/>
                    <w:jc w:val="right"/>
                    <w:jc w:val="center"/>
                  </w:pPr>
                  <w:r>
                    <w:t xml:space="preserve">0.00</w:t>
                  </w:r>
                </w:p>
              </w:tc>
              <w:tc>
                <w:tcPr/>
                <w:p>
                  <w:pPr>
                    <w:pStyle w:val="Compact"/>
                    <w:jc w:val="right"/>
                    <w:jc w:val="center"/>
                  </w:pPr>
                  <w:r>
                    <w:t xml:space="preserve">2.74</w:t>
                  </w:r>
                </w:p>
              </w:tc>
              <w:tc>
                <w:tcPr/>
                <w:p>
                  <w:pPr>
                    <w:pStyle w:val="Compact"/>
                    <w:jc w:val="right"/>
                    <w:jc w:val="center"/>
                  </w:pPr>
                  <w:r>
                    <w:t xml:space="preserve">0.000</w:t>
                  </w:r>
                </w:p>
              </w:tc>
              <w:tc>
                <w:tcPr/>
                <w:p>
                  <w:pPr>
                    <w:pStyle w:val="Compact"/>
                    <w:jc w:val="right"/>
                    <w:jc w:val="center"/>
                  </w:pPr>
                  <w:r>
                    <w:t xml:space="preserve">-0.945</w:t>
                  </w:r>
                </w:p>
              </w:tc>
              <w:tc>
                <w:tcPr/>
                <w:p>
                  <w:pPr>
                    <w:pStyle w:val="Compact"/>
                    <w:jc w:val="right"/>
                    <w:jc w:val="center"/>
                  </w:pPr>
                  <w:r>
                    <w:t xml:space="preserve">0.088</w:t>
                  </w:r>
                </w:p>
              </w:tc>
            </w:tr>
            <w:tr>
              <w:tc>
                <w:tcPr/>
                <w:p>
                  <w:pPr>
                    <w:pStyle w:val="Compact"/>
                    <w:jc w:val="right"/>
                    <w:jc w:val="center"/>
                  </w:pPr>
                  <w:r>
                    <w:t xml:space="preserve">100</w:t>
                  </w:r>
                </w:p>
              </w:tc>
              <w:tc>
                <w:tcPr/>
                <w:p>
                  <w:pPr>
                    <w:pStyle w:val="Compact"/>
                    <w:jc w:val="left"/>
                    <w:jc w:val="center"/>
                  </w:pPr>
                  <w:r>
                    <w:t xml:space="preserve">Yule</w:t>
                  </w:r>
                </w:p>
              </w:tc>
              <w:tc>
                <w:tcPr/>
                <w:p>
                  <w:pPr>
                    <w:pStyle w:val="Compact"/>
                    <w:jc w:val="left"/>
                    <w:jc w:val="center"/>
                  </w:pPr>
                  <w:r>
                    <w:t xml:space="preserve">median</w:t>
                  </w:r>
                </w:p>
              </w:tc>
              <w:tc>
                <w:tcPr/>
                <w:p>
                  <w:pPr>
                    <w:pStyle w:val="Compact"/>
                    <w:jc w:val="right"/>
                    <w:jc w:val="center"/>
                  </w:pPr>
                  <w:r>
                    <w:t xml:space="preserve">0.00</w:t>
                  </w:r>
                </w:p>
              </w:tc>
              <w:tc>
                <w:tcPr/>
                <w:p>
                  <w:pPr>
                    <w:pStyle w:val="Compact"/>
                    <w:jc w:val="right"/>
                    <w:jc w:val="center"/>
                  </w:pPr>
                  <w:r>
                    <w:t xml:space="preserve">1.31</w:t>
                  </w:r>
                </w:p>
              </w:tc>
              <w:tc>
                <w:tcPr/>
                <w:p>
                  <w:pPr>
                    <w:pStyle w:val="Compact"/>
                    <w:jc w:val="right"/>
                    <w:jc w:val="center"/>
                  </w:pPr>
                  <w:r>
                    <w:t xml:space="preserve">0.000</w:t>
                  </w:r>
                </w:p>
              </w:tc>
              <w:tc>
                <w:tcPr/>
                <w:p>
                  <w:pPr>
                    <w:pStyle w:val="Compact"/>
                    <w:jc w:val="right"/>
                    <w:jc w:val="center"/>
                  </w:pPr>
                  <w:r>
                    <w:t xml:space="preserve">-0.649</w:t>
                  </w:r>
                </w:p>
              </w:tc>
              <w:tc>
                <w:tcPr/>
                <w:p>
                  <w:pPr>
                    <w:pStyle w:val="Compact"/>
                    <w:jc w:val="right"/>
                    <w:jc w:val="center"/>
                  </w:pPr>
                  <w:r>
                    <w:t xml:space="preserve">0.117</w:t>
                  </w:r>
                </w:p>
              </w:tc>
            </w:tr>
            <w:tr>
              <w:tc>
                <w:tcPr/>
                <w:p>
                  <w:pPr>
                    <w:pStyle w:val="Compact"/>
                    <w:jc w:val="right"/>
                    <w:jc w:val="center"/>
                  </w:pPr>
                  <w:r>
                    <w:t xml:space="preserve">100</w:t>
                  </w:r>
                </w:p>
              </w:tc>
              <w:tc>
                <w:tcPr/>
                <w:p>
                  <w:pPr>
                    <w:pStyle w:val="Compact"/>
                    <w:jc w:val="left"/>
                    <w:jc w:val="center"/>
                  </w:pPr>
                  <w:r>
                    <w:t xml:space="preserve">Yule</w:t>
                  </w:r>
                </w:p>
              </w:tc>
              <w:tc>
                <w:tcPr/>
                <w:p>
                  <w:pPr>
                    <w:pStyle w:val="Compact"/>
                    <w:jc w:val="left"/>
                    <w:jc w:val="center"/>
                  </w:pPr>
                  <w:r>
                    <w:t xml:space="preserve">Yule</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0.000</w:t>
                  </w:r>
                </w:p>
              </w:tc>
              <w:tc>
                <w:tcPr/>
                <w:p>
                  <w:pPr>
                    <w:pStyle w:val="Compact"/>
                    <w:jc w:val="right"/>
                    <w:jc w:val="center"/>
                  </w:pPr>
                  <w:r>
                    <w:t xml:space="preserve">0.000</w:t>
                  </w:r>
                </w:p>
              </w:tc>
              <w:tc>
                <w:tcPr/>
                <w:p>
                  <w:pPr>
                    <w:pStyle w:val="Compact"/>
                    <w:jc w:val="right"/>
                    <w:jc w:val="center"/>
                  </w:pPr>
                  <w:r>
                    <w:t xml:space="preserve">0.167</w:t>
                  </w:r>
                </w:p>
              </w:tc>
            </w:tr>
            <w:tr>
              <w:tc>
                <w:tcPr/>
                <w:p>
                  <w:pPr>
                    <w:pStyle w:val="Compact"/>
                    <w:jc w:val="right"/>
                    <w:jc w:val="center"/>
                  </w:pPr>
                  <w:r>
                    <w:t xml:space="preserve">200</w:t>
                  </w:r>
                </w:p>
              </w:tc>
              <w:tc>
                <w:tcPr/>
                <w:p>
                  <w:pPr>
                    <w:pStyle w:val="Compact"/>
                    <w:jc w:val="left"/>
                    <w:jc w:val="center"/>
                  </w:pPr>
                  <w:r>
                    <w:t xml:space="preserve">10% quantile</w:t>
                  </w:r>
                </w:p>
              </w:tc>
              <w:tc>
                <w:tcPr/>
                <w:p>
                  <w:pPr>
                    <w:pStyle w:val="Compact"/>
                    <w:jc w:val="left"/>
                    <w:jc w:val="center"/>
                  </w:pPr>
                  <w:r>
                    <w:t xml:space="preserve">90% quantile</w:t>
                  </w:r>
                </w:p>
              </w:tc>
              <w:tc>
                <w:tcPr/>
                <w:p>
                  <w:pPr>
                    <w:pStyle w:val="Compact"/>
                    <w:jc w:val="right"/>
                    <w:jc w:val="center"/>
                  </w:pPr>
                  <w:r>
                    <w:t xml:space="preserve">-8.92</w:t>
                  </w:r>
                </w:p>
              </w:tc>
              <w:tc>
                <w:tcPr/>
                <w:p>
                  <w:pPr>
                    <w:pStyle w:val="Compact"/>
                    <w:jc w:val="right"/>
                    <w:jc w:val="center"/>
                  </w:pPr>
                  <w:r>
                    <w:t xml:space="preserve">2.98</w:t>
                  </w:r>
                </w:p>
              </w:tc>
              <w:tc>
                <w:tcPr/>
                <w:p>
                  <w:pPr>
                    <w:pStyle w:val="Compact"/>
                    <w:jc w:val="right"/>
                    <w:jc w:val="center"/>
                  </w:pPr>
                  <w:r>
                    <w:t xml:space="preserve">-1.148</w:t>
                  </w:r>
                </w:p>
              </w:tc>
              <w:tc>
                <w:tcPr/>
                <w:p>
                  <w:pPr>
                    <w:pStyle w:val="Compact"/>
                    <w:jc w:val="right"/>
                    <w:jc w:val="center"/>
                  </w:pPr>
                  <w:r>
                    <w:t xml:space="preserve">-0.844</w:t>
                  </w:r>
                </w:p>
              </w:tc>
              <w:tc>
                <w:tcPr/>
                <w:p>
                  <w:pPr>
                    <w:pStyle w:val="Compact"/>
                    <w:jc w:val="right"/>
                    <w:jc w:val="center"/>
                  </w:pPr>
                  <w:r>
                    <w:t xml:space="preserve">0.114</w:t>
                  </w:r>
                </w:p>
              </w:tc>
            </w:tr>
            <w:tr>
              <w:tc>
                <w:tcPr/>
                <w:p>
                  <w:pPr>
                    <w:pStyle w:val="Compact"/>
                    <w:jc w:val="right"/>
                    <w:jc w:val="center"/>
                  </w:pPr>
                  <w:r>
                    <w:t xml:space="preserve">200</w:t>
                  </w:r>
                </w:p>
              </w:tc>
              <w:tc>
                <w:tcPr/>
                <w:p>
                  <w:pPr>
                    <w:pStyle w:val="Compact"/>
                    <w:jc w:val="left"/>
                    <w:jc w:val="center"/>
                  </w:pPr>
                  <w:r>
                    <w:t xml:space="preserve">10% quantile</w:t>
                  </w:r>
                </w:p>
              </w:tc>
              <w:tc>
                <w:tcPr/>
                <w:p>
                  <w:pPr>
                    <w:pStyle w:val="Compact"/>
                    <w:jc w:val="left"/>
                    <w:jc w:val="center"/>
                  </w:pPr>
                  <w:r>
                    <w:t xml:space="preserve">median</w:t>
                  </w:r>
                </w:p>
              </w:tc>
              <w:tc>
                <w:tcPr/>
                <w:p>
                  <w:pPr>
                    <w:pStyle w:val="Compact"/>
                    <w:jc w:val="right"/>
                    <w:jc w:val="center"/>
                  </w:pPr>
                  <w:r>
                    <w:t xml:space="preserve">-8.92</w:t>
                  </w:r>
                </w:p>
              </w:tc>
              <w:tc>
                <w:tcPr/>
                <w:p>
                  <w:pPr>
                    <w:pStyle w:val="Compact"/>
                    <w:jc w:val="right"/>
                    <w:jc w:val="center"/>
                  </w:pPr>
                  <w:r>
                    <w:t xml:space="preserve">1.36</w:t>
                  </w:r>
                </w:p>
              </w:tc>
              <w:tc>
                <w:tcPr/>
                <w:p>
                  <w:pPr>
                    <w:pStyle w:val="Compact"/>
                    <w:jc w:val="right"/>
                    <w:jc w:val="center"/>
                  </w:pPr>
                  <w:r>
                    <w:t xml:space="preserve">-1.148</w:t>
                  </w:r>
                </w:p>
              </w:tc>
              <w:tc>
                <w:tcPr/>
                <w:p>
                  <w:pPr>
                    <w:pStyle w:val="Compact"/>
                    <w:jc w:val="right"/>
                    <w:jc w:val="center"/>
                  </w:pPr>
                  <w:r>
                    <w:t xml:space="preserve">-0.551</w:t>
                  </w:r>
                </w:p>
              </w:tc>
              <w:tc>
                <w:tcPr/>
                <w:p>
                  <w:pPr>
                    <w:pStyle w:val="Compact"/>
                    <w:jc w:val="right"/>
                    <w:jc w:val="center"/>
                  </w:pPr>
                  <w:r>
                    <w:t xml:space="preserve">0.139</w:t>
                  </w:r>
                </w:p>
              </w:tc>
            </w:tr>
            <w:tr>
              <w:tc>
                <w:tcPr/>
                <w:p>
                  <w:pPr>
                    <w:pStyle w:val="Compact"/>
                    <w:jc w:val="right"/>
                    <w:jc w:val="center"/>
                  </w:pPr>
                  <w:r>
                    <w:t xml:space="preserve">200</w:t>
                  </w:r>
                </w:p>
              </w:tc>
              <w:tc>
                <w:tcPr/>
                <w:p>
                  <w:pPr>
                    <w:pStyle w:val="Compact"/>
                    <w:jc w:val="left"/>
                    <w:jc w:val="center"/>
                  </w:pPr>
                  <w:r>
                    <w:t xml:space="preserve">10% quantile</w:t>
                  </w:r>
                </w:p>
              </w:tc>
              <w:tc>
                <w:tcPr/>
                <w:p>
                  <w:pPr>
                    <w:pStyle w:val="Compact"/>
                    <w:jc w:val="left"/>
                    <w:jc w:val="center"/>
                  </w:pPr>
                  <w:r>
                    <w:t xml:space="preserve">Yule</w:t>
                  </w:r>
                </w:p>
              </w:tc>
              <w:tc>
                <w:tcPr/>
                <w:p>
                  <w:pPr>
                    <w:pStyle w:val="Compact"/>
                    <w:jc w:val="right"/>
                    <w:jc w:val="center"/>
                  </w:pPr>
                  <w:r>
                    <w:t xml:space="preserve">-8.92</w:t>
                  </w:r>
                </w:p>
              </w:tc>
              <w:tc>
                <w:tcPr/>
                <w:p>
                  <w:pPr>
                    <w:pStyle w:val="Compact"/>
                    <w:jc w:val="right"/>
                    <w:jc w:val="center"/>
                  </w:pPr>
                  <w:r>
                    <w:t xml:space="preserve">0.00</w:t>
                  </w:r>
                </w:p>
              </w:tc>
              <w:tc>
                <w:tcPr/>
                <w:p>
                  <w:pPr>
                    <w:pStyle w:val="Compact"/>
                    <w:jc w:val="right"/>
                    <w:jc w:val="center"/>
                  </w:pPr>
                  <w:r>
                    <w:t xml:space="preserve">-1.148</w:t>
                  </w:r>
                </w:p>
              </w:tc>
              <w:tc>
                <w:tcPr/>
                <w:p>
                  <w:pPr>
                    <w:pStyle w:val="Compact"/>
                    <w:jc w:val="right"/>
                    <w:jc w:val="center"/>
                  </w:pPr>
                  <w:r>
                    <w:t xml:space="preserve">0.000</w:t>
                  </w:r>
                </w:p>
              </w:tc>
              <w:tc>
                <w:tcPr/>
                <w:p>
                  <w:pPr>
                    <w:pStyle w:val="Compact"/>
                    <w:jc w:val="right"/>
                    <w:jc w:val="center"/>
                  </w:pPr>
                  <w:r>
                    <w:t xml:space="preserve">0.210</w:t>
                  </w:r>
                </w:p>
              </w:tc>
            </w:tr>
            <w:tr>
              <w:tc>
                <w:tcPr/>
                <w:p>
                  <w:pPr>
                    <w:pStyle w:val="Compact"/>
                    <w:jc w:val="right"/>
                    <w:jc w:val="center"/>
                  </w:pPr>
                  <w:r>
                    <w:t xml:space="preserve">200</w:t>
                  </w:r>
                </w:p>
              </w:tc>
              <w:tc>
                <w:tcPr/>
                <w:p>
                  <w:pPr>
                    <w:pStyle w:val="Compact"/>
                    <w:jc w:val="left"/>
                    <w:jc w:val="center"/>
                  </w:pPr>
                  <w:r>
                    <w:t xml:space="preserve">median</w:t>
                  </w:r>
                </w:p>
              </w:tc>
              <w:tc>
                <w:tcPr/>
                <w:p>
                  <w:pPr>
                    <w:pStyle w:val="Compact"/>
                    <w:jc w:val="left"/>
                    <w:jc w:val="center"/>
                  </w:pPr>
                  <w:r>
                    <w:t xml:space="preserve">90% quantile</w:t>
                  </w:r>
                </w:p>
              </w:tc>
              <w:tc>
                <w:tcPr/>
                <w:p>
                  <w:pPr>
                    <w:pStyle w:val="Compact"/>
                    <w:jc w:val="right"/>
                    <w:jc w:val="center"/>
                  </w:pPr>
                  <w:r>
                    <w:t xml:space="preserve">-6.20</w:t>
                  </w:r>
                </w:p>
              </w:tc>
              <w:tc>
                <w:tcPr/>
                <w:p>
                  <w:pPr>
                    <w:pStyle w:val="Compact"/>
                    <w:jc w:val="right"/>
                    <w:jc w:val="center"/>
                  </w:pPr>
                  <w:r>
                    <w:t xml:space="preserve">2.98</w:t>
                  </w:r>
                </w:p>
              </w:tc>
              <w:tc>
                <w:tcPr/>
                <w:p>
                  <w:pPr>
                    <w:pStyle w:val="Compact"/>
                    <w:jc w:val="right"/>
                    <w:jc w:val="center"/>
                  </w:pPr>
                  <w:r>
                    <w:t xml:space="preserve">-0.696</w:t>
                  </w:r>
                </w:p>
              </w:tc>
              <w:tc>
                <w:tcPr/>
                <w:p>
                  <w:pPr>
                    <w:pStyle w:val="Compact"/>
                    <w:jc w:val="right"/>
                    <w:jc w:val="center"/>
                  </w:pPr>
                  <w:r>
                    <w:t xml:space="preserve">-0.844</w:t>
                  </w:r>
                </w:p>
              </w:tc>
              <w:tc>
                <w:tcPr/>
                <w:p>
                  <w:pPr>
                    <w:pStyle w:val="Compact"/>
                    <w:jc w:val="right"/>
                    <w:jc w:val="center"/>
                  </w:pPr>
                  <w:r>
                    <w:t xml:space="preserve">0.125</w:t>
                  </w:r>
                </w:p>
              </w:tc>
            </w:tr>
            <w:tr>
              <w:tc>
                <w:tcPr/>
                <w:p>
                  <w:pPr>
                    <w:pStyle w:val="Compact"/>
                    <w:jc w:val="right"/>
                    <w:jc w:val="center"/>
                  </w:pPr>
                  <w:r>
                    <w:t xml:space="preserve">200</w:t>
                  </w:r>
                </w:p>
              </w:tc>
              <w:tc>
                <w:tcPr/>
                <w:p>
                  <w:pPr>
                    <w:pStyle w:val="Compact"/>
                    <w:jc w:val="left"/>
                    <w:jc w:val="center"/>
                  </w:pPr>
                  <w:r>
                    <w:t xml:space="preserve">median</w:t>
                  </w:r>
                </w:p>
              </w:tc>
              <w:tc>
                <w:tcPr/>
                <w:p>
                  <w:pPr>
                    <w:pStyle w:val="Compact"/>
                    <w:jc w:val="left"/>
                    <w:jc w:val="center"/>
                  </w:pPr>
                  <w:r>
                    <w:t xml:space="preserve">median</w:t>
                  </w:r>
                </w:p>
              </w:tc>
              <w:tc>
                <w:tcPr/>
                <w:p>
                  <w:pPr>
                    <w:pStyle w:val="Compact"/>
                    <w:jc w:val="right"/>
                    <w:jc w:val="center"/>
                  </w:pPr>
                  <w:r>
                    <w:t xml:space="preserve">-6.20</w:t>
                  </w:r>
                </w:p>
              </w:tc>
              <w:tc>
                <w:tcPr/>
                <w:p>
                  <w:pPr>
                    <w:pStyle w:val="Compact"/>
                    <w:jc w:val="right"/>
                    <w:jc w:val="center"/>
                  </w:pPr>
                  <w:r>
                    <w:t xml:space="preserve">1.36</w:t>
                  </w:r>
                </w:p>
              </w:tc>
              <w:tc>
                <w:tcPr/>
                <w:p>
                  <w:pPr>
                    <w:pStyle w:val="Compact"/>
                    <w:jc w:val="right"/>
                    <w:jc w:val="center"/>
                  </w:pPr>
                  <w:r>
                    <w:t xml:space="preserve">-0.696</w:t>
                  </w:r>
                </w:p>
              </w:tc>
              <w:tc>
                <w:tcPr/>
                <w:p>
                  <w:pPr>
                    <w:pStyle w:val="Compact"/>
                    <w:jc w:val="right"/>
                    <w:jc w:val="center"/>
                  </w:pPr>
                  <w:r>
                    <w:t xml:space="preserve">-0.551</w:t>
                  </w:r>
                </w:p>
              </w:tc>
              <w:tc>
                <w:tcPr/>
                <w:p>
                  <w:pPr>
                    <w:pStyle w:val="Compact"/>
                    <w:jc w:val="right"/>
                    <w:jc w:val="center"/>
                  </w:pPr>
                  <w:r>
                    <w:t xml:space="preserve">0.159</w:t>
                  </w:r>
                </w:p>
              </w:tc>
            </w:tr>
            <w:tr>
              <w:tc>
                <w:tcPr/>
                <w:p>
                  <w:pPr>
                    <w:pStyle w:val="Compact"/>
                    <w:jc w:val="right"/>
                    <w:jc w:val="center"/>
                  </w:pPr>
                  <w:r>
                    <w:t xml:space="preserve">200</w:t>
                  </w:r>
                </w:p>
              </w:tc>
              <w:tc>
                <w:tcPr/>
                <w:p>
                  <w:pPr>
                    <w:pStyle w:val="Compact"/>
                    <w:jc w:val="left"/>
                    <w:jc w:val="center"/>
                  </w:pPr>
                  <w:r>
                    <w:t xml:space="preserve">median</w:t>
                  </w:r>
                </w:p>
              </w:tc>
              <w:tc>
                <w:tcPr/>
                <w:p>
                  <w:pPr>
                    <w:pStyle w:val="Compact"/>
                    <w:jc w:val="left"/>
                    <w:jc w:val="center"/>
                  </w:pPr>
                  <w:r>
                    <w:t xml:space="preserve">Yule</w:t>
                  </w:r>
                </w:p>
              </w:tc>
              <w:tc>
                <w:tcPr/>
                <w:p>
                  <w:pPr>
                    <w:pStyle w:val="Compact"/>
                    <w:jc w:val="right"/>
                    <w:jc w:val="center"/>
                  </w:pPr>
                  <w:r>
                    <w:t xml:space="preserve">-6.20</w:t>
                  </w:r>
                </w:p>
              </w:tc>
              <w:tc>
                <w:tcPr/>
                <w:p>
                  <w:pPr>
                    <w:pStyle w:val="Compact"/>
                    <w:jc w:val="right"/>
                    <w:jc w:val="center"/>
                  </w:pPr>
                  <w:r>
                    <w:t xml:space="preserve">0.00</w:t>
                  </w:r>
                </w:p>
              </w:tc>
              <w:tc>
                <w:tcPr/>
                <w:p>
                  <w:pPr>
                    <w:pStyle w:val="Compact"/>
                    <w:jc w:val="right"/>
                    <w:jc w:val="center"/>
                  </w:pPr>
                  <w:r>
                    <w:t xml:space="preserve">-0.696</w:t>
                  </w:r>
                </w:p>
              </w:tc>
              <w:tc>
                <w:tcPr/>
                <w:p>
                  <w:pPr>
                    <w:pStyle w:val="Compact"/>
                    <w:jc w:val="right"/>
                    <w:jc w:val="center"/>
                  </w:pPr>
                  <w:r>
                    <w:t xml:space="preserve">0.000</w:t>
                  </w:r>
                </w:p>
              </w:tc>
              <w:tc>
                <w:tcPr/>
                <w:p>
                  <w:pPr>
                    <w:pStyle w:val="Compact"/>
                    <w:jc w:val="right"/>
                    <w:jc w:val="center"/>
                  </w:pPr>
                  <w:r>
                    <w:t xml:space="preserve">0.221</w:t>
                  </w:r>
                </w:p>
              </w:tc>
            </w:tr>
            <w:tr>
              <w:tc>
                <w:tcPr/>
                <w:p>
                  <w:pPr>
                    <w:pStyle w:val="Compact"/>
                    <w:jc w:val="right"/>
                    <w:jc w:val="center"/>
                  </w:pPr>
                  <w:r>
                    <w:t xml:space="preserve">200</w:t>
                  </w:r>
                </w:p>
              </w:tc>
              <w:tc>
                <w:tcPr/>
                <w:p>
                  <w:pPr>
                    <w:pStyle w:val="Compact"/>
                    <w:jc w:val="left"/>
                    <w:jc w:val="center"/>
                  </w:pPr>
                  <w:r>
                    <w:t xml:space="preserve">Yule</w:t>
                  </w:r>
                </w:p>
              </w:tc>
              <w:tc>
                <w:tcPr/>
                <w:p>
                  <w:pPr>
                    <w:pStyle w:val="Compact"/>
                    <w:jc w:val="left"/>
                    <w:jc w:val="center"/>
                  </w:pPr>
                  <w:r>
                    <w:t xml:space="preserve">90% quantile</w:t>
                  </w:r>
                </w:p>
              </w:tc>
              <w:tc>
                <w:tcPr/>
                <w:p>
                  <w:pPr>
                    <w:pStyle w:val="Compact"/>
                    <w:jc w:val="right"/>
                    <w:jc w:val="center"/>
                  </w:pPr>
                  <w:r>
                    <w:t xml:space="preserve">0.00</w:t>
                  </w:r>
                </w:p>
              </w:tc>
              <w:tc>
                <w:tcPr/>
                <w:p>
                  <w:pPr>
                    <w:pStyle w:val="Compact"/>
                    <w:jc w:val="right"/>
                    <w:jc w:val="center"/>
                  </w:pPr>
                  <w:r>
                    <w:t xml:space="preserve">2.98</w:t>
                  </w:r>
                </w:p>
              </w:tc>
              <w:tc>
                <w:tcPr/>
                <w:p>
                  <w:pPr>
                    <w:pStyle w:val="Compact"/>
                    <w:jc w:val="right"/>
                    <w:jc w:val="center"/>
                  </w:pPr>
                  <w:r>
                    <w:t xml:space="preserve">0.000</w:t>
                  </w:r>
                </w:p>
              </w:tc>
              <w:tc>
                <w:tcPr/>
                <w:p>
                  <w:pPr>
                    <w:pStyle w:val="Compact"/>
                    <w:jc w:val="right"/>
                    <w:jc w:val="center"/>
                  </w:pPr>
                  <w:r>
                    <w:t xml:space="preserve">-0.844</w:t>
                  </w:r>
                </w:p>
              </w:tc>
              <w:tc>
                <w:tcPr/>
                <w:p>
                  <w:pPr>
                    <w:pStyle w:val="Compact"/>
                    <w:jc w:val="right"/>
                    <w:jc w:val="center"/>
                  </w:pPr>
                  <w:r>
                    <w:t xml:space="preserve">0.100</w:t>
                  </w:r>
                </w:p>
              </w:tc>
            </w:tr>
            <w:tr>
              <w:tc>
                <w:tcPr/>
                <w:p>
                  <w:pPr>
                    <w:pStyle w:val="Compact"/>
                    <w:jc w:val="right"/>
                    <w:jc w:val="center"/>
                  </w:pPr>
                  <w:r>
                    <w:t xml:space="preserve">200</w:t>
                  </w:r>
                </w:p>
              </w:tc>
              <w:tc>
                <w:tcPr/>
                <w:p>
                  <w:pPr>
                    <w:pStyle w:val="Compact"/>
                    <w:jc w:val="left"/>
                    <w:jc w:val="center"/>
                  </w:pPr>
                  <w:r>
                    <w:t xml:space="preserve">Yule</w:t>
                  </w:r>
                </w:p>
              </w:tc>
              <w:tc>
                <w:tcPr/>
                <w:p>
                  <w:pPr>
                    <w:pStyle w:val="Compact"/>
                    <w:jc w:val="left"/>
                    <w:jc w:val="center"/>
                  </w:pPr>
                  <w:r>
                    <w:t xml:space="preserve">median</w:t>
                  </w:r>
                </w:p>
              </w:tc>
              <w:tc>
                <w:tcPr/>
                <w:p>
                  <w:pPr>
                    <w:pStyle w:val="Compact"/>
                    <w:jc w:val="right"/>
                    <w:jc w:val="center"/>
                  </w:pPr>
                  <w:r>
                    <w:t xml:space="preserve">0.00</w:t>
                  </w:r>
                </w:p>
              </w:tc>
              <w:tc>
                <w:tcPr/>
                <w:p>
                  <w:pPr>
                    <w:pStyle w:val="Compact"/>
                    <w:jc w:val="right"/>
                    <w:jc w:val="center"/>
                  </w:pPr>
                  <w:r>
                    <w:t xml:space="preserve">1.36</w:t>
                  </w:r>
                </w:p>
              </w:tc>
              <w:tc>
                <w:tcPr/>
                <w:p>
                  <w:pPr>
                    <w:pStyle w:val="Compact"/>
                    <w:jc w:val="right"/>
                    <w:jc w:val="center"/>
                  </w:pPr>
                  <w:r>
                    <w:t xml:space="preserve">0.000</w:t>
                  </w:r>
                </w:p>
              </w:tc>
              <w:tc>
                <w:tcPr/>
                <w:p>
                  <w:pPr>
                    <w:pStyle w:val="Compact"/>
                    <w:jc w:val="right"/>
                    <w:jc w:val="center"/>
                  </w:pPr>
                  <w:r>
                    <w:t xml:space="preserve">-0.551</w:t>
                  </w:r>
                </w:p>
              </w:tc>
              <w:tc>
                <w:tcPr/>
                <w:p>
                  <w:pPr>
                    <w:pStyle w:val="Compact"/>
                    <w:jc w:val="right"/>
                    <w:jc w:val="center"/>
                  </w:pPr>
                  <w:r>
                    <w:t xml:space="preserve">0.145</w:t>
                  </w:r>
                </w:p>
              </w:tc>
            </w:tr>
            <w:tr>
              <w:tc>
                <w:tcPr/>
                <w:p>
                  <w:pPr>
                    <w:pStyle w:val="Compact"/>
                    <w:jc w:val="right"/>
                    <w:jc w:val="center"/>
                  </w:pPr>
                  <w:r>
                    <w:t xml:space="preserve">200</w:t>
                  </w:r>
                </w:p>
              </w:tc>
              <w:tc>
                <w:tcPr/>
                <w:p>
                  <w:pPr>
                    <w:pStyle w:val="Compact"/>
                    <w:jc w:val="left"/>
                    <w:jc w:val="center"/>
                  </w:pPr>
                  <w:r>
                    <w:t xml:space="preserve">Yule</w:t>
                  </w:r>
                </w:p>
              </w:tc>
              <w:tc>
                <w:tcPr/>
                <w:p>
                  <w:pPr>
                    <w:pStyle w:val="Compact"/>
                    <w:jc w:val="left"/>
                    <w:jc w:val="center"/>
                  </w:pPr>
                  <w:r>
                    <w:t xml:space="preserve">Yule</w:t>
                  </w:r>
                </w:p>
              </w:tc>
              <w:tc>
                <w:tcPr/>
                <w:p>
                  <w:pPr>
                    <w:pStyle w:val="Compact"/>
                    <w:jc w:val="right"/>
                    <w:jc w:val="center"/>
                  </w:pPr>
                  <w:r>
                    <w:t xml:space="preserve">0.00</w:t>
                  </w:r>
                </w:p>
              </w:tc>
              <w:tc>
                <w:tcPr/>
                <w:p>
                  <w:pPr>
                    <w:pStyle w:val="Compact"/>
                    <w:jc w:val="right"/>
                    <w:jc w:val="center"/>
                  </w:pPr>
                  <w:r>
                    <w:t xml:space="preserve">0.00</w:t>
                  </w:r>
                </w:p>
              </w:tc>
              <w:tc>
                <w:tcPr/>
                <w:p>
                  <w:pPr>
                    <w:pStyle w:val="Compact"/>
                    <w:jc w:val="right"/>
                    <w:jc w:val="center"/>
                  </w:pPr>
                  <w:r>
                    <w:t xml:space="preserve">0.000</w:t>
                  </w:r>
                </w:p>
              </w:tc>
              <w:tc>
                <w:tcPr/>
                <w:p>
                  <w:pPr>
                    <w:pStyle w:val="Compact"/>
                    <w:jc w:val="right"/>
                    <w:jc w:val="center"/>
                  </w:pPr>
                  <w:r>
                    <w:t xml:space="preserve">0.000</w:t>
                  </w:r>
                </w:p>
              </w:tc>
              <w:tc>
                <w:tcPr/>
                <w:p>
                  <w:pPr>
                    <w:pStyle w:val="Compact"/>
                    <w:jc w:val="right"/>
                    <w:jc w:val="center"/>
                  </w:pPr>
                  <w:r>
                    <w:t xml:space="preserve">0.186</w:t>
                  </w:r>
                </w:p>
              </w:tc>
            </w:tr>
          </w:tbl>
          <w:bookmarkEnd w:id="39"/>
          <w:p/>
        </w:tc>
      </w:tr>
    </w:tbl>
    <w:bookmarkEnd w:id="40"/>
    <w:bookmarkStart w:id="42" w:name="table-s2"/>
    <w:p>
      <w:pPr>
        <w:pStyle w:val="Heading1"/>
      </w:pPr>
      <w:r>
        <w:t xml:space="preserve">Table S2</w:t>
      </w:r>
    </w:p>
    <w:p>
      <w:pPr>
        <w:pStyle w:val="FirstParagraph"/>
      </w:pPr>
      <w:r>
        <w:t xml:space="preserve">Every rate of the study (rejection rate of each test, or hit rate of each clade-recovery method) by condition, with its Monte Carlo standard error,</w:t>
      </w:r>
      <w:r>
        <w:t xml:space="preserve"> </w:t>
      </w:r>
      <m:oMath>
        <m:r>
          <m:rPr>
            <m:nor/>
            <m:sty m:val="p"/>
          </m:rPr>
          <m:t>MCSE</m:t>
        </m:r>
        <m:r>
          <m:rPr>
            <m:sty m:val="p"/>
          </m:rPr>
          <m:t>=</m:t>
        </m:r>
        <m:rad>
          <m:radPr>
            <m:degHide m:val="on"/>
          </m:radPr>
          <m:deg/>
          <m:e>
            <m:r>
              <m:t>p</m:t>
            </m:r>
            <m:d>
              <m:dPr>
                <m:begChr m:val="("/>
                <m:sepChr m:val=""/>
                <m:endChr m:val=")"/>
                <m:grow/>
              </m:dPr>
              <m:e>
                <m:r>
                  <m:t>1</m:t>
                </m:r>
                <m:r>
                  <m:rPr>
                    <m:sty m:val="p"/>
                  </m:rPr>
                  <m:t>−</m:t>
                </m:r>
                <m:r>
                  <m:t>p</m:t>
                </m:r>
              </m:e>
            </m:d>
            <m:r>
              <m:rPr>
                <m:sty m:val="p"/>
              </m:rPr>
              <m:t>/</m:t>
            </m:r>
            <m:r>
              <m:t>K</m:t>
            </m:r>
          </m:e>
        </m:rad>
      </m:oMath>
      <w:r>
        <w:t xml:space="preserve"> </w:t>
      </w:r>
      <w:r>
        <w:t xml:space="preserve">with</w:t>
      </w:r>
      <w:r>
        <w:t xml:space="preserve"> </w:t>
      </w:r>
      <m:oMath>
        <m:r>
          <m:t>K</m:t>
        </m:r>
        <m:r>
          <m:rPr>
            <m:sty m:val="p"/>
          </m:rPr>
          <m:t>=</m:t>
        </m:r>
        <m:r>
          <m:t>1</m:t>
        </m:r>
        <m:r>
          <m:rPr>
            <m:sty m:val="p"/>
          </m:rPr>
          <m:t>,</m:t>
        </m:r>
        <m:r>
          <m:t>000</m:t>
        </m:r>
      </m:oMath>
      <w:r>
        <w:t xml:space="preserve"> </w:t>
      </w:r>
      <w:r>
        <w:t xml:space="preserve">replicates, and the 95% Monte Carlo interval. The full table (file table_S2_rates_mcse.csv) has one row per condition; below we summarize the range of the MCSE by group of conditions.</w:t>
      </w:r>
    </w:p>
    <w:tbl>
      <w:tblPr>
        <w:tblStyle w:val="Table"/>
        <w:tblW w:type="pct" w:w="5000"/>
        <w:tblLayout w:type="fixed"/>
        <w:tblLook w:firstRow="0" w:lastRow="0" w:firstColumn="0" w:lastColumn="0" w:noHBand="0" w:noVBand="0" w:val="0000"/>
      </w:tblPr>
      <w:tblGrid>
        <w:gridCol w:w="7920"/>
      </w:tblGrid>
      <w:tr>
        <w:tc>
          <w:tcPr/>
          <w:bookmarkStart w:id="41" w:name="tbl-s2"/>
          <w:p>
            <w:pPr>
              <w:jc w:val="center"/>
            </w:pPr>
            <w:pPr>
              <w:jc w:val="left"/>
              <w:spacing w:before="200"/>
              <w:pStyle w:val="ImageCaption"/>
            </w:pPr>
            <w:r>
              <w:t xml:space="preserve">Table 2</w:t>
            </w:r>
          </w:p>
          <w:tbl>
            <w:tblPr>
              <w:tblStyle w:val="Table"/>
              <w:tblW w:type="pct" w:w="5000"/>
              <w:tblLayout w:type="fixed"/>
              <w:tblLook w:firstRow="1" w:lastRow="0" w:firstColumn="0" w:lastColumn="0" w:noHBand="0" w:noVBand="0" w:val="0020"/>
            </w:tblPr>
            <w:tblGrid>
              <w:gridCol w:w="2386"/>
              <w:gridCol w:w="1193"/>
              <w:gridCol w:w="1084"/>
              <w:gridCol w:w="1084"/>
              <w:gridCol w:w="1084"/>
              <w:gridCol w:w="1084"/>
            </w:tblGrid>
            <w:tr>
              <w:trPr>
                <w:tblHeader w:val="on"/>
              </w:trPr>
              <w:tc>
                <w:tcPr/>
                <w:p>
                  <w:pPr>
                    <w:pStyle w:val="Compact"/>
                    <w:jc w:val="left"/>
                    <w:jc w:val="center"/>
                  </w:pPr>
                  <w:r>
                    <w:t xml:space="preserve">Model</w:t>
                  </w:r>
                </w:p>
              </w:tc>
              <w:tc>
                <w:tcPr/>
                <w:p>
                  <w:pPr>
                    <w:pStyle w:val="Compact"/>
                    <w:jc w:val="right"/>
                    <w:jc w:val="center"/>
                  </w:pPr>
                  <w:r>
                    <w:t xml:space="preserve">Conditions</w:t>
                  </w:r>
                </w:p>
              </w:tc>
              <w:tc>
                <w:tcPr/>
                <w:p>
                  <w:pPr>
                    <w:pStyle w:val="Compact"/>
                    <w:jc w:val="right"/>
                    <w:jc w:val="center"/>
                  </w:pPr>
                  <w:r>
                    <w:t xml:space="preserve">Min. rate</w:t>
                  </w:r>
                </w:p>
              </w:tc>
              <w:tc>
                <w:tcPr/>
                <w:p>
                  <w:pPr>
                    <w:pStyle w:val="Compact"/>
                    <w:jc w:val="right"/>
                    <w:jc w:val="center"/>
                  </w:pPr>
                  <w:r>
                    <w:t xml:space="preserve">Max. rate</w:t>
                  </w:r>
                </w:p>
              </w:tc>
              <w:tc>
                <w:tcPr/>
                <w:p>
                  <w:pPr>
                    <w:pStyle w:val="Compact"/>
                    <w:jc w:val="right"/>
                    <w:jc w:val="center"/>
                  </w:pPr>
                  <w:r>
                    <w:t xml:space="preserve">Min. MCSE</w:t>
                  </w:r>
                </w:p>
              </w:tc>
              <w:tc>
                <w:tcPr/>
                <w:p>
                  <w:pPr>
                    <w:pStyle w:val="Compact"/>
                    <w:jc w:val="right"/>
                    <w:jc w:val="center"/>
                  </w:pPr>
                  <w:r>
                    <w:t xml:space="preserve">Max. MCSE</w:t>
                  </w:r>
                </w:p>
              </w:tc>
            </w:tr>
            <w:tr>
              <w:tc>
                <w:tcPr/>
                <w:p>
                  <w:pPr>
                    <w:pStyle w:val="Compact"/>
                    <w:jc w:val="left"/>
                    <w:jc w:val="center"/>
                  </w:pPr>
                  <w:r>
                    <w:t xml:space="preserve">Clade recovery</w:t>
                  </w:r>
                </w:p>
              </w:tc>
              <w:tc>
                <w:tcPr/>
                <w:p>
                  <w:pPr>
                    <w:pStyle w:val="Compact"/>
                    <w:jc w:val="right"/>
                    <w:jc w:val="center"/>
                  </w:pPr>
                  <w:r>
                    <w:t xml:space="preserve">864</w:t>
                  </w:r>
                </w:p>
              </w:tc>
              <w:tc>
                <w:tcPr/>
                <w:p>
                  <w:pPr>
                    <w:pStyle w:val="Compact"/>
                    <w:jc w:val="right"/>
                    <w:jc w:val="center"/>
                  </w:pPr>
                  <w:r>
                    <w:t xml:space="preserve">0.007</w:t>
                  </w:r>
                </w:p>
              </w:tc>
              <w:tc>
                <w:tcPr/>
                <w:p>
                  <w:pPr>
                    <w:pStyle w:val="Compact"/>
                    <w:jc w:val="right"/>
                    <w:jc w:val="center"/>
                  </w:pPr>
                  <w:r>
                    <w:t xml:space="preserve">0.925</w:t>
                  </w:r>
                </w:p>
              </w:tc>
              <w:tc>
                <w:tcPr/>
                <w:p>
                  <w:pPr>
                    <w:pStyle w:val="Compact"/>
                    <w:jc w:val="right"/>
                    <w:jc w:val="center"/>
                  </w:pPr>
                  <w:r>
                    <w:t xml:space="preserve">0.003</w:t>
                  </w:r>
                </w:p>
              </w:tc>
              <w:tc>
                <w:tcPr/>
                <w:p>
                  <w:pPr>
                    <w:pStyle w:val="Compact"/>
                    <w:jc w:val="right"/>
                    <w:jc w:val="center"/>
                  </w:pPr>
                  <w:r>
                    <w:t xml:space="preserve">0.016</w:t>
                  </w:r>
                </w:p>
              </w:tc>
            </w:tr>
            <w:tr>
              <w:tc>
                <w:tcPr/>
                <w:p>
                  <w:pPr>
                    <w:pStyle w:val="Compact"/>
                    <w:jc w:val="left"/>
                    <w:jc w:val="center"/>
                  </w:pPr>
                  <w:r>
                    <w:t xml:space="preserve">Layer A, power</w:t>
                  </w:r>
                </w:p>
              </w:tc>
              <w:tc>
                <w:tcPr/>
                <w:p>
                  <w:pPr>
                    <w:pStyle w:val="Compact"/>
                    <w:jc w:val="right"/>
                    <w:jc w:val="center"/>
                  </w:pPr>
                  <w:r>
                    <w:t xml:space="preserve">810</w:t>
                  </w:r>
                </w:p>
              </w:tc>
              <w:tc>
                <w:tcPr/>
                <w:p>
                  <w:pPr>
                    <w:pStyle w:val="Compact"/>
                    <w:jc w:val="right"/>
                    <w:jc w:val="center"/>
                  </w:pPr>
                  <w:r>
                    <w:t xml:space="preserve">0.000</w:t>
                  </w:r>
                </w:p>
              </w:tc>
              <w:tc>
                <w:tcPr/>
                <w:p>
                  <w:pPr>
                    <w:pStyle w:val="Compact"/>
                    <w:jc w:val="right"/>
                    <w:jc w:val="center"/>
                  </w:pPr>
                  <w:r>
                    <w:t xml:space="preserve">1.000</w:t>
                  </w:r>
                </w:p>
              </w:tc>
              <w:tc>
                <w:tcPr/>
                <w:p>
                  <w:pPr>
                    <w:pStyle w:val="Compact"/>
                    <w:jc w:val="right"/>
                    <w:jc w:val="center"/>
                  </w:pPr>
                  <w:r>
                    <w:t xml:space="preserve">0.000</w:t>
                  </w:r>
                </w:p>
              </w:tc>
              <w:tc>
                <w:tcPr/>
                <w:p>
                  <w:pPr>
                    <w:pStyle w:val="Compact"/>
                    <w:jc w:val="right"/>
                    <w:jc w:val="center"/>
                  </w:pPr>
                  <w:r>
                    <w:t xml:space="preserve">0.016</w:t>
                  </w:r>
                </w:p>
              </w:tc>
            </w:tr>
            <w:tr>
              <w:tc>
                <w:tcPr/>
                <w:p>
                  <w:pPr>
                    <w:pStyle w:val="Compact"/>
                    <w:jc w:val="left"/>
                    <w:jc w:val="center"/>
                  </w:pPr>
                  <w:r>
                    <w:t xml:space="preserve">Layer A, type I error</w:t>
                  </w:r>
                </w:p>
              </w:tc>
              <w:tc>
                <w:tcPr/>
                <w:p>
                  <w:pPr>
                    <w:pStyle w:val="Compact"/>
                    <w:jc w:val="right"/>
                    <w:jc w:val="center"/>
                  </w:pPr>
                  <w:r>
                    <w:t xml:space="preserve">1350</w:t>
                  </w:r>
                </w:p>
              </w:tc>
              <w:tc>
                <w:tcPr/>
                <w:p>
                  <w:pPr>
                    <w:pStyle w:val="Compact"/>
                    <w:jc w:val="right"/>
                    <w:jc w:val="center"/>
                  </w:pPr>
                  <w:r>
                    <w:t xml:space="preserve">0.000</w:t>
                  </w:r>
                </w:p>
              </w:tc>
              <w:tc>
                <w:tcPr/>
                <w:p>
                  <w:pPr>
                    <w:pStyle w:val="Compact"/>
                    <w:jc w:val="right"/>
                    <w:jc w:val="center"/>
                  </w:pPr>
                  <w:r>
                    <w:t xml:space="preserve">0.356</w:t>
                  </w:r>
                </w:p>
              </w:tc>
              <w:tc>
                <w:tcPr/>
                <w:p>
                  <w:pPr>
                    <w:pStyle w:val="Compact"/>
                    <w:jc w:val="right"/>
                    <w:jc w:val="center"/>
                  </w:pPr>
                  <w:r>
                    <w:t xml:space="preserve">0.000</w:t>
                  </w:r>
                </w:p>
              </w:tc>
              <w:tc>
                <w:tcPr/>
                <w:p>
                  <w:pPr>
                    <w:pStyle w:val="Compact"/>
                    <w:jc w:val="right"/>
                    <w:jc w:val="center"/>
                  </w:pPr>
                  <w:r>
                    <w:t xml:space="preserve">0.015</w:t>
                  </w:r>
                </w:p>
              </w:tc>
            </w:tr>
            <w:tr>
              <w:tc>
                <w:tcPr/>
                <w:p>
                  <w:pPr>
                    <w:pStyle w:val="Compact"/>
                    <w:jc w:val="left"/>
                    <w:jc w:val="center"/>
                  </w:pPr>
                  <w:r>
                    <w:t xml:space="preserve">Layer B, power</w:t>
                  </w:r>
                </w:p>
              </w:tc>
              <w:tc>
                <w:tcPr/>
                <w:p>
                  <w:pPr>
                    <w:pStyle w:val="Compact"/>
                    <w:jc w:val="right"/>
                    <w:jc w:val="center"/>
                  </w:pPr>
                  <w:r>
                    <w:t xml:space="preserve">990</w:t>
                  </w:r>
                </w:p>
              </w:tc>
              <w:tc>
                <w:tcPr/>
                <w:p>
                  <w:pPr>
                    <w:pStyle w:val="Compact"/>
                    <w:jc w:val="right"/>
                    <w:jc w:val="center"/>
                  </w:pPr>
                  <w:r>
                    <w:t xml:space="preserve">0.000</w:t>
                  </w:r>
                </w:p>
              </w:tc>
              <w:tc>
                <w:tcPr/>
                <w:p>
                  <w:pPr>
                    <w:pStyle w:val="Compact"/>
                    <w:jc w:val="right"/>
                    <w:jc w:val="center"/>
                  </w:pPr>
                  <w:r>
                    <w:t xml:space="preserve">1.000</w:t>
                  </w:r>
                </w:p>
              </w:tc>
              <w:tc>
                <w:tcPr/>
                <w:p>
                  <w:pPr>
                    <w:pStyle w:val="Compact"/>
                    <w:jc w:val="right"/>
                    <w:jc w:val="center"/>
                  </w:pPr>
                  <w:r>
                    <w:t xml:space="preserve">0.000</w:t>
                  </w:r>
                </w:p>
              </w:tc>
              <w:tc>
                <w:tcPr/>
                <w:p>
                  <w:pPr>
                    <w:pStyle w:val="Compact"/>
                    <w:jc w:val="right"/>
                    <w:jc w:val="center"/>
                  </w:pPr>
                  <w:r>
                    <w:t xml:space="preserve">0.016</w:t>
                  </w:r>
                </w:p>
              </w:tc>
            </w:tr>
            <w:tr>
              <w:tc>
                <w:tcPr/>
                <w:p>
                  <w:pPr>
                    <w:pStyle w:val="Compact"/>
                    <w:jc w:val="left"/>
                    <w:jc w:val="center"/>
                  </w:pPr>
                  <w:r>
                    <w:t xml:space="preserve">Layer B, type I error</w:t>
                  </w:r>
                </w:p>
              </w:tc>
              <w:tc>
                <w:tcPr/>
                <w:p>
                  <w:pPr>
                    <w:pStyle w:val="Compact"/>
                    <w:jc w:val="right"/>
                    <w:jc w:val="center"/>
                  </w:pPr>
                  <w:r>
                    <w:t xml:space="preserve">1650</w:t>
                  </w:r>
                </w:p>
              </w:tc>
              <w:tc>
                <w:tcPr/>
                <w:p>
                  <w:pPr>
                    <w:pStyle w:val="Compact"/>
                    <w:jc w:val="right"/>
                    <w:jc w:val="center"/>
                  </w:pPr>
                  <w:r>
                    <w:t xml:space="preserve">0.001</w:t>
                  </w:r>
                </w:p>
              </w:tc>
              <w:tc>
                <w:tcPr/>
                <w:p>
                  <w:pPr>
                    <w:pStyle w:val="Compact"/>
                    <w:jc w:val="right"/>
                    <w:jc w:val="center"/>
                  </w:pPr>
                  <w:r>
                    <w:t xml:space="preserve">0.143</w:t>
                  </w:r>
                </w:p>
              </w:tc>
              <w:tc>
                <w:tcPr/>
                <w:p>
                  <w:pPr>
                    <w:pStyle w:val="Compact"/>
                    <w:jc w:val="right"/>
                    <w:jc w:val="center"/>
                  </w:pPr>
                  <w:r>
                    <w:t xml:space="preserve">0.001</w:t>
                  </w:r>
                </w:p>
              </w:tc>
              <w:tc>
                <w:tcPr/>
                <w:p>
                  <w:pPr>
                    <w:pStyle w:val="Compact"/>
                    <w:jc w:val="right"/>
                    <w:jc w:val="center"/>
                  </w:pPr>
                  <w:r>
                    <w:t xml:space="preserve">0.011</w:t>
                  </w:r>
                </w:p>
              </w:tc>
            </w:tr>
          </w:tbl>
          <w:bookmarkEnd w:id="41"/>
          <w:p/>
        </w:tc>
      </w:tr>
    </w:tbl>
    <w:bookmarkEnd w:id="42"/>
    <w:bookmarkStart w:id="44" w:name="table-s3"/>
    <w:p>
      <w:pPr>
        <w:pStyle w:val="Heading1"/>
      </w:pPr>
      <w:r>
        <w:t xml:space="preserve">Table S3</w:t>
      </w:r>
    </w:p>
    <w:p>
      <w:pPr>
        <w:pStyle w:val="FirstParagraph"/>
      </w:pPr>
      <w:r>
        <w:t xml:space="preserve">Convergence and posterior predictive diagnostics of the beta-binomial models: maximum rank-normalized</w:t>
      </w:r>
      <w:r>
        <w:t xml:space="preserve"> </w:t>
      </w:r>
      <m:oMath>
        <m:acc>
          <m:accPr>
            <m:chr m:val="̂"/>
          </m:accPr>
          <m:e>
            <m:r>
              <m:t>R</m:t>
            </m:r>
          </m:e>
        </m:acc>
      </m:oMath>
      <w:r>
        <w:t xml:space="preserve">, minimum bulk and tail effective sample sizes, numbers of divergent transitions and of transitions at the maximum tree depth, coverage of the 50% and 95% posterior predictive intervals for each condition and for the sums over the conditions of each test (or method), N and cell, and the dispersion of the quasibinomial model with the same structure.</w:t>
      </w:r>
    </w:p>
    <w:tbl>
      <w:tblPr>
        <w:tblStyle w:val="Table"/>
        <w:tblW w:type="pct" w:w="5000"/>
        <w:tblLayout w:type="fixed"/>
        <w:tblLook w:firstRow="0" w:lastRow="0" w:firstColumn="0" w:lastColumn="0" w:noHBand="0" w:noVBand="0" w:val="0000"/>
      </w:tblPr>
      <w:tblGrid>
        <w:gridCol w:w="7920"/>
      </w:tblGrid>
      <w:tr>
        <w:tc>
          <w:tcPr/>
          <w:bookmarkStart w:id="43" w:name="tbl-s3"/>
          <w:p>
            <w:pPr>
              <w:jc w:val="center"/>
            </w:pPr>
            <w:pPr>
              <w:jc w:val="left"/>
              <w:spacing w:before="200"/>
              <w:pStyle w:val="ImageCaption"/>
            </w:pPr>
            <w:r>
              <w:t xml:space="preserve">Table 3</w:t>
            </w:r>
          </w:p>
          <w:tbl>
            <w:tblPr>
              <w:tblStyle w:val="Table"/>
              <w:tblW w:type="pct" w:w="5000"/>
              <w:tblLayout w:type="fixed"/>
              <w:tblLook w:firstRow="1" w:lastRow="0" w:firstColumn="0" w:lastColumn="0" w:noHBand="0" w:noVBand="0" w:val="0020"/>
            </w:tblPr>
            <w:tblGrid>
              <w:gridCol w:w="484"/>
              <w:gridCol w:w="592"/>
              <w:gridCol w:w="754"/>
              <w:gridCol w:w="754"/>
              <w:gridCol w:w="646"/>
              <w:gridCol w:w="862"/>
              <w:gridCol w:w="538"/>
              <w:gridCol w:w="538"/>
              <w:gridCol w:w="1077"/>
              <w:gridCol w:w="1077"/>
              <w:gridCol w:w="592"/>
            </w:tblGrid>
            <w:tr>
              <w:trPr>
                <w:tblHeader w:val="on"/>
              </w:trPr>
              <w:tc>
                <w:tcPr/>
                <w:p>
                  <w:pPr>
                    <w:pStyle w:val="Compact"/>
                    <w:jc w:val="left"/>
                    <w:jc w:val="center"/>
                  </w:pPr>
                  <w:r>
                    <w:t xml:space="preserve">Model</w:t>
                  </w:r>
                </w:p>
              </w:tc>
              <w:tc>
                <w:tcPr/>
                <w:p>
                  <w:pPr>
                    <w:pStyle w:val="Compact"/>
                    <w:jc w:val="right"/>
                    <w:jc w:val="center"/>
                  </w:pPr>
                  <w:r>
                    <w:t xml:space="preserve">Max. R-hat</w:t>
                  </w:r>
                </w:p>
              </w:tc>
              <w:tc>
                <w:tcPr/>
                <w:p>
                  <w:pPr>
                    <w:pStyle w:val="Compact"/>
                    <w:jc w:val="right"/>
                    <w:jc w:val="center"/>
                  </w:pPr>
                  <w:r>
                    <w:t xml:space="preserve">Min. bulk ESS</w:t>
                  </w:r>
                </w:p>
              </w:tc>
              <w:tc>
                <w:tcPr/>
                <w:p>
                  <w:pPr>
                    <w:pStyle w:val="Compact"/>
                    <w:jc w:val="right"/>
                    <w:jc w:val="center"/>
                  </w:pPr>
                  <w:r>
                    <w:t xml:space="preserve">Min. tail ESS</w:t>
                  </w:r>
                </w:p>
              </w:tc>
              <w:tc>
                <w:tcPr/>
                <w:p>
                  <w:pPr>
                    <w:pStyle w:val="Compact"/>
                    <w:jc w:val="right"/>
                    <w:jc w:val="center"/>
                  </w:pPr>
                  <w:r>
                    <w:t xml:space="preserve">Divergences</w:t>
                  </w:r>
                </w:p>
              </w:tc>
              <w:tc>
                <w:tcPr/>
                <w:p>
                  <w:pPr>
                    <w:pStyle w:val="Compact"/>
                    <w:jc w:val="right"/>
                    <w:jc w:val="center"/>
                  </w:pPr>
                  <w:r>
                    <w:t xml:space="preserve">Max. tree depth</w:t>
                  </w:r>
                </w:p>
              </w:tc>
              <w:tc>
                <w:tcPr/>
                <w:p>
                  <w:pPr>
                    <w:pStyle w:val="Compact"/>
                    <w:jc w:val="right"/>
                    <w:jc w:val="center"/>
                  </w:pPr>
                  <w:r>
                    <w:t xml:space="preserve">50% cover</w:t>
                  </w:r>
                </w:p>
              </w:tc>
              <w:tc>
                <w:tcPr/>
                <w:p>
                  <w:pPr>
                    <w:pStyle w:val="Compact"/>
                    <w:jc w:val="right"/>
                    <w:jc w:val="center"/>
                  </w:pPr>
                  <w:r>
                    <w:t xml:space="preserve">95% cover</w:t>
                  </w:r>
                </w:p>
              </w:tc>
              <w:tc>
                <w:tcPr/>
                <w:p>
                  <w:pPr>
                    <w:pStyle w:val="Compact"/>
                    <w:jc w:val="right"/>
                    <w:jc w:val="center"/>
                  </w:pPr>
                  <w:r>
                    <w:t xml:space="preserve">50% cover (grouped)</w:t>
                  </w:r>
                </w:p>
              </w:tc>
              <w:tc>
                <w:tcPr/>
                <w:p>
                  <w:pPr>
                    <w:pStyle w:val="Compact"/>
                    <w:jc w:val="right"/>
                    <w:jc w:val="center"/>
                  </w:pPr>
                  <w:r>
                    <w:t xml:space="preserve">95% cover (grouped)</w:t>
                  </w:r>
                </w:p>
              </w:tc>
              <w:tc>
                <w:tcPr/>
                <w:p>
                  <w:pPr>
                    <w:pStyle w:val="Compact"/>
                    <w:jc w:val="right"/>
                    <w:jc w:val="center"/>
                  </w:pPr>
                  <w:r>
                    <w:t xml:space="preserve">Dispersion</w:t>
                  </w:r>
                </w:p>
              </w:tc>
            </w:tr>
            <w:tr>
              <w:tc>
                <w:tcPr/>
                <w:p>
                  <w:pPr>
                    <w:pStyle w:val="Compact"/>
                    <w:jc w:val="left"/>
                    <w:jc w:val="center"/>
                  </w:pPr>
                  <w:r>
                    <w:t xml:space="preserve">type_I</w:t>
                  </w:r>
                </w:p>
              </w:tc>
              <w:tc>
                <w:tcPr/>
                <w:p>
                  <w:pPr>
                    <w:pStyle w:val="Compact"/>
                    <w:jc w:val="right"/>
                    <w:jc w:val="center"/>
                  </w:pPr>
                  <w:r>
                    <w:t xml:space="preserve">1.005</w:t>
                  </w:r>
                </w:p>
              </w:tc>
              <w:tc>
                <w:tcPr/>
                <w:p>
                  <w:pPr>
                    <w:pStyle w:val="Compact"/>
                    <w:jc w:val="right"/>
                    <w:jc w:val="center"/>
                  </w:pPr>
                  <w:r>
                    <w:t xml:space="preserve">908.012</w:t>
                  </w:r>
                </w:p>
              </w:tc>
              <w:tc>
                <w:tcPr/>
                <w:p>
                  <w:pPr>
                    <w:pStyle w:val="Compact"/>
                    <w:jc w:val="right"/>
                    <w:jc w:val="center"/>
                  </w:pPr>
                  <w:r>
                    <w:t xml:space="preserve">1476.722</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0.683</w:t>
                  </w:r>
                </w:p>
              </w:tc>
              <w:tc>
                <w:tcPr/>
                <w:p>
                  <w:pPr>
                    <w:pStyle w:val="Compact"/>
                    <w:jc w:val="right"/>
                    <w:jc w:val="center"/>
                  </w:pPr>
                  <w:r>
                    <w:t xml:space="preserve">0.984</w:t>
                  </w:r>
                </w:p>
              </w:tc>
              <w:tc>
                <w:tcPr/>
                <w:p>
                  <w:pPr>
                    <w:pStyle w:val="Compact"/>
                    <w:jc w:val="right"/>
                    <w:jc w:val="center"/>
                  </w:pPr>
                  <w:r>
                    <w:t xml:space="preserve">0.985</w:t>
                  </w:r>
                </w:p>
              </w:tc>
              <w:tc>
                <w:tcPr/>
                <w:p>
                  <w:pPr>
                    <w:pStyle w:val="Compact"/>
                    <w:jc w:val="right"/>
                    <w:jc w:val="center"/>
                  </w:pPr>
                  <w:r>
                    <w:t xml:space="preserve">1</w:t>
                  </w:r>
                </w:p>
              </w:tc>
              <w:tc>
                <w:tcPr/>
                <w:p>
                  <w:pPr>
                    <w:pStyle w:val="Compact"/>
                    <w:jc w:val="right"/>
                    <w:jc w:val="center"/>
                  </w:pPr>
                  <w:r>
                    <w:t xml:space="preserve">2.119</w:t>
                  </w:r>
                </w:p>
              </w:tc>
            </w:tr>
            <w:tr>
              <w:tc>
                <w:tcPr/>
                <w:p>
                  <w:pPr>
                    <w:pStyle w:val="Compact"/>
                    <w:jc w:val="left"/>
                    <w:jc w:val="center"/>
                  </w:pPr>
                  <w:r>
                    <w:t xml:space="preserve">power</w:t>
                  </w:r>
                </w:p>
              </w:tc>
              <w:tc>
                <w:tcPr/>
                <w:p>
                  <w:pPr>
                    <w:pStyle w:val="Compact"/>
                    <w:jc w:val="right"/>
                    <w:jc w:val="center"/>
                  </w:pPr>
                  <w:r>
                    <w:t xml:space="preserve">1.003</w:t>
                  </w:r>
                </w:p>
              </w:tc>
              <w:tc>
                <w:tcPr/>
                <w:p>
                  <w:pPr>
                    <w:pStyle w:val="Compact"/>
                    <w:jc w:val="right"/>
                    <w:jc w:val="center"/>
                  </w:pPr>
                  <w:r>
                    <w:t xml:space="preserve">1166.011</w:t>
                  </w:r>
                </w:p>
              </w:tc>
              <w:tc>
                <w:tcPr/>
                <w:p>
                  <w:pPr>
                    <w:pStyle w:val="Compact"/>
                    <w:jc w:val="right"/>
                    <w:jc w:val="center"/>
                  </w:pPr>
                  <w:r>
                    <w:t xml:space="preserve">2100.224</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0.701</w:t>
                  </w:r>
                </w:p>
              </w:tc>
              <w:tc>
                <w:tcPr/>
                <w:p>
                  <w:pPr>
                    <w:pStyle w:val="Compact"/>
                    <w:jc w:val="right"/>
                    <w:jc w:val="center"/>
                  </w:pPr>
                  <w:r>
                    <w:t xml:space="preserve">0.964</w:t>
                  </w:r>
                </w:p>
              </w:tc>
              <w:tc>
                <w:tcPr/>
                <w:p>
                  <w:pPr>
                    <w:pStyle w:val="Compact"/>
                    <w:jc w:val="right"/>
                    <w:jc w:val="center"/>
                  </w:pPr>
                  <w:r>
                    <w:t xml:space="preserve">0.978</w:t>
                  </w:r>
                </w:p>
              </w:tc>
              <w:tc>
                <w:tcPr/>
                <w:p>
                  <w:pPr>
                    <w:pStyle w:val="Compact"/>
                    <w:jc w:val="right"/>
                    <w:jc w:val="center"/>
                  </w:pPr>
                  <w:r>
                    <w:t xml:space="preserve">1</w:t>
                  </w:r>
                </w:p>
              </w:tc>
              <w:tc>
                <w:tcPr/>
                <w:p>
                  <w:pPr>
                    <w:pStyle w:val="Compact"/>
                    <w:jc w:val="right"/>
                    <w:jc w:val="center"/>
                  </w:pPr>
                  <w:r>
                    <w:t xml:space="preserve">8.543</w:t>
                  </w:r>
                </w:p>
              </w:tc>
            </w:tr>
            <w:tr>
              <w:tc>
                <w:tcPr/>
                <w:p>
                  <w:pPr>
                    <w:pStyle w:val="Compact"/>
                    <w:jc w:val="left"/>
                    <w:jc w:val="center"/>
                  </w:pPr>
                  <w:r>
                    <w:t xml:space="preserve">B_type_I</w:t>
                  </w:r>
                </w:p>
              </w:tc>
              <w:tc>
                <w:tcPr/>
                <w:p>
                  <w:pPr>
                    <w:pStyle w:val="Compact"/>
                    <w:jc w:val="right"/>
                    <w:jc w:val="center"/>
                  </w:pPr>
                  <w:r>
                    <w:t xml:space="preserve">1.005</w:t>
                  </w:r>
                </w:p>
              </w:tc>
              <w:tc>
                <w:tcPr/>
                <w:p>
                  <w:pPr>
                    <w:pStyle w:val="Compact"/>
                    <w:jc w:val="right"/>
                    <w:jc w:val="center"/>
                  </w:pPr>
                  <w:r>
                    <w:t xml:space="preserve">1321.356</w:t>
                  </w:r>
                </w:p>
              </w:tc>
              <w:tc>
                <w:tcPr/>
                <w:p>
                  <w:pPr>
                    <w:pStyle w:val="Compact"/>
                    <w:jc w:val="right"/>
                    <w:jc w:val="center"/>
                  </w:pPr>
                  <w:r>
                    <w:t xml:space="preserve">1763.291</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0.670</w:t>
                  </w:r>
                </w:p>
              </w:tc>
              <w:tc>
                <w:tcPr/>
                <w:p>
                  <w:pPr>
                    <w:pStyle w:val="Compact"/>
                    <w:jc w:val="right"/>
                    <w:jc w:val="center"/>
                  </w:pPr>
                  <w:r>
                    <w:t xml:space="preserve">0.980</w:t>
                  </w:r>
                </w:p>
              </w:tc>
              <w:tc>
                <w:tcPr/>
                <w:p>
                  <w:pPr>
                    <w:pStyle w:val="Compact"/>
                    <w:jc w:val="right"/>
                    <w:jc w:val="center"/>
                  </w:pPr>
                  <w:r>
                    <w:t xml:space="preserve">0.964</w:t>
                  </w:r>
                </w:p>
              </w:tc>
              <w:tc>
                <w:tcPr/>
                <w:p>
                  <w:pPr>
                    <w:pStyle w:val="Compact"/>
                    <w:jc w:val="right"/>
                    <w:jc w:val="center"/>
                  </w:pPr>
                  <w:r>
                    <w:t xml:space="preserve">1</w:t>
                  </w:r>
                </w:p>
              </w:tc>
              <w:tc>
                <w:tcPr/>
                <w:p>
                  <w:pPr>
                    <w:pStyle w:val="Compact"/>
                    <w:jc w:val="right"/>
                    <w:jc w:val="center"/>
                  </w:pPr>
                  <w:r>
                    <w:t xml:space="preserve">2.236</w:t>
                  </w:r>
                </w:p>
              </w:tc>
            </w:tr>
            <w:tr>
              <w:tc>
                <w:tcPr/>
                <w:p>
                  <w:pPr>
                    <w:pStyle w:val="Compact"/>
                    <w:jc w:val="left"/>
                    <w:jc w:val="center"/>
                  </w:pPr>
                  <w:r>
                    <w:t xml:space="preserve">B_power</w:t>
                  </w:r>
                </w:p>
              </w:tc>
              <w:tc>
                <w:tcPr/>
                <w:p>
                  <w:pPr>
                    <w:pStyle w:val="Compact"/>
                    <w:jc w:val="right"/>
                    <w:jc w:val="center"/>
                  </w:pPr>
                  <w:r>
                    <w:t xml:space="preserve">1.009</w:t>
                  </w:r>
                </w:p>
              </w:tc>
              <w:tc>
                <w:tcPr/>
                <w:p>
                  <w:pPr>
                    <w:pStyle w:val="Compact"/>
                    <w:jc w:val="right"/>
                    <w:jc w:val="center"/>
                  </w:pPr>
                  <w:r>
                    <w:t xml:space="preserve">834.701</w:t>
                  </w:r>
                </w:p>
              </w:tc>
              <w:tc>
                <w:tcPr/>
                <w:p>
                  <w:pPr>
                    <w:pStyle w:val="Compact"/>
                    <w:jc w:val="right"/>
                    <w:jc w:val="center"/>
                  </w:pPr>
                  <w:r>
                    <w:t xml:space="preserve">1595.619</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0.700</w:t>
                  </w:r>
                </w:p>
              </w:tc>
              <w:tc>
                <w:tcPr/>
                <w:p>
                  <w:pPr>
                    <w:pStyle w:val="Compact"/>
                    <w:jc w:val="right"/>
                    <w:jc w:val="center"/>
                  </w:pPr>
                  <w:r>
                    <w:t xml:space="preserve">0.979</w:t>
                  </w:r>
                </w:p>
              </w:tc>
              <w:tc>
                <w:tcPr/>
                <w:p>
                  <w:pPr>
                    <w:pStyle w:val="Compact"/>
                    <w:jc w:val="right"/>
                    <w:jc w:val="center"/>
                  </w:pPr>
                  <w:r>
                    <w:t xml:space="preserve">0.836</w:t>
                  </w:r>
                </w:p>
              </w:tc>
              <w:tc>
                <w:tcPr/>
                <w:p>
                  <w:pPr>
                    <w:pStyle w:val="Compact"/>
                    <w:jc w:val="right"/>
                    <w:jc w:val="center"/>
                  </w:pPr>
                  <w:r>
                    <w:t xml:space="preserve">1</w:t>
                  </w:r>
                </w:p>
              </w:tc>
              <w:tc>
                <w:tcPr/>
                <w:p>
                  <w:pPr>
                    <w:pStyle w:val="Compact"/>
                    <w:jc w:val="right"/>
                    <w:jc w:val="center"/>
                  </w:pPr>
                  <w:r>
                    <w:t xml:space="preserve">3.948</w:t>
                  </w:r>
                </w:p>
              </w:tc>
            </w:tr>
            <w:tr>
              <w:tc>
                <w:tcPr/>
                <w:p>
                  <w:pPr>
                    <w:pStyle w:val="Compact"/>
                    <w:jc w:val="left"/>
                    <w:jc w:val="center"/>
                  </w:pPr>
                  <w:r>
                    <w:t xml:space="preserve">clade</w:t>
                  </w:r>
                </w:p>
              </w:tc>
              <w:tc>
                <w:tcPr/>
                <w:p>
                  <w:pPr>
                    <w:pStyle w:val="Compact"/>
                    <w:jc w:val="right"/>
                    <w:jc w:val="center"/>
                  </w:pPr>
                  <w:r>
                    <w:t xml:space="preserve">1.004</w:t>
                  </w:r>
                </w:p>
              </w:tc>
              <w:tc>
                <w:tcPr/>
                <w:p>
                  <w:pPr>
                    <w:pStyle w:val="Compact"/>
                    <w:jc w:val="right"/>
                    <w:jc w:val="center"/>
                  </w:pPr>
                  <w:r>
                    <w:t xml:space="preserve">1140.252</w:t>
                  </w:r>
                </w:p>
              </w:tc>
              <w:tc>
                <w:tcPr/>
                <w:p>
                  <w:pPr>
                    <w:pStyle w:val="Compact"/>
                    <w:jc w:val="right"/>
                    <w:jc w:val="center"/>
                  </w:pPr>
                  <w:r>
                    <w:t xml:space="preserve">1747.850</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0.613</w:t>
                  </w:r>
                </w:p>
              </w:tc>
              <w:tc>
                <w:tcPr/>
                <w:p>
                  <w:pPr>
                    <w:pStyle w:val="Compact"/>
                    <w:jc w:val="right"/>
                    <w:jc w:val="center"/>
                  </w:pPr>
                  <w:r>
                    <w:t xml:space="preserve">0.973</w:t>
                  </w:r>
                </w:p>
              </w:tc>
              <w:tc>
                <w:tcPr/>
                <w:p>
                  <w:pPr>
                    <w:pStyle w:val="Compact"/>
                    <w:jc w:val="right"/>
                    <w:jc w:val="center"/>
                  </w:pPr>
                  <w:r>
                    <w:t xml:space="preserve">0.935</w:t>
                  </w:r>
                </w:p>
              </w:tc>
              <w:tc>
                <w:tcPr/>
                <w:p>
                  <w:pPr>
                    <w:pStyle w:val="Compact"/>
                    <w:jc w:val="right"/>
                    <w:jc w:val="center"/>
                  </w:pPr>
                  <w:r>
                    <w:t xml:space="preserve">1</w:t>
                  </w:r>
                </w:p>
              </w:tc>
              <w:tc>
                <w:tcPr/>
                <w:p>
                  <w:pPr>
                    <w:pStyle w:val="Compact"/>
                    <w:jc w:val="right"/>
                    <w:jc w:val="center"/>
                  </w:pPr>
                  <w:r>
                    <w:t xml:space="preserve">4.198</w:t>
                  </w:r>
                </w:p>
              </w:tc>
            </w:tr>
          </w:tbl>
          <w:bookmarkEnd w:id="43"/>
          <w:p/>
        </w:tc>
      </w:tr>
    </w:tbl>
    <w:bookmarkEnd w:id="44"/>
    <w:bookmarkStart w:id="45" w:name="references"/>
    <w:p>
      <w:pPr>
        <w:pStyle w:val="Heading1"/>
      </w:pPr>
      <w:r>
        <w:t xml:space="preserve">References</w:t>
      </w:r>
    </w:p>
    <w:p>
      <w:pPr>
        <w:pStyle w:val="FirstParagraph"/>
      </w:pPr>
      <w:r>
        <w:t xml:space="preserve">Aldous, D. (1996). Probability distributions on cladograms. In D. Aldous &amp; R. Pemantle (Eds.),</w:t>
      </w:r>
      <w:r>
        <w:t xml:space="preserve"> </w:t>
      </w:r>
      <w:r>
        <w:rPr>
          <w:i/>
          <w:iCs/>
        </w:rPr>
        <w:t xml:space="preserve">Random discrete structures</w:t>
      </w:r>
      <w:r>
        <w:t xml:space="preserve"> </w:t>
      </w:r>
      <w:r>
        <w:t xml:space="preserve">(pp. 1–18). The IMA Volumes in Mathematics and its Applications, Vol. 76. Springer. https://doi.org/10.1007/978-1-4612-0719-1_1</w:t>
      </w:r>
    </w:p>
    <w:p>
      <w:pPr>
        <w:pStyle w:val="BodyText"/>
      </w:pPr>
      <w:r>
        <w:t xml:space="preserve">Both, C., Melo, A. S., Cechin, S. Z., &amp; Hartz, S. M. (2011). Tadpole co-occurrence in ponds: when do guilds and time matter?</w:t>
      </w:r>
      <w:r>
        <w:t xml:space="preserve"> </w:t>
      </w:r>
      <w:r>
        <w:rPr>
          <w:i/>
          <w:iCs/>
        </w:rPr>
        <w:t xml:space="preserve">Acta Oecologica</w:t>
      </w:r>
      <w:r>
        <w:t xml:space="preserve">, 37, 140–145. https://doi.org/10.1016/j.actao.2011.01.008</w:t>
      </w:r>
    </w:p>
    <w:p>
      <w:pPr>
        <w:pStyle w:val="BodyText"/>
      </w:pPr>
      <w:r>
        <w:t xml:space="preserve">Bradley, J. V. (1978). Robustness?</w:t>
      </w:r>
      <w:r>
        <w:t xml:space="preserve"> </w:t>
      </w:r>
      <w:r>
        <w:rPr>
          <w:i/>
          <w:iCs/>
        </w:rPr>
        <w:t xml:space="preserve">British Journal of Mathematical and Statistical Psychology</w:t>
      </w:r>
      <w:r>
        <w:t xml:space="preserve">, 31, 144–152. https://doi.org/10.1111/j.2044-8317.1978.tb00581.x</w:t>
      </w:r>
    </w:p>
    <w:p>
      <w:pPr>
        <w:pStyle w:val="BodyText"/>
      </w:pPr>
      <w:r>
        <w:t xml:space="preserve">Debastiani, V. J. (2026). PCPS: principal coordinates of phylogenetic structure. R package version 1.0.9. doi:10.32614/CRAN.package.PCPS.</w:t>
      </w:r>
    </w:p>
    <w:p>
      <w:pPr>
        <w:pStyle w:val="BodyText"/>
      </w:pPr>
      <w:r>
        <w:t xml:space="preserve">Duarte, L. D. S., Debastiani, V. J., Freitas, A. V. L., &amp; Pillar, V. D. (2016). Dissecting phylogenetic fuzzy weighting: theory and application in metacommunity phylogenetics.</w:t>
      </w:r>
      <w:r>
        <w:t xml:space="preserve"> </w:t>
      </w:r>
      <w:r>
        <w:rPr>
          <w:i/>
          <w:iCs/>
        </w:rPr>
        <w:t xml:space="preserve">Methods in Ecology and Evolution</w:t>
      </w:r>
      <w:r>
        <w:t xml:space="preserve">, 7, 937–946. https://doi.org/10.1111/2041-210X.12547</w:t>
      </w:r>
    </w:p>
    <w:p>
      <w:pPr>
        <w:pStyle w:val="BodyText"/>
      </w:pPr>
      <w:r>
        <w:t xml:space="preserve">Frost, D. R. (2026).</w:t>
      </w:r>
      <w:r>
        <w:t xml:space="preserve"> </w:t>
      </w:r>
      <w:r>
        <w:rPr>
          <w:i/>
          <w:iCs/>
        </w:rPr>
        <w:t xml:space="preserve">Amphibian Species of the World: an online reference</w:t>
      </w:r>
      <w:r>
        <w:t xml:space="preserve">. Version 6.2. American Museum of Natural History. https://amphibiansoftheworld.amnh.org/index.php https://doi.org/10.5531/db.vz.0001</w:t>
      </w:r>
    </w:p>
    <w:p>
      <w:pPr>
        <w:pStyle w:val="BodyText"/>
      </w:pPr>
      <w:r>
        <w:t xml:space="preserve">Landau, W. M. (2021). The targets R package: a dynamic Make-like function-oriented pipeline toolkit for reproducibility and high-performance computing.</w:t>
      </w:r>
      <w:r>
        <w:t xml:space="preserve"> </w:t>
      </w:r>
      <w:r>
        <w:rPr>
          <w:i/>
          <w:iCs/>
        </w:rPr>
        <w:t xml:space="preserve">Journal of Open Source Software</w:t>
      </w:r>
      <w:r>
        <w:t xml:space="preserve">, 6(57), 2959. https://doi.org/10.21105/joss.02959</w:t>
      </w:r>
    </w:p>
    <w:p>
      <w:pPr>
        <w:pStyle w:val="BodyText"/>
      </w:pPr>
      <w:r>
        <w:t xml:space="preserve">Landau, W. M. (2026). crew: a distributed worker launcher framework. R package version 1.3.3. doi:10.32614/CRAN.package.crew.</w:t>
      </w:r>
    </w:p>
    <w:p>
      <w:pPr>
        <w:pStyle w:val="BodyText"/>
      </w:pPr>
      <w:r>
        <w:t xml:space="preserve">Legendre, P., &amp; Gallagher, E. D. (2001). Ecologically meaningful transformations for ordination of species data.</w:t>
      </w:r>
      <w:r>
        <w:t xml:space="preserve"> </w:t>
      </w:r>
      <w:r>
        <w:rPr>
          <w:i/>
          <w:iCs/>
        </w:rPr>
        <w:t xml:space="preserve">Oecologia</w:t>
      </w:r>
      <w:r>
        <w:t xml:space="preserve">, 129, 271–280. https://doi.org/10.1007/s004420100716</w:t>
      </w:r>
    </w:p>
    <w:p>
      <w:pPr>
        <w:pStyle w:val="BodyText"/>
      </w:pPr>
      <w:r>
        <w:t xml:space="preserve">Liedtke, H. C. (2019). AmphiNom: an amphibian systematics tool.</w:t>
      </w:r>
      <w:r>
        <w:t xml:space="preserve"> </w:t>
      </w:r>
      <w:r>
        <w:rPr>
          <w:i/>
          <w:iCs/>
        </w:rPr>
        <w:t xml:space="preserve">Systematics and Biodiversity</w:t>
      </w:r>
      <w:r>
        <w:t xml:space="preserve">, 17, 1–6. https://doi.org/10.1080/14772000.2018.1518935</w:t>
      </w:r>
    </w:p>
    <w:p>
      <w:pPr>
        <w:pStyle w:val="BodyText"/>
      </w:pPr>
      <w:r>
        <w:t xml:space="preserve">Oksanen, J., Simpson, G. L., Blanchet, F. G., Kindt, R., Legendre, P., Minchin, P. R., et al. (2026). vegan: community ecology package. R package version 2.7-6. doi:10.32614/CRAN.package.vegan.</w:t>
      </w:r>
    </w:p>
    <w:p>
      <w:pPr>
        <w:pStyle w:val="BodyText"/>
      </w:pPr>
      <w:r>
        <w:t xml:space="preserve">Peres-Neto, P. R., &amp; Kembel, S. W. (2015). Phylogenetic gradient analysis: environmental drivers of phylogenetic variation across ecological communities.</w:t>
      </w:r>
      <w:r>
        <w:t xml:space="preserve"> </w:t>
      </w:r>
      <w:r>
        <w:rPr>
          <w:i/>
          <w:iCs/>
        </w:rPr>
        <w:t xml:space="preserve">Plant Ecology</w:t>
      </w:r>
      <w:r>
        <w:t xml:space="preserve">, 216, 709–724. https://doi.org/10.1007/s11258-014-0405-0</w:t>
      </w:r>
    </w:p>
    <w:p>
      <w:pPr>
        <w:pStyle w:val="BodyText"/>
      </w:pPr>
      <w:r>
        <w:t xml:space="preserve">Portik, D. M., Streicher, J. W., &amp; Wiens, J. J. (2023). Frog phylogeny: a time-calibrated, species-level tree based on hundreds of loci and 5,242 species.</w:t>
      </w:r>
      <w:r>
        <w:t xml:space="preserve"> </w:t>
      </w:r>
      <w:r>
        <w:rPr>
          <w:i/>
          <w:iCs/>
        </w:rPr>
        <w:t xml:space="preserve">Molecular Phylogenetics and Evolution</w:t>
      </w:r>
      <w:r>
        <w:t xml:space="preserve">, 188, 107907. https://doi.org/10.1016/j.ympev.2023.107907</w:t>
      </w:r>
    </w:p>
    <w:p>
      <w:pPr>
        <w:pStyle w:val="BodyText"/>
      </w:pPr>
      <w:r>
        <w:t xml:space="preserve">Prado, V. H. M., &amp; Rossa-Feres, D. C. (2014). The influence of niche and neutral processes on a neotropical anuran metacommunity.</w:t>
      </w:r>
      <w:r>
        <w:t xml:space="preserve"> </w:t>
      </w:r>
      <w:r>
        <w:rPr>
          <w:i/>
          <w:iCs/>
        </w:rPr>
        <w:t xml:space="preserve">Austral Ecology</w:t>
      </w:r>
      <w:r>
        <w:t xml:space="preserve">, 39, 540–547. https://doi.org/10.1111/aec.12114</w:t>
      </w:r>
    </w:p>
    <w:p>
      <w:pPr>
        <w:pStyle w:val="BodyText"/>
      </w:pPr>
      <w:r>
        <w:t xml:space="preserve">Provete, D. B. (2018). Canopy cover and structural complexity affect the phylogenetic composition of a pond-dwelling Neotropical anuran metacommunity.</w:t>
      </w:r>
      <w:r>
        <w:t xml:space="preserve"> </w:t>
      </w:r>
      <w:r>
        <w:rPr>
          <w:i/>
          <w:iCs/>
        </w:rPr>
        <w:t xml:space="preserve">bioRxiv</w:t>
      </w:r>
      <w:r>
        <w:t xml:space="preserve">, doi:10.1101/252478.</w:t>
      </w:r>
    </w:p>
    <w:p>
      <w:pPr>
        <w:pStyle w:val="BodyText"/>
      </w:pPr>
      <w:r>
        <w:t xml:space="preserve">Provete, D. B., Gonçalves-Souza, T., Garey, M. V., Martins, I. A., &amp; Rossa-Feres, D. C. (2014). Broad-scale spatial patterns of canopy cover and pond morphology affect the structure of a Neotropical amphibian metacommunity.</w:t>
      </w:r>
      <w:r>
        <w:t xml:space="preserve"> </w:t>
      </w:r>
      <w:r>
        <w:rPr>
          <w:i/>
          <w:iCs/>
        </w:rPr>
        <w:t xml:space="preserve">Hydrobiologia</w:t>
      </w:r>
      <w:r>
        <w:t xml:space="preserve">, 734, 69–79. https://doi.org/10.1007/s10750-014-1870-0</w:t>
      </w:r>
    </w:p>
    <w:p>
      <w:pPr>
        <w:pStyle w:val="BodyText"/>
      </w:pPr>
      <w:r>
        <w:t xml:space="preserve">Thompson, P. L., Guzman, L. M., De Meester, L., Horváth, Z., Ptacnik, R., Vanschoenwinkel, B., Viana, D. S., &amp; Chase, J. M. (2020). A process-based metacommunity framework linking local and regional scale community ecology.</w:t>
      </w:r>
      <w:r>
        <w:t xml:space="preserve"> </w:t>
      </w:r>
      <w:r>
        <w:rPr>
          <w:i/>
          <w:iCs/>
        </w:rPr>
        <w:t xml:space="preserve">Ecology Letters</w:t>
      </w:r>
      <w:r>
        <w:t xml:space="preserve">, 23, 1314–1329. https://doi.org/10.1111/ele.13568</w:t>
      </w:r>
    </w:p>
    <w:p>
      <w:pPr>
        <w:pStyle w:val="BodyText"/>
      </w:pPr>
      <w:r>
        <w:t xml:space="preserve">Washburne, A. D., Silverman, J. D., Leff, J. W., Bennett, D. J., Darcy, J. L., Mukherjee, S., Fierer, N., &amp; David, L. A. (2017). Phylogenetic factorization of compositional data yields lineage-level associations in microbiome datasets.</w:t>
      </w:r>
      <w:r>
        <w:t xml:space="preserve"> </w:t>
      </w:r>
      <w:r>
        <w:rPr>
          <w:i/>
          <w:iCs/>
        </w:rPr>
        <w:t xml:space="preserve">PeerJ</w:t>
      </w:r>
      <w:r>
        <w:t xml:space="preserve">, 5, e2969. https://doi.org/10.7717/peerj.2969</w:t>
      </w:r>
    </w:p>
    <w:bookmarkEnd w:id="45"/>
    <w:sectPr>
      <w:footerReference r:id="rId9" w:type="default"/>
      <w:footnotePr>
        <w:numRestart w:val="eachSect"/>
      </w:footnotePr>
      <w:pgSz w:h="16838" w:w="11906"/>
      <w:pgMar w:bottom="1418" w:footer="709" w:gutter="0" w:header="709" w:left="1418" w:right="1418" w:top="1418"/>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dc:title>
  <dc:creator/>
  <cp:keywords/>
  <dcterms:created xsi:type="dcterms:W3CDTF">2026-10-20T14:04:47Z</dcterms:created>
  <dcterms:modified xsi:type="dcterms:W3CDTF">2026-10-20T14:04:47Z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Tree shape and metacommunity assembly govern the performance of phylogenetic community–environment methods</vt:lpwstr>
  </property>
  <property fmtid="{D5CDD505-2E9C-101B-9397-08002B2CF9AE}" pid="9" name="toc-title">
    <vt:lpwstr>Table of contents</vt:lpwstr>
  </property>
</Properties>
</file>