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REGIMENTO INTERNO  ·  MHBV-00C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Regimento Interno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Regras de entrega, qualidade, preço e convivência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minuta para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DOCUMENTO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Regimento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BASE LEGAL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Lei 5.764/1971 · Código Civil, arts. 1.093 a 1.096 · Lei 8.906/1994, art. 1º, §2º (visto de advogado)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VALIDAÇÃO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Advogado (OAB/CE) + OCB/CE antes do registro na JUCEC</w:t>
            </w:r>
          </w:p>
        </w:tc>
      </w:tr>
    </w:tbl>
    <w:p>
      <w:pPr>
        <w:spacing w:after="16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1. ENTREGA DA PRODUÇÃO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Todo associado entrega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toda a sua produção de mel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à Cooperativa, salvo autorização escrita do Conselho de Administração.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entrega é agendada pela central, em baldes próprios para alimento (fornecidos ou aprovados pela Cooperativa), identificados com o nome do associado e o código do apiário.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Cada balde recebe um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número de lote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na recepção, e esse número acompanha o mel até o sachê.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2. PADRÃO DE QUALIDADE NA RECEPÇÃO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15"/>
        <w:gridCol w:w="3728"/>
        <w:gridCol w:w="3729"/>
      </w:tblGrid>
      <w:tr>
        <w:trPr>
          <w:tblHeader/>
        </w:trPr>
        <w:tc>
          <w:tcPr>
            <w:tcW w:type="dxa" w:w="1615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372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Padrão exigido</w:t>
            </w:r>
          </w:p>
        </w:tc>
        <w:tc>
          <w:tcPr>
            <w:tcW w:type="dxa" w:w="372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Se não atender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Umidade</w:t>
            </w:r>
          </w:p>
        </w:tc>
        <w:tc>
          <w:tcPr>
            <w:tcW w:type="dxa" w:w="372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≤ 20% (refratômetro)</w:t>
            </w:r>
          </w:p>
        </w:tc>
        <w:tc>
          <w:tcPr>
            <w:tcW w:type="dxa" w:w="37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Recebido como "mel para uso industrial", com preço diferenciado, ou devolvido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Aspecto</w:t>
            </w:r>
          </w:p>
        </w:tc>
        <w:tc>
          <w:tcPr>
            <w:tcW w:type="dxa" w:w="372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Sem fermentação, cheiro estranho ou sujeira visível</w:t>
            </w:r>
          </w:p>
        </w:tc>
        <w:tc>
          <w:tcPr>
            <w:tcW w:type="dxa" w:w="37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Devolvido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Resíduos (análise externa)</w:t>
            </w:r>
          </w:p>
        </w:tc>
        <w:tc>
          <w:tcPr>
            <w:tcW w:type="dxa" w:w="372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Dentro dos limites do plano oficial de resíduos (PNCRC/MAPA)</w:t>
            </w:r>
          </w:p>
        </w:tc>
        <w:tc>
          <w:tcPr>
            <w:tcW w:type="dxa" w:w="372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Lote bloqueado; entregas suspensas até nova análise aprovada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Origem</w:t>
            </w:r>
          </w:p>
        </w:tc>
        <w:tc>
          <w:tcPr>
            <w:tcW w:type="dxa" w:w="3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Apiário cadastrado e georreferenciado</w:t>
            </w:r>
          </w:p>
        </w:tc>
        <w:tc>
          <w:tcPr>
            <w:tcW w:type="dxa" w:w="3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Não recebido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3. PREÇO E PAGAMENTO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Preço de referência: o preço pago ao associado é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indexado ao preço do mel A GRANEL no mercado interno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 não ao preço do sachê. Referência do mês = preço do mel a granel no Estado do Ceará constante da tabela de preços de referência do Programa de Aquisição de Alimentos (PAA) divulgada pela Conab/CE, vigente no mês. O CEPEA não publica série de preço de mel, razão pela qual não é usado como índice. Sem tabela publicada no mês, vale a referência do mês anterior.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Percentual: o associado recebe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65% (sessenta e cinco por cento) da referência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proposto pelo Conselho de Administração e aprovado em Assembleia Geral; qualquer alteração do percentual depende de nova deliberação da Assembleia Geral.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Recálculo e gatilho de revisão: o preço é recalculado todo mês e publicado no grupo oficial até o dia 5. O Conselho de Administração convoca reunião extraordinária em até 15 dias, e, se necessário, propõe à Assembleia Geral a revisão do percentual, do cronograma de pagamento ou do mix de produtos, quando: (i) a referência variar mais de 15% de um mês para o outro; (ii) o preço médio de venda do sachê ficar mais de 10% abaixo do orçamento aprovado; ou (iii) houver risco de descumprimento de obrigação com instituição financeira.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Ganho do sachê: a margem extra da venda em sachê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não entra no preço de entrega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; volta ao associado como sobra do exercício, rateada pela quantidade entregue, depois dos fundos obrigatórios (Reserva e FATES) e do Fundo de Investimento Industrial.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Mix e destino do mel: o Conselho de Administração define, no plano anual de produção, a parcela envasada em sachê (400 g, 700 g e 1,4 kg) e a parcela vendida a granel no mercado interno, inclusive em programas públicos (PAA e PNAE); referência do plano de negócios: 60% em sachê e 40% a granel.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Enquanto o entreposto tiver apenas registro no SIE/ADAGRI, o mel com a marca é vendido somente no Estado do Ceará.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Lote bloqueado ou fora do padrão não é envasado com a marca.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Pagamento: </w:t>
      </w:r>
      <w:r>
        <w:rPr>
          <w:rFonts w:ascii="Inter" w:cs="Inter" w:eastAsia="Inter" w:hAnsi="Inter"/>
          <w:b/>
          <w:color w:val="1F2433"/>
          <w:sz w:val="20"/>
          <w:szCs w:val="20"/>
        </w:rPr>
        <w:t xml:space="preserve">50% (cinquenta por cento) na entrega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após a aprovação do lote na recepção; </w:t>
      </w:r>
      <w:r>
        <w:rPr>
          <w:rFonts w:ascii="Inter" w:cs="Inter" w:eastAsia="Inter" w:hAnsi="Inter"/>
          <w:b/>
          <w:color w:val="1F2433"/>
          <w:sz w:val="20"/>
          <w:szCs w:val="20"/>
        </w:rPr>
        <w:t xml:space="preserve">20% (vinte por cento) em até 90 dias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da entrega; e o </w:t>
      </w:r>
      <w:r>
        <w:rPr>
          <w:rFonts w:ascii="Inter" w:cs="Inter" w:eastAsia="Inter" w:hAnsi="Inter"/>
          <w:b/>
          <w:color w:val="1F2433"/>
          <w:sz w:val="20"/>
          <w:szCs w:val="20"/>
        </w:rPr>
        <w:t xml:space="preserve">saldo de 30% (trinta por cento) até o encerramento do exercício social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(31 de dezembro). As sobras são pagas após a aprovação das contas pela AGO (Estatuto, art. 15).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Retenção de capital: </w:t>
      </w:r>
      <w:r>
        <w:rPr>
          <w:rFonts w:ascii="Inter" w:cs="Inter" w:eastAsia="Inter" w:hAnsi="Inter"/>
          <w:b/>
          <w:color w:val="1F2433"/>
          <w:sz w:val="20"/>
          <w:szCs w:val="20"/>
        </w:rPr>
        <w:t xml:space="preserve">5% (cinco por cento) do valor do mel entregue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é retido na parcela paga na entrega e creditado em quotas-partes em nome do associado (Estatuto, art. 11, parágrafo único; Lei nº 5.764/1971, art. 27).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Sobras do exercício são rateadas pela quantidade entregue (Estatuto, Capítulo V).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4. BOAS PRÁTICAS NO APIÁRIO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Proibido usar antibiótico ou produto não autorizado nas colmeias.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Usar fumaça de material natural, sem combustível químico.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Colher só favos operculados (tampados), sinal de mel maduro.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Transportar melgueiras cobertas, longe de poeira e sol.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Participar de pelo menos 1 capacitação por ano (custeada pelo FATES).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5. PENALIDADES GRADUAIS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8"/>
        <w:gridCol w:w="1938"/>
        <w:gridCol w:w="1705"/>
        <w:gridCol w:w="2561"/>
      </w:tblGrid>
      <w:tr>
        <w:trPr>
          <w:tblHeader/>
        </w:trPr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Falta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1ª vez</w:t>
            </w:r>
          </w:p>
        </w:tc>
        <w:tc>
          <w:tcPr>
            <w:tcW w:type="dxa" w:w="1705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2ª vez</w:t>
            </w:r>
          </w:p>
        </w:tc>
        <w:tc>
          <w:tcPr>
            <w:tcW w:type="dxa" w:w="256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3ª vez</w:t>
            </w:r>
          </w:p>
        </w:tc>
      </w:tr>
      <w:tr>
        <w:trPr>
          <w:cantSplit/>
        </w:trPr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Mel fora do padrão (umidade, aspecto)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Orientação técnica</w:t>
            </w:r>
          </w:p>
        </w:tc>
        <w:tc>
          <w:tcPr>
            <w:tcW w:type="dxa" w:w="170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Advertência escrita</w:t>
            </w:r>
          </w:p>
        </w:tc>
        <w:tc>
          <w:tcPr>
            <w:tcW w:type="dxa" w:w="256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Suspensão de entregas por 90 dias</w:t>
            </w:r>
          </w:p>
        </w:tc>
      </w:tr>
      <w:tr>
        <w:trPr>
          <w:cantSplit/>
        </w:trPr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Venda por fora sem autorização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Advertência escrita</w:t>
            </w:r>
          </w:p>
        </w:tc>
        <w:tc>
          <w:tcPr>
            <w:tcW w:type="dxa" w:w="1705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Suspensão por 90 dias</w:t>
            </w:r>
          </w:p>
        </w:tc>
        <w:tc>
          <w:tcPr>
            <w:tcW w:type="dxa" w:w="256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Proposta de eliminação</w:t>
            </w:r>
          </w:p>
        </w:tc>
      </w:tr>
      <w:tr>
        <w:trPr>
          <w:cantSplit/>
        </w:trPr>
        <w:tc>
          <w:tcPr>
            <w:tcW w:type="dxa" w:w="2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Resíduo proibido comprovado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Suspensão até laudo limpo</w:t>
            </w:r>
          </w:p>
        </w:tc>
        <w:tc>
          <w:tcPr>
            <w:tcW w:type="dxa" w:w="17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Proposta de eliminação</w:t>
            </w:r>
          </w:p>
        </w:tc>
        <w:tc>
          <w:tcPr>
            <w:tcW w:type="dxa" w:w="25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6. USO DA MARCA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Nenhum associado pode usar as marcas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>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ou da Cooperativa em produto próprio sem contrato. O mel com a marca sai somente do entreposto inspecionado.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7. COMUNICAÇÃO E OUVIDORIA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Grupo oficial de avisos, só para comunicados do Conselho.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Reclamações por escrito ao Secretário, com resposta em até 15 dias.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Prestação de contas trimestral em reunião aberta aos associados.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Aprovado na Assembleia Geral de Constituição de ____/____/______.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PRESIDENTE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Conselho de Administração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SECRETÁRIO(A)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Conselho de Administração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MHBV-00C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MINUTA PARA REGISTRO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Regimento Interno</dc:title>
  <dc:creator>Comissão Organizadora · COOP MEL-HORANDO</dc:creator>
  <cp:lastModifiedBy>Un-named</cp:lastModifiedBy>
  <cp:revision>1</cp:revision>
  <dcterms:created xsi:type="dcterms:W3CDTF">2026-09-28T04:07:17.558Z</dcterms:created>
  <dcterms:modified xsi:type="dcterms:W3CDTF">2026-09-28T04:07:17.558Z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