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2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66800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F7A"/>
                <w:sz w:val="12"/>
                <w:szCs w:val="12"/>
              </w:rPr>
              <w:t xml:space="preserve">Boa Viagem · Sertão Central</w:t>
            </w:r>
          </w:p>
        </w:tc>
        <w:tc>
          <w:tcPr>
            <w:tcW w:type="dxa" w:w="7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B08D57"/>
                <w:spacing w:val="40"/>
                <w:sz w:val="15"/>
                <w:szCs w:val="15"/>
              </w:rPr>
              <w:t xml:space="preserve">GESTÃO DE RISCOS  ·  MHBV-05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6"/>
                <w:szCs w:val="36"/>
              </w:rPr>
              <w:t xml:space="preserve">Auditoria de Riscos 360°</w:t>
            </w:r>
          </w:p>
          <w:p>
            <w:r>
              <w:rPr>
                <w:rFonts w:ascii="Inter" w:cs="Inter" w:eastAsia="Inter" w:hAnsi="Inter"/>
                <w:color w:val="6B6F7A"/>
                <w:sz w:val="18"/>
                <w:szCs w:val="18"/>
              </w:rPr>
              <w:t xml:space="preserve">Entreposto Regional: vetos fechados e riscos abertos</w:t>
            </w:r>
          </w:p>
        </w:tc>
      </w:tr>
    </w:tbl>
    <w:p>
      <w:pPr>
        <w:spacing w:after="14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VERSÃO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MHBV 071026 (07/10/2026) · edição executiva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DESTINATÁRIO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Diretoria do projeto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CLASSIFICAÇÃO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Confidencial – diretoria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RESPONSÁVEIS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Diogo Vieira da Silva · Francisco Vieira da Silva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1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SÍNTESE EXECUTIVA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Vetos de 29–30/09/2026 </w:t>
            </w:r>
            <w:r>
              <w:rPr>
                <w:b/>
                <w:rFonts w:ascii="Inter" w:cs="Inter" w:eastAsia="Inter" w:hAnsi="Inter"/>
                <w:color w:val="1F2433"/>
                <w:sz w:val="19"/>
                <w:szCs w:val="19"/>
              </w:rPr>
              <w:t xml:space="preserve">fechados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: giro financiado ≤ R$ 0,6 mi ✓; cobertura com mel −20% = </w:t>
            </w:r>
            <w:r>
              <w:rPr>
                <w:b/>
                <w:rFonts w:ascii="Inter" w:cs="Inter" w:eastAsia="Inter" w:hAnsi="Inter"/>
                <w:color w:val="1F2433"/>
                <w:sz w:val="19"/>
                <w:szCs w:val="19"/>
              </w:rPr>
              <w:t xml:space="preserve">1,51x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✓ (cooperado a 65%); capex revisto para </w:t>
            </w:r>
            <w:r>
              <w:rPr>
                <w:b/>
                <w:rFonts w:ascii="Inter" w:cs="Inter" w:eastAsia="Inter" w:hAnsi="Inter"/>
                <w:color w:val="1F2433"/>
                <w:sz w:val="19"/>
                <w:szCs w:val="19"/>
              </w:rPr>
              <w:t xml:space="preserve">R$ 3,83 mi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✓.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Anexo I fechado com 17 municípios (Boa Viagem + 16; campo 17 = Banabuiú, decisão D4): 520,9 t em 2024; a meta de 250 t exige 48% dessa produção. Pendente apenas a ratificação na Assembleia de 28/11/2026 e a confirmação das fichas de colmeias.</w:t>
            </w:r>
            <w:r>
              <w:rPr>
                <w:b/>
                <w:rFonts w:ascii="Inter" w:cs="Inter" w:eastAsia="Inter" w:hAnsi="Inter"/>
                <w:color w:val="1F2433"/>
                <w:sz w:val="19"/>
                <w:szCs w:val="19"/>
              </w:rPr>
              <w:t xml:space="preserve"/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/>
            </w:r>
            <w:r>
              <w:rPr>
                <w:b/>
                <w:rFonts w:ascii="Inter" w:cs="Inter" w:eastAsia="Inter" w:hAnsi="Inter"/>
                <w:color w:val="1F2433"/>
                <w:sz w:val="19"/>
                <w:szCs w:val="19"/>
              </w:rPr>
              <w:t xml:space="preserve"/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Risco </w:t>
            </w:r>
            <w:r>
              <w:rPr>
                <w:b/>
                <w:rFonts w:ascii="Inter" w:cs="Inter" w:eastAsia="Inter" w:hAnsi="Inter"/>
                <w:color w:val="1F2433"/>
                <w:sz w:val="19"/>
                <w:szCs w:val="19"/>
              </w:rPr>
              <w:t xml:space="preserve">alto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: sachê a R$ 25/kg derruba a cobertura para </w:t>
            </w:r>
            <w:r>
              <w:rPr>
                <w:b/>
                <w:rFonts w:ascii="Inter" w:cs="Inter" w:eastAsia="Inter" w:hAnsi="Inter"/>
                <w:color w:val="1F2433"/>
                <w:sz w:val="19"/>
                <w:szCs w:val="19"/>
              </w:rPr>
              <w:t xml:space="preserve">1,29x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, abaixo do piso BNB de 1,50x.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Regra do Auditor: nenhuma opção com cobertura &lt; 1,50x (mel −20%) pode ser escrita como alternativa.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VETOS FECHADOS (29–30/09/2026)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"/>
        <w:gridCol w:w="1900"/>
        <w:gridCol w:w="2000"/>
        <w:gridCol w:w="3572"/>
        <w:gridCol w:w="1100"/>
      </w:tblGrid>
      <w:tr>
        <w:trPr>
          <w:tblHeader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Veto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Critério</w:t>
            </w:r>
          </w:p>
        </w:tc>
        <w:tc>
          <w:tcPr>
            <w:tcW w:type="dxa" w:w="35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Resultado (MHBV-02A)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Giro financiado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Teto de R$ 0,6 mi</w:t>
            </w:r>
          </w:p>
        </w:tc>
        <w:tc>
          <w:tcPr>
            <w:tcW w:type="dxa" w:w="3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FNE giro R$ 0,6 mi; necessidade líquida R$ 0,64 mi = 0,60 FNE + 0,04 retenção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✓ FECHADO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Cobertura com mel −20%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Piso BNB ≥ 1,50x</w:t>
            </w:r>
          </w:p>
        </w:tc>
        <w:tc>
          <w:tcPr>
            <w:tcW w:type="dxa" w:w="3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1,51x, com cooperado a 65% do índice PAA/Conab-CE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✓ FECHADO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Capex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Escala do entreposto (630 m² úteis)</w:t>
            </w:r>
          </w:p>
        </w:tc>
        <w:tc>
          <w:tcPr>
            <w:tcW w:type="dxa" w:w="3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R$ 3,83 mi = obras 1,79 + equipamentos e lab 1,69 + projetos 0,35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✓ FECHADO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RISCOS ABERTOS E PENDÊNCIAS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"/>
        <w:gridCol w:w="3050"/>
        <w:gridCol w:w="2272"/>
        <w:gridCol w:w="2100"/>
        <w:gridCol w:w="1150"/>
      </w:tblGrid>
      <w:tr>
        <w:trPr>
          <w:tblHeader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Pendência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Impacto se não resolver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Dono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Prioridade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1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Anexo I fechado com 17 municípios (Boa Viagem + 16; campo 17 = Banabuiú, decisão D4) — 520,9 t em 2024; 250 t = 48%. Pendentes: ratificação na Assembleia de 28/11/2026 e confirmação das fichas de colmeias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Sem ratificação e sem fichas, a oferta não fica comprovada; ponto fraco no pleito FNE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Assembleia de Constituição (28/11/2026): ratificar o Anexo I com os 17 municípios; ampliações posteriores, por AGE (Estatuto, arts. 2º e 19, I)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CRÍTICA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2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Sachê a R$ 25/kg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 → cobertura 1,29x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Abaixo do piso BNB (1,50x)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Comercial: cartas de intenção + PAA-CE antes do protocolo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3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FNE giro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: prazo e renovação não publicados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Giro pode não renovar na safra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Diogo, com o gerente do BNB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4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Equipamentos sem cotação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 (R$ 1,69 mi com preços do projeto anterior)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Capex sobe (capex +20% = 2,47x)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Comissão: 3 orçamentos por item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5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Parte relacionada LUSA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Contrato anulável; conflito de interesse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AGE + 3 cotações + preço de mercado; Diogo sem voto (Estatuto, art. 26)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6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Parentesco nos conselhos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 (Diogo e Francisco, pai e filho)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Impugnação da eleição dos conselhos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Assembleia de Constituição: Diogo e Francisco Vieira da Silva são pai e filho: só um deles pode integrar os órgãos de administração e fiscalização (Conselho de Administração e Conselho Fiscal) — Lei 5.764/1971, arts. 51 e 56 §1º; Estatuto art. 21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7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Constituir a Cooperativa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 (≥ 20 fundadores com colmeias)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Sem CNPJ não há SIE, CDRU nem crédito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Comissão: fichas até 31/10/2026; JUCEC 07/12/2026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8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Manuais PAC (BPF/PPHO/APPCC) + RT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Sem eles não há registro SIE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RT (contrato até 15/01/2027) + Sebraetec [A CONFIRMAR]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9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Lei 5.764/1971, art. 29 §4º: se a LUSA LOG comercializar mel, o ingresso de Diogo como associado pode ser vedado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Ingresso de Diogo impugnável; fundador a menos na Assembleia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Comissão: parecer de advogado OAB/CE antes de 28/11/2026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10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Taxa do registro SIE/ADAGRI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 não confirmada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Custo e prazo do registro de 01/04/2027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RT, na ADAGRI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11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Lab ISO/IEC 17025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 (resíduos/PNCRC) sem cotação — premissa R$ 40 mil/ano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Sem análise de resíduos não há liberação de lote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Comissão Organizadora: cotação nov/2026 (Eurofins, Mérieux, SGS); o RT valida após 15/01/2027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12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Marca no INPI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 ("MEL-HORANDO") não buscada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Troca de marca depois do lançamento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Diogo: busca até 14/11/2026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13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Cessão de terreno + certidão de uso do solo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Sem terreno não há Fase 1 (o piloto segue em imóvel locado)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Prefeitura (MHBV-01)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MÉDIA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MATRIZ DE RISCO DO ENTREPOSTO (MODELO COSO)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1000"/>
        <w:gridCol w:w="850"/>
        <w:gridCol w:w="1000"/>
        <w:gridCol w:w="3922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Risco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Probabilidade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Nível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Oferta abaixo de 250 t/ano</w:t>
            </w: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 (produção −14,8% 2023→2024; meta depende das fichas de colmeias)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CRÍTICO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Ratificar o Anexo I fechado (17 municípios, 520,9 t em 2024; campo 17 = Banabuiú) na Assembleia de 28/11/2026, ampliações por AGE; volume −20% (200 t) = 1,65x ✓; piloto comprova o volume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Queda de 20% no preço do mel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ALTO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Cooperado indexado a 65% do índice PAA/Conab-CE; cobertura 1,51x ✓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Sachê vendido a R$ 25/kg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ALTO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1,29x ✗ — cartas de intenção + PAA-CE antes do protocolo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Não reunir 20 fundadores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ALTO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Emater, sindicato e associações rurais (apoio da Prefeitura); meta de 25 fichas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FNE giro não renovado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ALTO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Confirmar prazo com o BNB; penhor do estoque de sachê; retenção de 5%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Capital próprio (R$ 1,83 mi) não fechar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ALTO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Cotas-parte, retenção de 5%, Fundo de Investimento, cessão de área, Projeto São José/emendas [valores NÃO VERIFICADOS]. O aumento de R$ 0,54 mi vem de capital próprio/subvenção (São José, emendas, CDRU), nunca de mais FNE (+R$ 0,1 mi de FNE → mel −20% ≈ 1,46x)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Capex 20% acima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MÉDIO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Cobertura 2,47x ✓ (R$ 4,60 mi); 3 orçamentos por item. Obra orçada por tipo de área + 6% de estrutura + BDI 25% (MHBV-18, Cenário 2); preços unitários [REQUER VERIFICAÇÃO EXTERNA].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Resíduo químico em lote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Baixa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MÉDIO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PCC 1 na recepção; 1 amostra por lote de cooperado; suspensão do fornecedor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Câmara não aprovar a CDRU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MÉDIO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Piloto em imóvel locado; área alternativa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Parceiro com CNPJ irregular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MÉDIO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Não contatar: Cooapis Cariri (inapto), Coopermel Pacajus (baixado), Samel e S&amp;A Honey (recuperação judicial)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Juros do FNE no teto (12,45%)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Baixa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BAIXO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Cobertura 2,22x ✓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UE suspendeu o mel do Brasil (03/09/2026)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Baixo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BAIXO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Irrelevante nas Fases 0 e 1: venda só no mercado interno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IV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CORREÇÕES E HISTÓRICO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Selo ARTE de mel: a base correta é a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Portaria MAPA 289/2021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. A IN 61/2020 (cárneos) foi descartada.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A "Portaria MAPA 331/2021", citada em material externo, não foi localizada. Valem a IN MAPA 11/2000 (RTIQ do mel) e a Portaria SDA/MAPA 795/2023, alterada pela 1.439/2025.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O referencial APACO/EMATER/SENAR serve só de apoio à Fase 0 e aos manuais. Não altera os números do projeto.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Histórico: modelo de 2.400 t abandonado em 29/09/2026 (região produziu 521 t em 2024).</w:t>
      </w:r>
    </w:p>
    <w:sectPr>
      <w:headerReference w:type="default" r:id="rId7"/>
      <w:footerReference w:type="default" r:id="rId8"/>
      <w:headerReference w:type="first" r:id="rId11"/>
      <w:footerReference w:type="first" r:id="rId12"/>
      <w:headerReference w:type="even" r:id="rId13"/>
      <w:footerReference w:type="even" r:id="rId14"/>
      <w:pgSz w:w="11906" w:h="16838" w:orient="portrait"/>
      <w:pgMar w:top="1560" w:right="1417" w:bottom="1300" w:left="1417" w:header="52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DD8" w:sz="4" w:space="6"/>
      </w:pBdr>
      <w:tabs>
        <w:tab w:val="right" w:pos="9072"/>
      </w:tabs>
    </w:pPr>
    <w:r>
      <w:rPr>
        <w:rFonts w:ascii="Inter" w:cs="Inter" w:eastAsia="Inter" w:hAnsi="Inter"/>
        <w:color w:val="6B6F7A"/>
        <w:sz w:val="15"/>
        <w:szCs w:val="15"/>
      </w:rPr>
      <w:t xml:space="preserve">COOP MEL-HORANDO · CNPJ em registro na JUCEC · Documento para assinatura digital ICP-Brasil</w:t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  <w:p>
    <w:pPr>
      <w:spacing w:before="20"/>
    </w:pPr>
    <w:r>
      <w:rPr>
        <w:rFonts w:ascii="Inter" w:cs="Inter" w:eastAsia="Inter" w:hAnsi="Inter"/>
        <w:color w:val="6B6F7A"/>
        <w:sz w:val="15"/>
        <w:szCs w:val="15"/>
      </w:rPr>
      <w:t xml:space="preserve">Emissão: MHBV 071026 (07/10/2026) · Comissão Organizadora · Boa Viagem/CE · (88) 99726-4831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2"/>
      </w:tabs>
      <w:spacing w:after="40"/>
    </w:pPr>
    <w:r>
      <w:drawing>
        <wp:anchor distT="0" distB="0" distL="0" distR="0" simplePos="0" allowOverlap="1" behindDoc="1" locked="0" layoutInCell="1" relativeHeight="2105025">
          <wp:simplePos x="0" y="0"/>
          <wp:positionH relativeFrom="page">
            <wp:posOffset>3467100</wp:posOffset>
          </wp:positionH>
          <wp:positionV relativeFrom="page">
            <wp:posOffset>0</wp:posOffset>
          </wp:positionV>
          <wp:extent cx="4095750" cy="21050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0" cy="2105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   C O O P   M E L - H O R A N D O</w:t>
    </w:r>
    <w:r>
      <w:rPr>
        <w:rFonts w:ascii="Inter" w:cs="Inter" w:eastAsia="Inter" w:hAnsi="Inter"/>
        <w:color w:val="6B6F7A"/>
        <w:sz w:val="14"/>
        <w:szCs w:val="14"/>
      </w:rPr>
      <w:t xml:space="preserve">	MHBV-05 · MHBV 071026 (07/10/2026)</w:t>
    </w:r>
  </w:p>
  <w:p>
    <w:pPr>
      <w:pBdr>
        <w:bottom w:val="thickThinSmallGap" w:color="004B1B" w:sz="18" w:space="4"/>
      </w:pBdr>
      <w:tabs>
        <w:tab w:val="right" w:pos="9072"/>
      </w:tabs>
      <w:spacing w:after="0"/>
    </w:pPr>
    <w:r>
      <w:rPr>
        <w:rFonts w:ascii="Inter" w:cs="Inter" w:eastAsia="Inter" w:hAnsi="Inter"/>
        <w:color w:val="6B6F7A"/>
        <w:sz w:val="13"/>
        <w:szCs w:val="13"/>
      </w:rPr>
      <w:t xml:space="preserve">COOPERATIVA APÍCOLA MEL-HORANDO BOA VIAGEM · em constituição</w:t>
    </w:r>
    <w:r>
      <w:rPr>
        <w:rFonts w:ascii="Inter" w:cs="Inter" w:eastAsia="Inter" w:hAnsi="Inter"/>
        <w:b/>
        <w:bCs/>
        <w:color w:val="004B1B"/>
        <w:spacing w:val="30"/>
        <w:sz w:val="13"/>
        <w:szCs w:val="13"/>
      </w:rPr>
      <w:t xml:space="preserve">	CONFIDENCIAL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00" w:hanging="280"/>
      </w:pPr>
      <w:rPr>
        <w:color w:val="004B1B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44d96bce912253f1cf1456fc8e6a1fb3c9d7e3.pn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29679e861436af7ef34d9cc708c3ef69dddb63b.png"/><Relationship Id="rId1" Type="http://schemas.openxmlformats.org/officeDocument/2006/relationships/image" Target="media/939dc3af97a64af6413010963f444adb9005d3c4.png"/><Relationship Id="rId2" Type="http://schemas.openxmlformats.org/officeDocument/2006/relationships/image" Target="media/49f359568985edbd3301b12478973eaaf3b217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de Riscos 360°</dc:title>
  <dc:creator>Comissão Organizadora · COOP MEL-HORANDO</dc:creator>
  <cp:lastModifiedBy>Un-named</cp:lastModifiedBy>
  <cp:revision>1</cp:revision>
  <dcterms:created xsi:type="dcterms:W3CDTF">2026-09-28T04:07:19.318Z</dcterms:created>
  <dcterms:modified xsi:type="dcterms:W3CDTF">2026-09-28T04:07:19.319Z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