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Camada de Governação e Gestão Procedural da Qualidade de Dados</w:t>
      </w:r>
    </w:p>
    <w:p>
      <w:pPr>
        <w:pStyle w:val="Heading2"/>
      </w:pPr>
      <w:r>
        <w:t>Camada de Governação e Gestão Procedural da Qualidade de Dados</w:t>
      </w:r>
    </w:p>
    <w:p/>
    <w:p>
      <w:r>
        <w:t>## 1. Identificação da Camada</w:t>
      </w:r>
    </w:p>
    <w:p>
      <w:pPr>
        <w:pStyle w:val="ListBullet"/>
      </w:pPr>
      <w:r>
        <w:t>**Nome da camada:** Governação e Gestão Procedural da Qualidade de Dados</w:t>
      </w:r>
    </w:p>
    <w:p>
      <w:pPr>
        <w:pStyle w:val="ListBullet"/>
      </w:pPr>
      <w:r>
        <w:t>**Responsável:** [Inserir nome]</w:t>
      </w:r>
    </w:p>
    <w:p>
      <w:pPr>
        <w:pStyle w:val="ListBullet"/>
      </w:pPr>
      <w:r>
        <w:t>**Versão:** v1.0</w:t>
      </w:r>
    </w:p>
    <w:p>
      <w:pPr>
        <w:pStyle w:val="ListBullet"/>
      </w:pPr>
      <w:r>
        <w:t>**Data:** [AAAA-MM-DD]</w:t>
      </w:r>
    </w:p>
    <w:p>
      <w:pPr>
        <w:pStyle w:val="ListBullet"/>
      </w:pPr>
      <w:r>
        <w:t>**Estado:** [Em elaboração / Validada / Em revisão]</w:t>
      </w:r>
    </w:p>
    <w:p>
      <w:pPr>
        <w:pStyle w:val="Heading2"/>
      </w:pPr>
      <w:r>
        <w:t>2. Objetivo</w:t>
      </w:r>
    </w:p>
    <w:p>
      <w:r>
        <w:t>Descrever os princípios, regras, papéis, processos e fluxos que asseguram a qualidade dos dados desde a sua aquisição até à disponibilização. Esta camada é **iterativa e procedural**, suportando o ciclo de melhoria contínua da qualidade de dados em ambiente de monitorização estrutural (SHM).</w:t>
      </w:r>
    </w:p>
    <w:p>
      <w:pPr>
        <w:pStyle w:val="Heading2"/>
      </w:pPr>
      <w:r>
        <w:t>3. Escopo</w:t>
      </w:r>
    </w:p>
    <w:p>
      <w:pPr>
        <w:pStyle w:val="ListBullet"/>
      </w:pPr>
      <w:r>
        <w:t>**Sensores incluídos:** [Ex: Fios de prumo, piezómetros, extensómetros...]</w:t>
      </w:r>
    </w:p>
    <w:p>
      <w:pPr>
        <w:pStyle w:val="ListBullet"/>
      </w:pPr>
      <w:r>
        <w:t>**Tipos de dados:** [Ex: Séries temporais, dados de calibração, dados ambientais...]</w:t>
      </w:r>
    </w:p>
    <w:p>
      <w:pPr>
        <w:pStyle w:val="ListBullet"/>
      </w:pPr>
      <w:r>
        <w:t>**Áreas da barragem / estrutura abrangidas:** [Ex: Coroamento, paramentos, jusante...]</w:t>
      </w:r>
    </w:p>
    <w:p>
      <w:pPr>
        <w:pStyle w:val="ListBullet"/>
      </w:pPr>
      <w:r>
        <w:t>**Interfaces e sistemas relacionados:** [Ex: Base de dados central, aplicações SCADA...]</w:t>
      </w:r>
    </w:p>
    <w:p>
      <w:pPr>
        <w:pStyle w:val="Heading2"/>
      </w:pPr>
      <w:r>
        <w:t>4. Políticas de Qualidade de Dados</w:t>
      </w:r>
    </w:p>
    <w:p>
      <w:pPr>
        <w:pStyle w:val="ListBullet"/>
      </w:pPr>
      <w:r>
        <w:t>**Regras de qualidade:** [Definir por dimensão — ex: *timeliness*, *accuracy*, *completeness*, *relevance*]</w:t>
      </w:r>
    </w:p>
    <w:p>
      <w:pPr>
        <w:pStyle w:val="ListBullet"/>
      </w:pPr>
      <w:r>
        <w:t>**Normas e referenciais:** [Ex: ISO 8000-61, DAMA-DMBOK, QMS NEON Framework]</w:t>
      </w:r>
    </w:p>
    <w:p>
      <w:pPr>
        <w:pStyle w:val="ListBullet"/>
      </w:pPr>
      <w:r>
        <w:t>**Papéis e responsabilidades:**</w:t>
      </w:r>
    </w:p>
    <w:p/>
    <w:p>
      <w:pPr>
        <w:pStyle w:val="Heading2"/>
      </w:pPr>
    </w:p>
    <w:p>
      <w:pPr>
        <w:pStyle w:val="Heading2"/>
      </w:pPr>
    </w:p>
    <w:p>
      <w:pPr>
        <w:pStyle w:val="Heading2"/>
      </w:pPr>
    </w:p>
    <w:p>
      <w:pPr>
        <w:pStyle w:val="Heading2"/>
      </w:pPr>
    </w:p>
    <w:p>
      <w:pPr>
        <w:pStyle w:val="Heading2"/>
      </w:pPr>
    </w:p>
    <w:p>
      <w:pPr>
        <w:pStyle w:val="Heading2"/>
      </w:pPr>
      <w:r>
        <w:t>-|</w:t>
      </w:r>
    </w:p>
    <w:p>
      <w:pPr>
        <w:pStyle w:val="Heading2"/>
      </w:pPr>
    </w:p>
    <w:p>
      <w:pPr>
        <w:pStyle w:val="Heading2"/>
      </w:pPr>
    </w:p>
    <w:p>
      <w:pPr>
        <w:pStyle w:val="Heading2"/>
      </w:pPr>
    </w:p>
    <w:p>
      <w:pPr>
        <w:pStyle w:val="Heading2"/>
      </w:pPr>
    </w:p>
    <w:p>
      <w:pPr>
        <w:pStyle w:val="Heading2"/>
      </w:pPr>
    </w:p>
    <w:p>
      <w:pPr>
        <w:pStyle w:val="Heading2"/>
      </w:pPr>
    </w:p>
    <w:p>
      <w:pPr>
        <w:pStyle w:val="Heading2"/>
      </w:pPr>
    </w:p>
    <w:p>
      <w:pPr>
        <w:pStyle w:val="Heading2"/>
      </w:pPr>
    </w:p>
    <w:p>
      <w:pPr>
        <w:pStyle w:val="Heading2"/>
      </w:pPr>
    </w:p>
    <w:p>
      <w:pPr>
        <w:pStyle w:val="Heading2"/>
      </w:pPr>
    </w:p>
    <w:p>
      <w:pPr>
        <w:pStyle w:val="Heading2"/>
      </w:pPr>
    </w:p>
    <w:p>
      <w:pPr>
        <w:pStyle w:val="Heading2"/>
      </w:pPr>
      <w:r>
        <w:t>-|</w:t>
      </w:r>
    </w:p>
    <w:p>
      <w:pPr>
        <w:pStyle w:val="Heading2"/>
      </w:pPr>
    </w:p>
    <w:p>
      <w:pPr>
        <w:pStyle w:val="Heading2"/>
      </w:pPr>
    </w:p>
    <w:p>
      <w:pPr>
        <w:pStyle w:val="Heading2"/>
      </w:pPr>
    </w:p>
    <w:p>
      <w:pPr>
        <w:pStyle w:val="Heading2"/>
      </w:pPr>
    </w:p>
    <w:p>
      <w:pPr>
        <w:pStyle w:val="Heading2"/>
      </w:pPr>
    </w:p>
    <w:p>
      <w:pPr>
        <w:pStyle w:val="Heading2"/>
      </w:pPr>
    </w:p>
    <w:p>
      <w:pPr>
        <w:pStyle w:val="Heading2"/>
      </w:pPr>
    </w:p>
    <w:p>
      <w:pPr>
        <w:pStyle w:val="Heading2"/>
      </w:pPr>
      <w:r>
        <w:t>|</w:t>
      </w:r>
    </w:p>
    <w:p>
      <w:pPr>
        <w:pStyle w:val="Heading2"/>
      </w:pPr>
      <w:r>
        <w:t>5. Regras de Aquisição de Dados</w:t>
      </w:r>
    </w:p>
    <w:p>
      <w:pPr>
        <w:pStyle w:val="ListBullet"/>
      </w:pPr>
      <w:r>
        <w:t>**Modo de aquisição:** [Manual / Automático / Semi-automático]</w:t>
      </w:r>
    </w:p>
    <w:p>
      <w:pPr>
        <w:pStyle w:val="ListBullet"/>
      </w:pPr>
      <w:r>
        <w:t>**Frequência e cadência:** [Ex: 1 leitura/hora, 1 leitura/dia]</w:t>
      </w:r>
    </w:p>
    <w:p>
      <w:pPr>
        <w:pStyle w:val="ListBullet"/>
      </w:pPr>
      <w:r>
        <w:t>**Protocolos e padrões de comunicação:** [Ex: Modbus, MQTT, HTTP, CSV uploads]</w:t>
      </w:r>
    </w:p>
    <w:p>
      <w:pPr>
        <w:pStyle w:val="ListBullet"/>
      </w:pPr>
      <w:r>
        <w:t>**Verificações automáticas na origem:** [Sim/Não; especificar tipo — outlier, missing, timestamp]</w:t>
      </w:r>
    </w:p>
    <w:p>
      <w:pPr>
        <w:pStyle w:val="ListBullet"/>
      </w:pPr>
      <w:r>
        <w:t>**Procedimentos de calibração e validação de sensores:**</w:t>
      </w:r>
    </w:p>
    <w:p>
      <w:pPr>
        <w:pStyle w:val="ListBullet"/>
      </w:pPr>
      <w:r>
        <w:t>Frequência de calibração</w:t>
      </w:r>
    </w:p>
    <w:p>
      <w:pPr>
        <w:pStyle w:val="ListBullet"/>
      </w:pPr>
      <w:r>
        <w:t>Autoridade responsável</w:t>
      </w:r>
    </w:p>
    <w:p>
      <w:pPr>
        <w:pStyle w:val="ListBullet"/>
      </w:pPr>
      <w:r>
        <w:t>Métodos de validação (ex: Sensor Validation Tools — SVTs)</w:t>
      </w:r>
    </w:p>
    <w:p>
      <w:pPr>
        <w:pStyle w:val="Heading2"/>
      </w:pPr>
      <w:r>
        <w:t>6. Data Flow e Linhagem de Dados</w:t>
      </w:r>
    </w:p>
    <w:p>
      <w:pPr>
        <w:pStyle w:val="ListBullet"/>
      </w:pPr>
      <w:r>
        <w:t>**Descrição geral do fluxo:**</w:t>
      </w:r>
    </w:p>
    <w:p>
      <w:r>
        <w:t>1. Sensor → Gateway → Servidor → Base de Dados → Framework DQF → Dashboards / Alertas</w:t>
      </w:r>
    </w:p>
    <w:p>
      <w:pPr>
        <w:pStyle w:val="ListBullet"/>
      </w:pPr>
      <w:r>
        <w:t>**Representação visual:** *(Inserir diagrama)*</w:t>
      </w:r>
    </w:p>
    <w:p>
      <w:pPr>
        <w:pStyle w:val="ListBullet"/>
      </w:pPr>
      <w:r>
        <w:t>**Pontos de controlo (DQ Checkpoints):**</w:t>
      </w:r>
    </w:p>
    <w:p>
      <w:pPr>
        <w:pStyle w:val="ListBullet"/>
      </w:pPr>
      <w:r>
        <w:t>Na aquisição</w:t>
      </w:r>
    </w:p>
    <w:p>
      <w:pPr>
        <w:pStyle w:val="ListBullet"/>
      </w:pPr>
      <w:r>
        <w:t>No armazenamento</w:t>
      </w:r>
    </w:p>
    <w:p>
      <w:pPr>
        <w:pStyle w:val="ListBullet"/>
      </w:pPr>
      <w:r>
        <w:t>Na transformação</w:t>
      </w:r>
    </w:p>
    <w:p>
      <w:pPr>
        <w:pStyle w:val="ListBullet"/>
      </w:pPr>
      <w:r>
        <w:t>Na disponibilização</w:t>
      </w:r>
    </w:p>
    <w:p>
      <w:pPr>
        <w:pStyle w:val="Heading2"/>
      </w:pPr>
      <w:r>
        <w:t>7. Documentação Técnica dos Sensores</w:t>
      </w:r>
    </w:p>
    <w:p>
      <w:pPr>
        <w:pStyle w:val="ListBullet"/>
      </w:pPr>
      <w:r>
        <w:t>**Fabricante:** [Nome]</w:t>
      </w:r>
    </w:p>
    <w:p>
      <w:pPr>
        <w:pStyle w:val="ListBullet"/>
      </w:pPr>
      <w:r>
        <w:t>**Modelo:** [Modelo / Código]</w:t>
      </w:r>
    </w:p>
    <w:p>
      <w:pPr>
        <w:pStyle w:val="ListBullet"/>
      </w:pPr>
      <w:r>
        <w:t>**Documentação técnica:** [URL / ficheiro anexo / diretório interno]</w:t>
      </w:r>
    </w:p>
    <w:p>
      <w:pPr>
        <w:pStyle w:val="ListBullet"/>
      </w:pPr>
      <w:r>
        <w:t>**Variáveis medidas:** [Ex: Deslocamento, nível, pressão...]</w:t>
      </w:r>
    </w:p>
    <w:p>
      <w:pPr>
        <w:pStyle w:val="ListBullet"/>
      </w:pPr>
      <w:r>
        <w:t>**Limites operacionais e de precisão:** [Ex: ±0.1 mm, 4–20 mA]</w:t>
      </w:r>
    </w:p>
    <w:p>
      <w:pPr>
        <w:pStyle w:val="Heading2"/>
      </w:pPr>
      <w:r>
        <w:t>8. Ciclo de Melhoria Contínua (Continuous Improvement Cycle)</w:t>
      </w:r>
    </w:p>
    <w:p>
      <w:pPr>
        <w:pStyle w:val="ListBullet"/>
      </w:pPr>
      <w:r>
        <w:t>**Etapas:**</w:t>
      </w:r>
    </w:p>
    <w:p>
      <w:r>
        <w:t>1. *Definição* – definir regras e thresholds</w:t>
      </w:r>
    </w:p>
    <w:p>
      <w:r>
        <w:t>2. *Avaliação* – monitorizar métricas e conformidade</w:t>
      </w:r>
    </w:p>
    <w:p>
      <w:r>
        <w:t>3. *Análise* – identificar causas de não conformidade</w:t>
      </w:r>
    </w:p>
    <w:p>
      <w:r>
        <w:t>4. *Ação* – aplicar medidas corretivas e preventivas</w:t>
      </w:r>
    </w:p>
    <w:p>
      <w:r>
        <w:t>5. *Revisão* – atualizar políticas e fluxos</w:t>
      </w:r>
    </w:p>
    <w:p>
      <w:pPr>
        <w:pStyle w:val="ListBullet"/>
      </w:pPr>
      <w:r>
        <w:t>**Ferramentas de suporte:** [Framework DQF, logs, relatórios, dashboards Power BI]</w:t>
      </w:r>
    </w:p>
    <w:p>
      <w:pPr>
        <w:pStyle w:val="ListBullet"/>
      </w:pPr>
      <w:r>
        <w:t>**Métricas de desempenho:** [% de completude, atraso médio, etc.]</w:t>
      </w:r>
    </w:p>
    <w:p>
      <w:pPr>
        <w:pStyle w:val="Heading2"/>
      </w:pPr>
      <w:r>
        <w:t>9. Versionamento e Acesso</w:t>
      </w:r>
    </w:p>
    <w:p>
      <w:pPr>
        <w:pStyle w:val="ListBullet"/>
      </w:pPr>
      <w:r>
        <w:t>**Localização:** [Diretório partilhado / Git / intranet]</w:t>
      </w:r>
    </w:p>
    <w:p>
      <w:pPr>
        <w:pStyle w:val="ListBullet"/>
      </w:pPr>
      <w:r>
        <w:t>**Histórico de versões:**</w:t>
      </w:r>
    </w:p>
    <w:p/>
    <w:p>
      <w:pPr>
        <w:pStyle w:val="Heading2"/>
      </w:pPr>
    </w:p>
    <w:p>
      <w:pPr>
        <w:pStyle w:val="Heading2"/>
      </w:pPr>
      <w:r>
        <w:t>--|</w:t>
      </w:r>
    </w:p>
    <w:p>
      <w:pPr>
        <w:pStyle w:val="Heading2"/>
      </w:pPr>
    </w:p>
    <w:p>
      <w:pPr>
        <w:pStyle w:val="Heading2"/>
      </w:pPr>
    </w:p>
    <w:p>
      <w:pPr>
        <w:pStyle w:val="Heading2"/>
      </w:pPr>
    </w:p>
    <w:p>
      <w:pPr>
        <w:pStyle w:val="Heading2"/>
      </w:pPr>
      <w:r>
        <w:t>|</w:t>
      </w:r>
    </w:p>
    <w:p>
      <w:pPr>
        <w:pStyle w:val="Heading2"/>
      </w:pPr>
    </w:p>
    <w:p>
      <w:pPr>
        <w:pStyle w:val="Heading2"/>
      </w:pPr>
    </w:p>
    <w:p>
      <w:pPr>
        <w:pStyle w:val="Heading2"/>
      </w:pPr>
    </w:p>
    <w:p>
      <w:pPr>
        <w:pStyle w:val="Heading2"/>
      </w:pPr>
    </w:p>
    <w:p>
      <w:pPr>
        <w:pStyle w:val="Heading2"/>
      </w:pPr>
    </w:p>
    <w:p>
      <w:pPr>
        <w:pStyle w:val="Heading2"/>
      </w:pPr>
    </w:p>
    <w:p>
      <w:pPr>
        <w:pStyle w:val="Heading2"/>
      </w:pPr>
    </w:p>
    <w:p>
      <w:pPr>
        <w:pStyle w:val="Heading2"/>
      </w:pPr>
    </w:p>
    <w:p>
      <w:pPr>
        <w:pStyle w:val="Heading2"/>
      </w:pPr>
      <w:r>
        <w:t>|</w:t>
      </w:r>
    </w:p>
    <w:p>
      <w:pPr>
        <w:pStyle w:val="Heading2"/>
      </w:pPr>
    </w:p>
    <w:p>
      <w:pPr>
        <w:pStyle w:val="Heading2"/>
      </w:pPr>
    </w:p>
    <w:p>
      <w:pPr>
        <w:pStyle w:val="Heading2"/>
      </w:pPr>
    </w:p>
    <w:p>
      <w:pPr>
        <w:pStyle w:val="Heading2"/>
      </w:pPr>
    </w:p>
    <w:p>
      <w:pPr>
        <w:pStyle w:val="Heading2"/>
      </w:pPr>
      <w:r>
        <w:t>-|</w:t>
      </w:r>
    </w:p>
    <w:p/>
    <w:p>
      <w:pPr>
        <w:pStyle w:val="ListBullet"/>
      </w:pPr>
      <w:r>
        <w:t>**Política de revisão:** Revisão anual ou com alterações estruturais.</w:t>
      </w:r>
    </w:p>
    <w:p>
      <w:pPr>
        <w:pStyle w:val="ListBullet"/>
      </w:pPr>
      <w:r>
        <w:t>**Acesso:** Documento público dentro da organização.</w:t>
      </w:r>
    </w:p>
    <w:p>
      <w:pPr>
        <w:pStyle w:val="Heading2"/>
      </w:pPr>
      <w:r>
        <w:t>10. Referências</w:t>
      </w:r>
    </w:p>
    <w:p>
      <w:pPr>
        <w:pStyle w:val="ListBullet"/>
      </w:pPr>
      <w:r>
        <w:t>Kim et al. — *Extending Data Quality Management for Smart Connected Product Operations*</w:t>
      </w:r>
    </w:p>
    <w:p>
      <w:pPr>
        <w:pStyle w:val="ListBullet"/>
      </w:pPr>
      <w:r>
        <w:t>Derego et al. — *A Process Approach to Quality Management Doubles NEON Sensor Data Quality*</w:t>
      </w:r>
    </w:p>
    <w:p>
      <w:pPr>
        <w:pStyle w:val="ListBullet"/>
      </w:pPr>
      <w:r>
        <w:t>Giordano &amp; Limongelli — *Value of Information Analysis Accounting for Data Quality*</w:t>
      </w:r>
    </w:p>
    <w:p>
      <w:pPr>
        <w:pStyle w:val="ListBullet"/>
      </w:pPr>
      <w:r>
        <w:t>ISO 8000-61 e ISO 25012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Função</w:t>
            </w:r>
          </w:p>
        </w:tc>
        <w:tc>
          <w:tcPr>
            <w:tcW w:type="dxa" w:w="2880"/>
          </w:tcPr>
          <w:p>
            <w:r>
              <w:t>Responsabilidade</w:t>
            </w:r>
          </w:p>
        </w:tc>
        <w:tc>
          <w:tcPr>
            <w:tcW w:type="dxa" w:w="2880"/>
          </w:tcPr>
          <w:p>
            <w:r>
              <w:t>Frequência de revisão</w:t>
            </w:r>
          </w:p>
        </w:tc>
      </w:tr>
      <w:tr>
        <w:tc>
          <w:tcPr>
            <w:tcW w:type="dxa" w:w="2880"/>
          </w:tcPr>
          <w:p>
            <w:r>
              <w:t>Data Owner</w:t>
            </w:r>
          </w:p>
        </w:tc>
        <w:tc>
          <w:tcPr>
            <w:tcW w:type="dxa" w:w="2880"/>
          </w:tcPr>
          <w:p>
            <w:r>
              <w:t>Aprovar políticas e thresholds</w:t>
            </w:r>
          </w:p>
        </w:tc>
        <w:tc>
          <w:tcPr>
            <w:tcW w:type="dxa" w:w="2880"/>
          </w:tcPr>
          <w:p>
            <w:r>
              <w:t>Anual</w:t>
            </w:r>
          </w:p>
        </w:tc>
      </w:tr>
      <w:tr>
        <w:tc>
          <w:tcPr>
            <w:tcW w:type="dxa" w:w="2880"/>
          </w:tcPr>
          <w:p>
            <w:r>
              <w:t>Data Steward</w:t>
            </w:r>
          </w:p>
        </w:tc>
        <w:tc>
          <w:tcPr>
            <w:tcW w:type="dxa" w:w="2880"/>
          </w:tcPr>
          <w:p>
            <w:r>
              <w:t>Monitorizar conformidade</w:t>
            </w:r>
          </w:p>
        </w:tc>
        <w:tc>
          <w:tcPr>
            <w:tcW w:type="dxa" w:w="2880"/>
          </w:tcPr>
          <w:p>
            <w:r>
              <w:t>Mensal</w:t>
            </w:r>
          </w:p>
        </w:tc>
      </w:tr>
      <w:tr>
        <w:tc>
          <w:tcPr>
            <w:tcW w:type="dxa" w:w="2880"/>
          </w:tcPr>
          <w:p>
            <w:r>
              <w:t>Engenheiro Dados</w:t>
            </w:r>
          </w:p>
        </w:tc>
        <w:tc>
          <w:tcPr>
            <w:tcW w:type="dxa" w:w="2880"/>
          </w:tcPr>
          <w:p>
            <w:r>
              <w:t>Implementar checks automáticos</w:t>
            </w:r>
          </w:p>
        </w:tc>
        <w:tc>
          <w:tcPr>
            <w:tcW w:type="dxa" w:w="2880"/>
          </w:tcPr>
          <w:p>
            <w:r>
              <w:t>Contínuo</w:t>
            </w:r>
          </w:p>
        </w:tc>
      </w:tr>
      <w:tr>
        <w:tc>
          <w:tcPr>
            <w:tcW w:type="dxa" w:w="2880"/>
          </w:tcPr>
          <w:p>
            <w:r>
              <w:t>Analista SHM</w:t>
            </w:r>
          </w:p>
        </w:tc>
        <w:tc>
          <w:tcPr>
            <w:tcW w:type="dxa" w:w="2880"/>
          </w:tcPr>
          <w:p>
            <w:r>
              <w:t>Validar interpretações físicas</w:t>
            </w:r>
          </w:p>
        </w:tc>
        <w:tc>
          <w:tcPr>
            <w:tcW w:type="dxa" w:w="2880"/>
          </w:tcPr>
          <w:p>
            <w:r>
              <w:t>Quando aplicável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Versão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Alterações principais</w:t>
            </w:r>
          </w:p>
        </w:tc>
        <w:tc>
          <w:tcPr>
            <w:tcW w:type="dxa" w:w="2160"/>
          </w:tcPr>
          <w:p>
            <w:r>
              <w:t>Autor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2025-01-15</w:t>
            </w:r>
          </w:p>
        </w:tc>
        <w:tc>
          <w:tcPr>
            <w:tcW w:type="dxa" w:w="2160"/>
          </w:tcPr>
          <w:p>
            <w:r>
              <w:t>Criação inicial</w:t>
            </w:r>
          </w:p>
        </w:tc>
        <w:tc>
          <w:tcPr>
            <w:tcW w:type="dxa" w:w="2160"/>
          </w:tcPr>
          <w:p>
            <w:r>
              <w:t>D. Fernandes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