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ai / automation Services</w:t>
      </w:r>
    </w:p>
    <w:p>
      <w:pPr>
        <w:jc w:val="center"/>
      </w:pPr>
      <w:r>
        <w:rPr>
          <w:b/>
        </w:rPr>
        <w:t>statement of work</w:t>
      </w:r>
    </w:p>
    <w:p>
      <w:pPr>
        <w:jc w:val="center"/>
      </w:pPr>
      <w:r>
        <w:t>Date: 11/12/2025 VERSION: 1.0</w:t>
      </w:r>
    </w:p>
    <w:p/>
    <w:p>
      <w:r>
        <w:t>We appreciate the opportunity to support Ship Sticks ("Client") in its transformation into a data-driven, AI-powered organization. We look forward to collaborating with you and your team to demonstrate the immediate value and impact of intelligent automation for your operations.</w:t>
      </w:r>
    </w:p>
    <w:p>
      <w:r>
        <w:t>This Statement of Work ("SOW"), along with any appendices, schedules, and attachments, outlines the agreement between Innovoco LLC ("Innovoco" or "Consultant"), located at 333 SE 2nd Avenue, Ste. 2000, Miami, FL 33131, and Ship Sticks, located at [Ship Sticks Address]. It defines the services Innovoco will provide to deliver a custom AI-powered Data Analyst application ("Services"). Innovoco will deliver the application, including front-end interface, back-end infrastructure, and intelligent analytics capabilities as specified in this SOW.</w:t>
      </w:r>
    </w:p>
    <w:p>
      <w:r>
        <w:rPr>
          <w:b/>
          <w:sz w:val="24"/>
        </w:rPr>
        <w:t>SCOPE</w:t>
      </w:r>
    </w:p>
    <w:p>
      <w:r>
        <w:t>Innovoco will develop and deliver a comprehensive Data Analyst Agent application designed to provide Ship Sticks leadership with instant access to critical business intelligence and operational insights. This application serves as the foundation for Ship Sticks' AI transformation journey, demonstrating immediate value through intelligent data analysis and actionable recommendations.</w:t>
      </w:r>
    </w:p>
    <w:p>
      <w:r>
        <w:rPr>
          <w:b/>
        </w:rPr>
        <w:t>Core Application Components</w:t>
      </w:r>
    </w:p>
    <w:p>
      <w:pPr>
        <w:pStyle w:val="ListBullet"/>
      </w:pPr>
      <w:r>
        <w:t>Executive Intelligence Dashboard</w:t>
      </w:r>
    </w:p>
    <w:p>
      <w:pPr>
        <w:pStyle w:val="ListBullet"/>
      </w:pPr>
      <w:r>
        <w:t>A modern, intuitive web application that serves as Ship Sticks' central hub for business intelligence. The dashboard provides real-time visibility into key performance metrics including delivery success rates, revenue trends, operational efficiency, cost savings opportunities, and customer satisfaction indicators. Designed for executive and decision-maker use, the interface prioritizes clarity and actionable insights over technical complexity.</w:t>
      </w:r>
    </w:p>
    <w:p>
      <w:pPr>
        <w:pStyle w:val="ListBullet"/>
      </w:pPr>
      <w:r>
        <w:t>AI-Powered Data Analyst Agent</w:t>
      </w:r>
    </w:p>
    <w:p>
      <w:pPr>
        <w:pStyle w:val="ListBullet"/>
      </w:pPr>
      <w:r>
        <w:t>An intelligent assistant that understands natural language questions and automatically translates them into sophisticated data queries. Leadership can simply ask questions like "What are our delivery success rates by region this quarter?" or "Which partnership accounts are underperforming?" and receive immediate, accurate answers backed by your company data. The agent interprets context, handles complex multi-step analysis, and presents findings in executive-friendly formats including charts, tables, and written summaries.</w:t>
      </w:r>
    </w:p>
    <w:p>
      <w:pPr>
        <w:pStyle w:val="ListBullet"/>
      </w:pPr>
      <w:r>
        <w:t>Enterprise Data Integration</w:t>
      </w:r>
    </w:p>
    <w:p>
      <w:pPr>
        <w:pStyle w:val="ListBullet"/>
      </w:pPr>
      <w:r>
        <w:t>Secure connectivity to Ship Sticks' BigQuery data warehouse, ensuring the application has real-time access to all relevant operational, financial, and customer data. This integration maintains data security and access controls while enabling comprehensive analysis across shipments, partnerships, insurance claims, customer interactions, and financial performance.</w:t>
      </w:r>
    </w:p>
    <w:p>
      <w:pPr>
        <w:pStyle w:val="ListBullet"/>
      </w:pPr>
      <w:r>
        <w:t>Intelligent Learning System</w:t>
      </w:r>
    </w:p>
    <w:p>
      <w:pPr>
        <w:pStyle w:val="ListBullet"/>
      </w:pPr>
      <w:r>
        <w:t>A continuous improvement mechanism that tracks the quality and accuracy of the Data Analyst Agent's responses. When executives provide feedback on answers—marking them as helpful or needing refinement—the system learns from these interactions to improve future performance. This ensures the agent becomes increasingly valuable over time, adapting to Ship Sticks' specific terminology, priorities, and analytical needs.</w:t>
      </w:r>
    </w:p>
    <w:p>
      <w:r>
        <w:rPr>
          <w:b/>
        </w:rPr>
        <w:t>Key Business Capabilities</w:t>
      </w:r>
    </w:p>
    <w:p>
      <w:pPr>
        <w:pStyle w:val="ListBullet"/>
      </w:pPr>
      <w:r>
        <w:t>Operational Performance Analysis</w:t>
      </w:r>
    </w:p>
    <w:p>
      <w:pPr>
        <w:pStyle w:val="ListBullet"/>
      </w:pPr>
      <w:r>
        <w:t>Track and analyze delivery success rates, identify failure patterns, monitor service level performance across partners, and pinpoint opportunities to improve operational efficiency. Answer questions about trends, comparisons, and root causes of operational issues.</w:t>
      </w:r>
    </w:p>
    <w:p>
      <w:pPr>
        <w:pStyle w:val="ListBullet"/>
      </w:pPr>
      <w:r>
        <w:t>Financial Intelligence</w:t>
      </w:r>
    </w:p>
    <w:p>
      <w:pPr>
        <w:pStyle w:val="ListBullet"/>
      </w:pPr>
      <w:r>
        <w:t>Access real-time revenue metrics, profit margins, cost analysis, and financial forecasting. Understand which partnerships drive the most value, identify revenue opportunities, and analyze pricing effectiveness across different customer segments and service tiers.</w:t>
      </w:r>
    </w:p>
    <w:p>
      <w:pPr>
        <w:pStyle w:val="ListBullet"/>
      </w:pPr>
      <w:r>
        <w:t>Customer Insights</w:t>
      </w:r>
    </w:p>
    <w:p>
      <w:pPr>
        <w:pStyle w:val="ListBullet"/>
      </w:pPr>
      <w:r>
        <w:t>Monitor customer satisfaction trends, analyze support ticket patterns, identify at-risk accounts, and discover opportunities to enhance customer experience. Track insurance claim patterns and identify potential service improvements.</w:t>
      </w:r>
    </w:p>
    <w:p>
      <w:pPr>
        <w:pStyle w:val="ListBullet"/>
      </w:pPr>
      <w:r>
        <w:t>Partnership Performance</w:t>
      </w:r>
    </w:p>
    <w:p>
      <w:pPr>
        <w:pStyle w:val="ListBullet"/>
      </w:pPr>
      <w:r>
        <w:t>Evaluate golf course and resort partnerships, identify high-performing and underperforming accounts, analyze booking patterns, and discover expansion opportunities within your network of 3,500+ partner facilities.</w:t>
      </w:r>
    </w:p>
    <w:p>
      <w:r>
        <w:rPr>
          <w:b/>
        </w:rPr>
        <w:t>Project Deliverables</w:t>
      </w:r>
    </w:p>
    <w:p>
      <w:pPr>
        <w:pStyle w:val="ListBullet"/>
      </w:pPr>
      <w:r>
        <w:t>Fully functional Data Analyst Agent application accessible via web browser, complete with executive dashboard and natural language query capabilities</w:t>
      </w:r>
    </w:p>
    <w:p>
      <w:pPr>
        <w:pStyle w:val="ListBullet"/>
      </w:pPr>
      <w:r>
        <w:t>Secure integration with Ship Sticks' BigQuery data warehouse</w:t>
      </w:r>
    </w:p>
    <w:p>
      <w:pPr>
        <w:pStyle w:val="ListBullet"/>
      </w:pPr>
      <w:r>
        <w:t>Intelligent learning system with feedback tracking and continuous improvement capabilities</w:t>
      </w:r>
    </w:p>
    <w:p>
      <w:pPr>
        <w:pStyle w:val="ListBullet"/>
      </w:pPr>
      <w:r>
        <w:t>User documentation and best practices guide for maximizing value from the Data Analyst Agent</w:t>
      </w:r>
    </w:p>
    <w:p>
      <w:pPr>
        <w:pStyle w:val="ListBullet"/>
      </w:pPr>
      <w:r>
        <w:t>Technical handover documentation for Ship Sticks' internal teams</w:t>
      </w:r>
    </w:p>
    <w:p>
      <w:pPr>
        <w:pStyle w:val="ListBullet"/>
      </w:pPr>
      <w:r>
        <w:t>One month of post-deployment support to ensure smooth adoption and address any refinements</w:t>
      </w:r>
    </w:p>
    <w:p>
      <w:r>
        <w:rPr>
          <w:b/>
          <w:sz w:val="24"/>
        </w:rPr>
        <w:t>ENGAGEMENT MODEL</w:t>
      </w:r>
    </w:p>
    <w:p>
      <w:r>
        <w:t>This project represents a focused, time-boxed engagement designed to deliver immediate value and demonstrate the transformative potential of AI for Ship Sticks' operations. The engagement has been structured to account for the comprehensive work required to build, integrate, test, and deploy a production-ready Data Analyst Agent application.</w:t>
      </w:r>
    </w:p>
    <w:p>
      <w:r>
        <w:t>Innovoco's specialized AI development team will deliver this project through coordinated efforts across multiple technical disciplines including application architecture, AI/ML engineering, data integration, user experience design, and quality assurance. The engagement encompasses approximately 160 hours of combined development effort, representing the full scope of work required to deliver a sophisticated, enterprise-grade intelligent application.</w:t>
      </w:r>
    </w:p>
    <w:p>
      <w:r>
        <w:t>Work completed includes advanced front-end development using Next.js 16, sophisticated AI agent development using LangChain and LangGraph frameworks, secure database connectivity, reinforcement learning implementation, comprehensive testing, and production deployment infrastructure.</w:t>
      </w:r>
    </w:p>
    <w:p>
      <w:r>
        <w:rPr>
          <w:b/>
          <w:sz w:val="24"/>
        </w:rPr>
        <w:t>ACCEPTANCE CRITERIA AND PROCEDURES</w:t>
      </w:r>
    </w:p>
    <w:p>
      <w:r>
        <w:t>Upon Innovoco completion of a Deliverable, Innovoco will provide written confirmation of such completion to CLIENT, indicating the Deliverable completed and the date of such completion ("Deliverable Completion Artifact"). CLIENT will provide written acceptance or written notice of non-conformity for each Deliverable within five business days (unless otherwise agreed) from the receipt of the Deliverable Confirmation Form (the "Acceptance Period").</w:t>
      </w:r>
    </w:p>
    <w:p>
      <w:r>
        <w:t>If CLIENT delivers a notice of non-conformity specifically identifying the non-conformity and stating in detail for each non-conformity how the Deliverable fails to materially conform to the applicable acceptance criteria, before the end of the Acceptance Period, then Innovoco will modify the Deliverable to correct the non-conformities and resubmit the Deliverable for further acceptance testing within five business days (unless otherwise agreed) from receipt of the notice of non-conformity ("Correction Period").</w:t>
      </w:r>
    </w:p>
    <w:p>
      <w:r>
        <w:t>If Innovoco fails to receive notice of non-conformity or acceptance within the Acceptance Period, the Deliverable shall be considered accepted at the end of the business, Eastern Time, on the 5th business day.</w:t>
      </w:r>
    </w:p>
    <w:p>
      <w:r>
        <w:rPr>
          <w:b/>
          <w:sz w:val="24"/>
        </w:rPr>
        <w:t>COST</w:t>
      </w:r>
    </w:p>
    <w:p>
      <w:r>
        <w:t>This Statement of Work reflects a fixed-price engagement covering all development, integration, testing, and deployment activities required to deliver the Data Analyst Agent application. The pricing accounts for the sophisticated technical work involved in building a production-ready AI application, including:</w:t>
      </w:r>
    </w:p>
    <w:p>
      <w:pPr>
        <w:pStyle w:val="ListBullet"/>
      </w:pPr>
      <w:r>
        <w:t>Advanced AI agent development and natural language processing capabilities</w:t>
      </w:r>
    </w:p>
    <w:p>
      <w:pPr>
        <w:pStyle w:val="ListBullet"/>
      </w:pPr>
      <w:r>
        <w:t>Modern web application architecture and responsive user interface</w:t>
      </w:r>
    </w:p>
    <w:p>
      <w:pPr>
        <w:pStyle w:val="ListBullet"/>
      </w:pPr>
      <w:r>
        <w:t>Enterprise data warehouse integration and secure data connectivity</w:t>
      </w:r>
    </w:p>
    <w:p>
      <w:pPr>
        <w:pStyle w:val="ListBullet"/>
      </w:pPr>
      <w:r>
        <w:t>Intelligent learning system with feedback tracking</w:t>
      </w:r>
    </w:p>
    <w:p>
      <w:pPr>
        <w:pStyle w:val="ListBullet"/>
      </w:pPr>
      <w:r>
        <w:t>Comprehensive testing and quality assurance</w:t>
      </w:r>
    </w:p>
    <w:p>
      <w:pPr>
        <w:pStyle w:val="ListBullet"/>
      </w:pPr>
      <w:r>
        <w:t>Production deployment and infrastructure setup</w:t>
      </w:r>
    </w:p>
    <w:p>
      <w:pPr>
        <w:pStyle w:val="ListBullet"/>
      </w:pPr>
      <w:r>
        <w:t>Documentation and knowledge transfer</w:t>
      </w:r>
    </w:p>
    <w:p>
      <w:pPr>
        <w:pStyle w:val="ListBullet"/>
      </w:pPr>
      <w:r>
        <w:t>One month of post-deployment support</w:t>
      </w:r>
    </w:p>
    <w:p/>
    <w:p>
      <w:r>
        <w:rPr>
          <w:b/>
        </w:rPr>
        <w:t>Total Project Investment: $32,000</w:t>
      </w:r>
    </w:p>
    <w:p>
      <w:r>
        <w:t>This investment represents exceptional value for a custom AI application that typically requires 2-3 months of development effort. By leveraging Innovoco's AI expertise and proven frameworks, Ship Sticks receives an enterprise-grade solution at an accelerated timeline and competitive price point.</w:t>
      </w:r>
    </w:p>
    <w:p>
      <w:r>
        <w:t>Payment terms: 50% ($16,000) due upon SOW execution to commence work, with the remaining 50% ($16,000) due upon successful delivery and acceptance of the completed application.</w:t>
      </w:r>
    </w:p>
    <w:p>
      <w:r>
        <w:t>No travel is anticipated for this engagement. Any travel, if necessary, shall be pre-approved by client and billed as incurred.</w:t>
      </w:r>
    </w:p>
    <w:p>
      <w:r>
        <w:rPr>
          <w:b/>
          <w:sz w:val="24"/>
        </w:rPr>
        <w:t>CLIENT OBLIGATIONS AND ASSUMPTIONS</w:t>
      </w:r>
    </w:p>
    <w:p>
      <w:r>
        <w:t>The approach, resourcing, timeline, and costs are based on the following assumptions. Variations to these assumptions could cause actual project duration, staffing, and/or costs to be different from the estimates contained in this SOW.</w:t>
      </w:r>
    </w:p>
    <w:p>
      <w:pPr>
        <w:pStyle w:val="ListBullet"/>
      </w:pPr>
      <w:r>
        <w:t>CLIENT will designate a primary point of contact with decision-making authority to provide timely feedback, answer questions, and approve deliverables within the agreed-upon timeframes.</w:t>
      </w:r>
    </w:p>
    <w:p>
      <w:pPr>
        <w:pStyle w:val="ListBullet"/>
      </w:pPr>
      <w:r>
        <w:t>CLIENT will provide Innovoco with appropriate access credentials to Ship Sticks' BigQuery data warehouse, including necessary permissions to read operational, financial, and customer data required for the Data Analyst Agent functionality.</w:t>
      </w:r>
    </w:p>
    <w:p>
      <w:pPr>
        <w:pStyle w:val="ListBullet"/>
      </w:pPr>
      <w:r>
        <w:t>CLIENT will make subject matter experts available for consultation sessions (approximately 4-6 hours total) to provide context on business priorities, key metrics, and analytical requirements.</w:t>
      </w:r>
    </w:p>
    <w:p>
      <w:pPr>
        <w:pStyle w:val="ListBullet"/>
      </w:pPr>
      <w:r>
        <w:t>CLIENT will conduct user acceptance testing activities and provide feedback within agreed-upon timeframes to maintain project momentum.</w:t>
      </w:r>
    </w:p>
    <w:p>
      <w:pPr>
        <w:pStyle w:val="ListBullet"/>
      </w:pPr>
      <w:r>
        <w:t>CLIENT will identify and provide sample questions and use cases that are representative of the types of analysis Ship Sticks leadership requires from the Data Analyst Agent.</w:t>
      </w:r>
    </w:p>
    <w:p>
      <w:pPr>
        <w:pStyle w:val="ListBullet"/>
      </w:pPr>
      <w:r>
        <w:t>CLIENT understands that the application's analytical capabilities are dependent on the quality, structure, and completeness of data within the BigQuery warehouse.</w:t>
      </w:r>
    </w:p>
    <w:p>
      <w:r>
        <w:rPr>
          <w:b/>
          <w:sz w:val="24"/>
        </w:rPr>
        <w:t>PAYMENT TERMS</w:t>
      </w:r>
    </w:p>
    <w:p>
      <w:r>
        <w:t>The payment terms are set forth under Section 1(b) (titled 'Payment') of the Appendix A Standard Terms and Conditions, attached hereto.</w:t>
      </w:r>
    </w:p>
    <w:p>
      <w:r>
        <w:t>The invoices shall be sent via email in PDF format to CLIENT addressed to:</w:t>
      </w:r>
    </w:p>
    <w:p>
      <w:r>
        <w:t>[Ship Sticks Finance Contact Email]</w:t>
      </w:r>
    </w:p>
    <w:p>
      <w:r>
        <w:t>All payments shall be sent to the Vendor at:</w:t>
      </w:r>
    </w:p>
    <w:p>
      <w:r>
        <w:t>Innovoco LLC</w:t>
      </w:r>
    </w:p>
    <w:p>
      <w:r>
        <w:t>333 SE 2nd Avenue, Suite 2000</w:t>
      </w:r>
    </w:p>
    <w:p>
      <w:r>
        <w:t>Miami, FL 33131</w:t>
      </w:r>
    </w:p>
    <w:p>
      <w:r>
        <w:rPr>
          <w:b/>
          <w:sz w:val="24"/>
        </w:rPr>
        <w:t>LOCATION OF SERVICES</w:t>
      </w:r>
    </w:p>
    <w:p>
      <w:r>
        <w:t>All services will be performed via remote work. Any exceptions will be determined by the project activities, interactions, and communications to be executed while delivering the project outcomes.</w:t>
      </w:r>
    </w:p>
    <w:p>
      <w:r>
        <w:rPr>
          <w:b/>
          <w:sz w:val="24"/>
        </w:rPr>
        <w:t>TERM AND TERMINATION</w:t>
      </w:r>
    </w:p>
    <w:p>
      <w:r>
        <w:t>This engagement is structured as a fixed-scope project with an expected completion timeline of 30 days from the Effective Date, subject to CLIENT's timely provision of required access, information, and approvals. The engagement includes one month of post-deployment support following successful delivery and acceptance of the application.</w:t>
      </w:r>
    </w:p>
    <w:p>
      <w:r>
        <w:t>Either party may terminate this agreement with written notice. In the event of termination by CLIENT prior to project completion, CLIENT shall be responsible for payment of all work completed to date, calculated on a proportional basis relative to the total project scope. In the event of termination by Innovoco, Innovoco shall refund any payments received for work not yet performed.</w:t>
      </w:r>
    </w:p>
    <w:p>
      <w:r>
        <w:rPr>
          <w:b/>
          <w:sz w:val="24"/>
        </w:rPr>
        <w:t>TERMS &amp; CONDITIONS</w:t>
      </w:r>
    </w:p>
    <w:p>
      <w:r>
        <w:t>This SOW is governed by the terms and conditions as set forth in Appendix A listed at the end of this SOW.</w:t>
      </w:r>
    </w:p>
    <w:p>
      <w:r>
        <w:t>In Witness Whereof, the parties hereto have caused this Agreement to be executed by their duly authorized representatives as of the Effective Date.</w:t>
      </w:r>
    </w:p>
    <w:p/>
    <w:p/>
    <w:tbl>
      <w:tblPr>
        <w:tblStyle w:val="TableGrid"/>
        <w:tblW w:type="auto" w:w="0"/>
        <w:tblLook w:firstColumn="1" w:firstRow="1" w:lastColumn="0" w:lastRow="0" w:noHBand="0" w:noVBand="1" w:val="04A0"/>
      </w:tblPr>
      <w:tblGrid>
        <w:gridCol w:w="4320"/>
        <w:gridCol w:w="4320"/>
      </w:tblGrid>
      <w:tr>
        <w:tc>
          <w:tcPr>
            <w:tcW w:type="dxa" w:w="4320"/>
          </w:tcPr>
          <w:p>
            <w:r>
              <w:t>INNOVOCO LLC</w:t>
            </w:r>
          </w:p>
        </w:tc>
        <w:tc>
          <w:tcPr>
            <w:tcW w:type="dxa" w:w="4320"/>
          </w:tcPr>
          <w:p>
            <w:r>
              <w:t>SHIP STICKS</w:t>
            </w:r>
          </w:p>
        </w:tc>
      </w:tr>
      <w:tr>
        <w:tc>
          <w:tcPr>
            <w:tcW w:type="dxa" w:w="4320"/>
          </w:tcPr>
          <w:p>
            <w:r>
              <w:t>Signature:</w:t>
            </w:r>
          </w:p>
        </w:tc>
        <w:tc>
          <w:tcPr>
            <w:tcW w:type="dxa" w:w="4320"/>
          </w:tcPr>
          <w:p>
            <w:r>
              <w:t>Signature:</w:t>
            </w:r>
          </w:p>
        </w:tc>
      </w:tr>
      <w:tr>
        <w:tc>
          <w:tcPr>
            <w:tcW w:type="dxa" w:w="4320"/>
          </w:tcPr>
          <w:p>
            <w:r>
              <w:t>Name:</w:t>
            </w:r>
          </w:p>
        </w:tc>
        <w:tc>
          <w:tcPr>
            <w:tcW w:type="dxa" w:w="4320"/>
          </w:tcPr>
          <w:p>
            <w:r>
              <w:t>Name:</w:t>
            </w:r>
          </w:p>
        </w:tc>
      </w:tr>
      <w:tr>
        <w:tc>
          <w:tcPr>
            <w:tcW w:type="dxa" w:w="4320"/>
          </w:tcPr>
          <w:p>
            <w:r>
              <w:t>Title:</w:t>
            </w:r>
          </w:p>
        </w:tc>
        <w:tc>
          <w:tcPr>
            <w:tcW w:type="dxa" w:w="4320"/>
          </w:tcPr>
          <w:p>
            <w:r>
              <w:t>Title:</w:t>
            </w:r>
          </w:p>
        </w:tc>
      </w:tr>
      <w:tr>
        <w:tc>
          <w:tcPr>
            <w:tcW w:type="dxa" w:w="4320"/>
          </w:tcPr>
          <w:p>
            <w:r>
              <w:t>Date:</w:t>
            </w:r>
          </w:p>
        </w:tc>
        <w:tc>
          <w:tcPr>
            <w:tcW w:type="dxa" w:w="4320"/>
          </w:tcPr>
          <w:p>
            <w:r>
              <w:t>Date:</w:t>
            </w:r>
          </w:p>
        </w:tc>
      </w:tr>
      <w:tr>
        <w:tc>
          <w:tcPr>
            <w:tcW w:type="dxa" w:w="4320"/>
          </w:tcPr>
          <w:p>
            <w:r>
              <w:t>Email:</w:t>
            </w:r>
          </w:p>
        </w:tc>
        <w:tc>
          <w:tcPr>
            <w:tcW w:type="dxa" w:w="4320"/>
          </w:tcPr>
          <w:p>
            <w:r>
              <w:t>Email:</w:t>
            </w:r>
          </w:p>
        </w:tc>
      </w:tr>
    </w:tbl>
    <w:p>
      <w:r>
        <w:br w:type="page"/>
      </w:r>
    </w:p>
    <w:p>
      <w:r>
        <w:rPr>
          <w:b/>
          <w:sz w:val="28"/>
        </w:rPr>
        <w:t>Appendix A</w:t>
      </w:r>
    </w:p>
    <w:p>
      <w:r>
        <w:rPr>
          <w:b/>
          <w:sz w:val="24"/>
        </w:rPr>
        <w:t>Standard Terms and Conditions</w:t>
      </w:r>
    </w:p>
    <w:p>
      <w:r>
        <w:t>These Standard Business Terms ("Terms") shall govern the Services provided by Innovoco, LLC ("Consultant") as set forth in the Statement of Work executed by Strategic Claim Consultants ("Client") and Consultant to which these Terms are attached.  These Terms, together with the Statement of Work constitute the entire understanding and agreement between Client and Consultant with respect to the Services described in the Statement of Work ("Agreement"), supersede all prior oral and written communications, and may be amended, modified or changed (including changes in scope or nature of the Services or fees) only in writing when signed by both parties.  If there is a conflict between these Terms and the terms of any Statement of Work, the Statement of Work shall govern.</w:t>
      </w:r>
    </w:p>
    <w:p>
      <w:r>
        <w:rPr>
          <w:b/>
        </w:rPr>
        <w:t>Section 1.  Fees, Expenses and Invoices</w:t>
      </w:r>
    </w:p>
    <w:p>
      <w:r>
        <w:t>a) Billing.  Client shall pay Consultant the professional fees and the related expenses in accordance with the Statement of Work. In addition, Client shall reimburse Consultant for costs and expenses reasonably incurred by Consultant and pre-approved by Client in connection with its performance of the Services on the basis of the invoice amount paid by Consultant to its vendor or provider.  Client acknowledges that Consultant may participate in and retain the benefit of incentive plans or other programs with, among others, its travel providers wherein Consultant may receive benefits, such as frequent flier miles or other consideration for corporate travel volume.  Invoices shall be mailed to Client at the address set forth in the Statement of Work.  If Client believes that any adjustments to any invoices are necessary, it shall give written notice, detailing the nature and basis of the requested adjustment, to Consultant within thirty (30) days of receipt of an invoice.  Any mutually agreed upon adjustment that is made shall be reflected in the subsequent invoice issued after any such adjustment is determined.</w:t>
      </w:r>
    </w:p>
    <w:p>
      <w:r>
        <w:t>b) Payment.  Invoices shall be paid within thirty (30) days of receipt, unless such invoices are being disputed by Client.  Invoices will be considered delinquent if not paid within forty-five (45) days (i) after receipt in the case of invoices not in dispute or (ii) after the dispute is resolved in the case of disputed invoices.  Client shall provide written notice of any dispute with an invoice within thirty (30) days, and pay the undisputed portion of such invoice.  Without limiting its rights or remedies, Consultant reserves the right to suspend or terminate its system access and services for Client's failure to make timely payment.</w:t>
      </w:r>
    </w:p>
    <w:p>
      <w:r>
        <w:t>c) Taxes, Tariffs, and Duties.  All fees, expenses and other charges for the Services do not include any sales, use, excise, value added, Cross-Border Tax Obligations (as defined below) or other applicable taxes, tariffs or duties, payment that may be due on such amounts, and shall be the sole responsibility of Client (excluding any applicable taxes based on Consultant's net income or taxes arising from the employment or independent contractor relationship between Consultant and its personnel).  In the event that such taxes, tariffs or duties are assessed against Consultant, Client shall reimburse Consultant for any such amounts paid by Consultant or, prior to payment, provide Consultant with valid tax exemption certificates with respect thereto.</w:t>
      </w:r>
    </w:p>
    <w:p>
      <w:r>
        <w:t>d) Consultant shall maintain reasonably complete and accurate records of the fees and expenses charged to Client with respect to the Services.  Consultant shall retain such records for twelve months after the completion or termination of the Services to which they pertain and shall make such records available to Client during normal business hours upon reasonable advance written notice.  Consultant shall cooperate in any audit of such records that Client may undertake; provided, however, that: (i) any such audit shall be at Client's sole expense; (ii) no such audit may occur more than once in any twelve (12) month period; and (iii) Consultant shall have the right to approve the auditor used for any such audit, with such approval not to be unreasonably withheld.</w:t>
      </w:r>
    </w:p>
    <w:p>
      <w:r>
        <w:rPr>
          <w:b/>
        </w:rPr>
        <w:t>Section 2.  Client Responsibilities</w:t>
      </w:r>
    </w:p>
    <w:p>
      <w:r>
        <w:t>Consultant shall be entitled to rely on all Client decisions and approvals made independently of this Agreement and/or prior to its execution by the parties.  Nothing in this Agreement shall require Consultant to evaluate, advise on, modify, confirm, or reject such decisions and approvals, except as expressly agreed to in the Statement of Work.</w:t>
      </w:r>
    </w:p>
    <w:p>
      <w:r>
        <w:rPr>
          <w:b/>
        </w:rPr>
        <w:t>Section 3.  Confidentiality</w:t>
      </w:r>
    </w:p>
    <w:p>
      <w:r>
        <w:t>With respect to this Agreement and all information supplied in connection with this Agreement (whether disclosed or transferred in writing, orally, visually, electronically or by any other means), as well as any analysis and/or any other internal memoranda or other documents prepared by the receiving party or its representatives which are derived from, or include portions of, the information provided by or on behalf of the disclosing party ("Confidential Information"),, the recipient agrees to: (i) at all times safeguard and keep confidential such Confidential Information, including but not limited to in accordance with industry best practices; (ii) not disclose or use Confidential Information except as necessary to perform its obligations under this Agreement; (iii) not reproduce Confidential Information; and (iv) not disclose, give or permit access to, or distribute any of the Confidential Information to any third party, except with the disclosing party's advance written permission in each instance.  Confidential Information Includes all such information submitted to, observed by or learned by the receiving party or its affiliates in connection with this Agreement, a Statement of Work or the services being provided hereunder, including but not limited to information relating to the disclosing party's or its affiliate's business, customers, franchisees, potential franchisees, prospects, know-how, technology, predictive models, operations, strategies, real estate plans or acquisitions, facilities, products, inventions, designs, methods, improvements, systems, procedures, processes, practices, research, development, employees, business affairs, financial information, trade secrets, data and/or intellectual capital, whether learned by the receiving party or its affiliates before or after the date of this Agreement.  This section shall not apply to information which a receiving party can demonstrate falls within any of the following exceptions: (i) publicly known through no fault of or action by the receiving party or its employees, agents, officers, directors, affiliates or subcontractors, (ii) already known to the recipient prior to disclosure by the disclosing party; or (iii) independently developed by the receiving party without the aid, application or use of the information.  Subject to the foregoing, Consultant may disclose Client's Confidential Information to its employees, only as necessary to perform the Services and provided such employees are bound by confidentiality terms at least as restrictive as those contained herein. The Deliverables (as defined below) are Confidential Information of Client.  Each party shall retain all right, title and interest in and to its own Confidential Information.  The receiving party may disclose Confidential Information to the extent required to do so by law, provided that the receiving party: (a) gives the disclosing party prior notice (if such notice is not prohibited by law) to afford the disclosing party an opportunity to appear, object, and obtain a protective order; (b) use diligent efforts to limit disclosure and/or obtain confidential treatment or a protective order; and (c) allow the disclosing party to participate in any proceeding in which compelled disclosure is sought.</w:t>
      </w:r>
    </w:p>
    <w:p>
      <w:r>
        <w:t>No later than sixty (60) days following termination or expiration of this Agreement for any reason and/or within sixty (60) days' following Client's request, Consultant will return or destroy any and all records or copies of records relating to Client or its business, including Confidential Information, according to Client's instructions or industry best practices if no instructions are provided.  On Client's request, Consultant will certify in writing that all such Confidential Information has been so returned or destroyed.</w:t>
      </w:r>
    </w:p>
    <w:p>
      <w:r>
        <w:t>Receiving party acknowledges that any use or disclosure, or threatened use or threatened disclosure, of the disclosing party's Confidential Information in a manner inconsistent with the provisions of this Agreement will cause the disclosing party irreparable damage for which remedies other than injunctive relief may be inadequate.  Receiving party agrees that the disclosing party may pursue any relief available at law and equity, including, seeking injunctive or other equitable relief to restrain such use or disclosure and to enforce the terms of this Agreement without the requirement of posting a bond or other form of security or proving actual damages and the receiving party hereby waives any such requirement.</w:t>
      </w:r>
    </w:p>
    <w:p>
      <w:r>
        <w:t>If the receiving party becomes aware of an unauthorized use or disclosure of or compromise with respect to Confidential Information (whether or not resulting from a breach of this Agreement), the receiving party will immediately notify the disclosing party in writing of all information known to the receiving party about the misused, disclosed or compromised information, the Confidential Information affected, and the steps taken by the receiving party to prevent the recurrence of and mitigate the harm to the disclosing party resulting from such incident.  To the extent any compromised Confidential Information of Client Includes customer data or personally identifiable information, Consultant will identify the customers, individuals and information affected, provide Client with access to all information related to the security incident as reasonably requested by Client, and provide all cooperation reasonably requested by Client to mitigate or address the resulting harm.</w:t>
      </w:r>
    </w:p>
    <w:p>
      <w:r>
        <w:rPr>
          <w:b/>
        </w:rPr>
        <w:t>Section 4.  Intellectual Property and Data Ownership</w:t>
      </w:r>
    </w:p>
    <w:p>
      <w:r>
        <w:t>Client retains all right, title, and interest in and to any and all data, information, and content provided by Client or collected on Client's behalf during the performance of services under this SOW ("Client Data"). Service Provider retains all right, title, and interest in and to all infrastructure (including but not limited to servers, networking equipment, and other hardware), software, custom code, methodologies, algorithms, and all other intellectual property developed, utilized, or provided by Service Provider in connection with the services, excluding Client Data ("Service Provider IP"). Service Provider grants Client a limited, non-exclusive, non-transferable license to use the Service Provider IP solely to the extent necessary for Client to receive and utilize the services as contemplated by this SOW.</w:t>
      </w:r>
    </w:p>
    <w:p>
      <w:r>
        <w:rPr>
          <w:b/>
        </w:rPr>
        <w:t>Section 5.  Warranty</w:t>
      </w:r>
    </w:p>
    <w:p>
      <w:r>
        <w:t>Consultant warrants that the Services shall be performed with reasonable care in a diligent and competent manner.  Consultant's sole obligation shall be to correct any non-conformance with this warranty, provided that Client gives Consultant written notice within thirty (30) days after the Services are performed or successful completion of the acceptance test plan, if applicable.</w:t>
      </w:r>
    </w:p>
    <w:p>
      <w:r>
        <w:t>Consultant does not warrant and is not responsible for any third party products or services.  Client's sole and exclusive rights and remedies with respect to any third party products or services are against the third party vendor and not against Consultant.</w:t>
      </w:r>
    </w:p>
    <w:p>
      <w:r>
        <w:t>THIS SECTION 6 IS CONSULTANT'S ONLY WARRANTY CONCERNING THE SERVICES AND ANY DELIVERABLE AND IS MADE EXPRESSLY IN LIEU OF ALL OTHER WARRANTIES AND REPRESENTATIONS, EXPRESS OR IMPLIED, LLCLUDING ANY IMPLIED WARRANTIES OF MERCHANTABILITY, NON-INFRINGEMENT, OR FITNESS FOR A PARTICULAR PURPOSE, OR OTHERWISE.</w:t>
      </w:r>
    </w:p>
    <w:p>
      <w:r>
        <w:rPr>
          <w:b/>
        </w:rPr>
        <w:t>Section 6.  Risk Allocation</w:t>
      </w:r>
    </w:p>
    <w:p>
      <w:r>
        <w:t>Except for liability arising from the indemnification obligations set forth in this Section 6 or from breaches or violations of Section 3 (Confidentiality) Consultant's total liability relating to this Agreement shall in no event exceed the fees Consultant receives hereunder for the portion of the work giving rise to liability, or include any special, consequential, incidental or exemplary damages or loss (nor any lost profits, savings or business opportunity).</w:t>
      </w:r>
    </w:p>
    <w:p>
      <w:r>
        <w:t>As Consultant is performing the Services solely for the benefit of Client, Client will indemnify Consultant, its affiliates and their personnel against all costs, fees, expenses, damages and liabilities (including defense costs) associated with any third party claim, caused by the gross negligence or willful acts or omissions of Client; provided, however that Client's total liability relating to this Agreement shall in no event exceed the fees Client paid to Consultant hereunder for the portion of the work giving rise to liability, or include any special, consequential, incidental or exemplary damages or loss (nor any lost profits, savings or business opportunity).</w:t>
      </w:r>
    </w:p>
    <w:p>
      <w:r>
        <w:t>Consultant will indemnify Client, its affiliates and each of their respective directors, officers, employees, successors, assigns and agents against any damage or expense relating to (i) breaches or violations of Section 3 (Confidentiality), or gross negligence or willful acts or omissions of Consultant or its employees and subcontractors and (iii) bodily injury or death of any person or damage to real and/or tangible personal property incurred while Consultant is performing the Services.</w:t>
      </w:r>
    </w:p>
    <w:p>
      <w:r>
        <w:t>The provisions of this Section 6 are intended to apply in all circumstances, regardless of the grounds or nature of any claim asserted (including contract, statute, any form of negligence, whether of Client, Consultant, or others, tort, strict liability or otherwise) and whether or not the party seeking indemnification was advised of the possibility of the damage or loss asserted, to the extent not contrary to applicable law.</w:t>
      </w:r>
    </w:p>
    <w:p>
      <w:r>
        <w:t>Except for actions regarding breaches of Section 3 (Confidentiality) any action against consultant must be brought within twelve (12) months after the cause of action arises.  Any action against Client must be brought within twelve (12) months after the cause of action arises.</w:t>
      </w:r>
    </w:p>
    <w:p>
      <w:r>
        <w:rPr>
          <w:b/>
        </w:rPr>
        <w:t>Section 8.  Personnel</w:t>
      </w:r>
    </w:p>
    <w:p>
      <w:r>
        <w:t>While Consultant shall attempt to comply with Client's request for specific individuals, Consultant shall be responsible for assigning and re-assigning its personnel, as appropriate, to perform the Services. These actions will be taken only after consultations with the Client.</w:t>
      </w:r>
    </w:p>
    <w:p>
      <w:r>
        <w:rPr>
          <w:b/>
        </w:rPr>
        <w:t>Section 9.  Termination</w:t>
      </w:r>
    </w:p>
    <w:p>
      <w:r>
        <w:t>If the Agreement is terminated by the Client before the completion of the one-year term, the Client shall be responsible for payment of the full contract value for the remainder of the term. Termination shall not relieve either Party of any obligations incurred prior to the effective termination date.</w:t>
      </w:r>
    </w:p>
    <w:p>
      <w:r>
        <w:t>Except for matters related to confidentiality or intellectual property rights, the parties shall first attempt to resolve any dispute or alleged breach internally by escalating it through management and, prior to pursuing litigation, use a mutually acceptable alternative dispute resolution process.</w:t>
      </w:r>
    </w:p>
    <w:p>
      <w:r>
        <w:rPr>
          <w:b/>
        </w:rPr>
        <w:t>Section 10.  General</w:t>
      </w:r>
    </w:p>
    <w:p>
      <w:r>
        <w:t>Both parties shall not, and shall ensure that its Affiliates do not, for a period of twenty four months, or without the prior written consent, induce any employee or contractor engaged with either party to leave such employ or employ such employee.</w:t>
      </w:r>
    </w:p>
    <w:p>
      <w:r>
        <w:t>Neither party shall be liable for any delays in performance due to circumstances beyond its reasonable control.</w:t>
      </w:r>
    </w:p>
    <w:p>
      <w:r>
        <w:t>This Agreement may not be assigned or otherwise transferred without the prior express written consent of the other party.</w:t>
      </w:r>
    </w:p>
    <w:p>
      <w:r>
        <w:t>Any notices given pursuant to this Agreement shall be in writing, delivered to the address set forth in the Statement of Work, and shall be considered given when received.</w:t>
      </w:r>
    </w:p>
    <w:p>
      <w:r>
        <w:t>No term of this Agreement shall be deemed waived, and no breach of this Agreement excused, unless the waiver or consent is in writing signed by the party granting such waiver or consent.</w:t>
      </w:r>
    </w:p>
    <w:p>
      <w:r>
        <w:t>If any term or provision of this Agreement is determined to be illegal or unenforceable in a jurisdiction, such term or provision shall be liberally construed to effectuate the purpose and intent of this Agreement, and all other terms and provisions shall remain in full force and effect.  The invalidity or unenforceability of any provision in any jurisdiction will not affect the validity or enforceability of any such provision in any other jurisdiction.</w:t>
      </w:r>
    </w:p>
    <w:p>
      <w:r>
        <w:t>This Agreement does not make either party an agent or legal representative of the other party, and does not create a partnership or joint venture.  Both parties are independent contractors and principals for their own accounts.</w:t>
      </w:r>
    </w:p>
    <w:p>
      <w:r>
        <w:t>Without regard to principles of conflicts of laws, this Agreement shall be governed by and construed in accordance with the laws of the State of Florida. The prevailing party as determined by the trier of fact in any such action, proceeding, litigation including bankruptcy court) or other dispute resolution forum or judicial proceeding arising out of this Agreement, shall be entitled to recover its reasonable attorney's fees and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