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43A02" w14:textId="7CCB7B30" w:rsidR="0035443B" w:rsidRDefault="00524F7A" w:rsidP="00524F7A">
      <w:pPr>
        <w:pStyle w:val="Title"/>
      </w:pPr>
      <w:r>
        <w:t>Investigating productivity-compensation decoupling across industries and income levels</w:t>
      </w:r>
      <w:r w:rsidR="009E17FD">
        <w:t xml:space="preserve"> from 1997-2019</w:t>
      </w:r>
      <w:r>
        <w:t>.</w:t>
      </w:r>
    </w:p>
    <w:p w14:paraId="62B7539C" w14:textId="4B034DBE" w:rsidR="008740A7" w:rsidRDefault="008740A7" w:rsidP="008740A7">
      <w:pPr>
        <w:pStyle w:val="Heading1"/>
      </w:pPr>
      <w:r>
        <w:t>Introduction</w:t>
      </w:r>
    </w:p>
    <w:p w14:paraId="2AE3FE95" w14:textId="587D872B" w:rsidR="00E34BAC" w:rsidRDefault="00E538D0" w:rsidP="00524F7A">
      <w:r>
        <w:t xml:space="preserve">In modern, developed economies, there has been emerging a branch of literature related to the decoupling of labour productivity and compensation across time. The </w:t>
      </w:r>
      <w:r w:rsidR="009E17FD">
        <w:t>concern</w:t>
      </w:r>
      <w:r>
        <w:t xml:space="preserve"> </w:t>
      </w:r>
      <w:r w:rsidR="00393519">
        <w:t xml:space="preserve">is </w:t>
      </w:r>
      <w:r>
        <w:t xml:space="preserve">that labour productivity has risen consistently year-over-year, </w:t>
      </w:r>
      <w:r w:rsidR="008325A3">
        <w:t>whereas</w:t>
      </w:r>
      <w:r>
        <w:t xml:space="preserve"> </w:t>
      </w:r>
      <w:r w:rsidR="00393519">
        <w:t>median compensation has stagnate</w:t>
      </w:r>
      <w:r w:rsidR="008325A3">
        <w:t>d</w:t>
      </w:r>
      <w:r w:rsidR="00E34BAC">
        <w:t>.</w:t>
      </w:r>
    </w:p>
    <w:p w14:paraId="53B3FD37" w14:textId="1D3DF5B2" w:rsidR="0038261C" w:rsidRDefault="00C10962" w:rsidP="0038261C">
      <w:pPr>
        <w:keepNext/>
        <w:jc w:val="center"/>
      </w:pPr>
      <w:r>
        <w:rPr>
          <w:noProof/>
        </w:rPr>
        <w:drawing>
          <wp:inline distT="0" distB="0" distL="0" distR="0" wp14:anchorId="55CEEF63" wp14:editId="7E3A4E61">
            <wp:extent cx="4320000" cy="3053176"/>
            <wp:effectExtent l="0" t="0" r="4445" b="0"/>
            <wp:docPr id="1798876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53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72224" w14:textId="06ED2B83" w:rsidR="0067035F" w:rsidRDefault="0038261C" w:rsidP="0038261C">
      <w:pPr>
        <w:pStyle w:val="Caption"/>
        <w:jc w:val="center"/>
      </w:pPr>
      <w:r>
        <w:t xml:space="preserve">Figure </w:t>
      </w:r>
      <w:fldSimple w:instr=" SEQ Figure \* ARABIC ">
        <w:r w:rsidR="00FB2D43">
          <w:rPr>
            <w:noProof/>
          </w:rPr>
          <w:t>1</w:t>
        </w:r>
      </w:fldSimple>
      <w:r>
        <w:t xml:space="preserve"> – Median wages sourced from ASHE Table 4.5a 1997-2019, Productivity from ONS Blue Book 2023</w:t>
      </w:r>
      <w:r w:rsidR="003C1DFC">
        <w:t>.</w:t>
      </w:r>
    </w:p>
    <w:p w14:paraId="0758D7DA" w14:textId="77777777" w:rsidR="00FB2D43" w:rsidRPr="00FB2D43" w:rsidRDefault="00013A26" w:rsidP="00FB2D43">
      <w:pPr>
        <w:rPr>
          <w:color w:val="FF0000"/>
        </w:rPr>
      </w:pPr>
      <w:r w:rsidRPr="00FB2D43">
        <w:rPr>
          <w:color w:val="FF0000"/>
        </w:rPr>
        <w:t xml:space="preserve">Tracking growth rates through indices is common practice in the literature </w:t>
      </w:r>
      <w:sdt>
        <w:sdtPr>
          <w:rPr>
            <w:color w:val="FF0000"/>
          </w:rPr>
          <w:id w:val="-1122377669"/>
          <w:citation/>
        </w:sdtPr>
        <w:sdtContent>
          <w:r w:rsidRPr="00FB2D43">
            <w:rPr>
              <w:color w:val="FF0000"/>
            </w:rPr>
            <w:fldChar w:fldCharType="begin"/>
          </w:r>
          <w:r w:rsidRPr="00FB2D43">
            <w:rPr>
              <w:color w:val="FF0000"/>
            </w:rPr>
            <w:instrText xml:space="preserve">CITATION Brill2017 \l 2057 </w:instrText>
          </w:r>
          <w:r w:rsidR="00996643" w:rsidRPr="00FB2D43">
            <w:rPr>
              <w:color w:val="FF0000"/>
            </w:rPr>
            <w:instrText xml:space="preserve"> \m Fleck2011 \m VanReenen2013 \m Teichgraeber2021</w:instrText>
          </w:r>
          <w:r w:rsidRPr="00FB2D43">
            <w:rPr>
              <w:color w:val="FF0000"/>
            </w:rPr>
            <w:fldChar w:fldCharType="separate"/>
          </w:r>
          <w:r w:rsidR="00996643" w:rsidRPr="00FB2D43">
            <w:rPr>
              <w:noProof/>
              <w:color w:val="FF0000"/>
            </w:rPr>
            <w:t>(Brill2017; Fleck2011; VanReenen2013; Teichgraeber2021)</w:t>
          </w:r>
          <w:r w:rsidRPr="00FB2D43">
            <w:rPr>
              <w:color w:val="FF0000"/>
            </w:rPr>
            <w:fldChar w:fldCharType="end"/>
          </w:r>
        </w:sdtContent>
      </w:sdt>
      <w:r w:rsidRPr="00FB2D43">
        <w:rPr>
          <w:color w:val="FF0000"/>
        </w:rPr>
        <w:t xml:space="preserve">, </w:t>
      </w:r>
      <w:r w:rsidR="00A61B75" w:rsidRPr="00FB2D43">
        <w:rPr>
          <w:color w:val="FF0000"/>
        </w:rPr>
        <w:t xml:space="preserve">although it may create </w:t>
      </w:r>
      <w:r w:rsidR="00CC03C3" w:rsidRPr="00FB2D43">
        <w:rPr>
          <w:color w:val="FF0000"/>
        </w:rPr>
        <w:t>confusion</w:t>
      </w:r>
      <w:r w:rsidR="00A61B75" w:rsidRPr="00FB2D43">
        <w:rPr>
          <w:color w:val="FF0000"/>
        </w:rPr>
        <w:t xml:space="preserve"> of when exactly decoupl</w:t>
      </w:r>
      <w:r w:rsidR="008D38DB" w:rsidRPr="00FB2D43">
        <w:rPr>
          <w:color w:val="FF0000"/>
        </w:rPr>
        <w:t>ing occurs</w:t>
      </w:r>
      <w:r w:rsidR="00A61B75" w:rsidRPr="00FB2D43">
        <w:rPr>
          <w:color w:val="FF0000"/>
        </w:rPr>
        <w:t xml:space="preserve">. Figure 1 shows the relative growth of </w:t>
      </w:r>
      <w:r w:rsidR="007E2C35" w:rsidRPr="00FB2D43">
        <w:rPr>
          <w:color w:val="FF0000"/>
        </w:rPr>
        <w:t>average productivity and median wages (differe</w:t>
      </w:r>
      <w:r w:rsidR="006C004E" w:rsidRPr="00FB2D43">
        <w:rPr>
          <w:color w:val="FF0000"/>
        </w:rPr>
        <w:t>nt</w:t>
      </w:r>
      <w:r w:rsidR="007E2C35" w:rsidRPr="00FB2D43">
        <w:rPr>
          <w:color w:val="FF0000"/>
        </w:rPr>
        <w:t xml:space="preserve"> compensation measures will be discussed later) </w:t>
      </w:r>
      <w:r w:rsidR="00A61B75" w:rsidRPr="00FB2D43">
        <w:rPr>
          <w:color w:val="FF0000"/>
        </w:rPr>
        <w:t>from 1997</w:t>
      </w:r>
      <w:r w:rsidR="006C004E" w:rsidRPr="00FB2D43">
        <w:rPr>
          <w:color w:val="FF0000"/>
        </w:rPr>
        <w:t xml:space="preserve"> and </w:t>
      </w:r>
      <w:r w:rsidR="008D38DB" w:rsidRPr="00FB2D43">
        <w:rPr>
          <w:color w:val="FF0000"/>
        </w:rPr>
        <w:t>both curves diverge around 2011</w:t>
      </w:r>
      <w:r w:rsidR="006C004E" w:rsidRPr="00FB2D43">
        <w:rPr>
          <w:color w:val="FF0000"/>
        </w:rPr>
        <w:t xml:space="preserve">. </w:t>
      </w:r>
      <w:r w:rsidR="00AE7863" w:rsidRPr="00FB2D43">
        <w:rPr>
          <w:color w:val="FF0000"/>
        </w:rPr>
        <w:t xml:space="preserve">Pessoa &amp; Van Reenen (2013) catalogue changes from 1948 </w:t>
      </w:r>
      <w:r w:rsidR="008D38DB" w:rsidRPr="00FB2D43">
        <w:rPr>
          <w:color w:val="FF0000"/>
        </w:rPr>
        <w:t>and their curves diverge around</w:t>
      </w:r>
      <w:r w:rsidR="007E2C35" w:rsidRPr="00FB2D43">
        <w:rPr>
          <w:color w:val="FF0000"/>
        </w:rPr>
        <w:t xml:space="preserve"> 1992,</w:t>
      </w:r>
      <w:r w:rsidR="006C004E" w:rsidRPr="00FB2D43">
        <w:rPr>
          <w:color w:val="FF0000"/>
        </w:rPr>
        <w:t xml:space="preserve"> </w:t>
      </w:r>
      <w:r w:rsidR="008D38DB" w:rsidRPr="00FB2D43">
        <w:rPr>
          <w:color w:val="FF0000"/>
        </w:rPr>
        <w:t>finally</w:t>
      </w:r>
      <w:r w:rsidR="006C004E" w:rsidRPr="00FB2D43">
        <w:rPr>
          <w:color w:val="FF0000"/>
        </w:rPr>
        <w:t xml:space="preserve"> </w:t>
      </w:r>
      <w:proofErr w:type="spellStart"/>
      <w:r w:rsidR="006C004E" w:rsidRPr="00FB2D43">
        <w:rPr>
          <w:color w:val="FF0000"/>
        </w:rPr>
        <w:t>Teichgraeber</w:t>
      </w:r>
      <w:proofErr w:type="spellEnd"/>
      <w:r w:rsidR="006C004E" w:rsidRPr="00FB2D43">
        <w:rPr>
          <w:color w:val="FF0000"/>
        </w:rPr>
        <w:t xml:space="preserve"> &amp; Van Reenen (2021) catalogue changes from 1981, identifying </w:t>
      </w:r>
      <w:r w:rsidR="008D38DB" w:rsidRPr="00FB2D43">
        <w:rPr>
          <w:color w:val="FF0000"/>
        </w:rPr>
        <w:t>divergence</w:t>
      </w:r>
      <w:r w:rsidR="006C004E" w:rsidRPr="00FB2D43">
        <w:rPr>
          <w:color w:val="FF0000"/>
        </w:rPr>
        <w:t xml:space="preserve"> around 1990.</w:t>
      </w:r>
      <w:r w:rsidR="009E17FD" w:rsidRPr="00FB2D43">
        <w:rPr>
          <w:color w:val="FF0000"/>
        </w:rPr>
        <w:t xml:space="preserve"> </w:t>
      </w:r>
      <w:r w:rsidR="008D38DB" w:rsidRPr="00FB2D43">
        <w:rPr>
          <w:color w:val="FF0000"/>
        </w:rPr>
        <w:t xml:space="preserve">To explain this heterogeneity, decoupling </w:t>
      </w:r>
      <w:r w:rsidR="00FB2D43" w:rsidRPr="00FB2D43">
        <w:rPr>
          <w:color w:val="FF0000"/>
        </w:rPr>
        <w:t xml:space="preserve">should </w:t>
      </w:r>
      <w:r w:rsidR="008D38DB" w:rsidRPr="00FB2D43">
        <w:rPr>
          <w:color w:val="FF0000"/>
        </w:rPr>
        <w:t xml:space="preserve">be understood not simply as </w:t>
      </w:r>
      <w:r w:rsidR="00FB2D43" w:rsidRPr="00FB2D43">
        <w:rPr>
          <w:color w:val="FF0000"/>
        </w:rPr>
        <w:t>a visual divergence, but a sharp difference in the curves’ slopes which is not later compensated. This can be seen in figure 2.</w:t>
      </w:r>
    </w:p>
    <w:p w14:paraId="5A5D8631" w14:textId="77777777" w:rsidR="00FB2D43" w:rsidRPr="00FB2D43" w:rsidRDefault="00FB2D43" w:rsidP="00FB2D43">
      <w:pPr>
        <w:keepNext/>
        <w:jc w:val="center"/>
        <w:rPr>
          <w:color w:val="FF0000"/>
        </w:rPr>
      </w:pPr>
      <w:r w:rsidRPr="00FB2D43">
        <w:rPr>
          <w:noProof/>
          <w:color w:val="FF0000"/>
        </w:rPr>
        <w:lastRenderedPageBreak/>
        <w:drawing>
          <wp:inline distT="0" distB="0" distL="0" distR="0" wp14:anchorId="388EFEC3" wp14:editId="7F911081">
            <wp:extent cx="4320000" cy="3106199"/>
            <wp:effectExtent l="0" t="0" r="4445" b="0"/>
            <wp:docPr id="15537861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06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1CE120" w14:textId="60F11E96" w:rsidR="00FB2D43" w:rsidRPr="00FB2D43" w:rsidRDefault="00FB2D43" w:rsidP="00FB2D43">
      <w:pPr>
        <w:pStyle w:val="Caption"/>
        <w:jc w:val="center"/>
        <w:rPr>
          <w:color w:val="FF0000"/>
        </w:rPr>
      </w:pPr>
      <w:r w:rsidRPr="00FB2D43">
        <w:rPr>
          <w:color w:val="FF0000"/>
        </w:rPr>
        <w:t xml:space="preserve">Figure </w:t>
      </w:r>
      <w:r w:rsidRPr="00FB2D43">
        <w:rPr>
          <w:color w:val="FF0000"/>
        </w:rPr>
        <w:fldChar w:fldCharType="begin"/>
      </w:r>
      <w:r w:rsidRPr="00FB2D43">
        <w:rPr>
          <w:color w:val="FF0000"/>
        </w:rPr>
        <w:instrText xml:space="preserve"> SEQ Figure \* ARABIC </w:instrText>
      </w:r>
      <w:r w:rsidRPr="00FB2D43">
        <w:rPr>
          <w:color w:val="FF0000"/>
        </w:rPr>
        <w:fldChar w:fldCharType="separate"/>
      </w:r>
      <w:r w:rsidRPr="00FB2D43">
        <w:rPr>
          <w:noProof/>
          <w:color w:val="FF0000"/>
        </w:rPr>
        <w:t>2</w:t>
      </w:r>
      <w:r w:rsidRPr="00FB2D43">
        <w:rPr>
          <w:color w:val="FF0000"/>
        </w:rPr>
        <w:fldChar w:fldCharType="end"/>
      </w:r>
    </w:p>
    <w:p w14:paraId="00923E10" w14:textId="5CEA956C" w:rsidR="00FB2D43" w:rsidRPr="00FB2D43" w:rsidRDefault="00FB2D43" w:rsidP="00FB2D43">
      <w:pPr>
        <w:rPr>
          <w:color w:val="FF0000"/>
        </w:rPr>
      </w:pPr>
      <w:r w:rsidRPr="00FB2D43">
        <w:rPr>
          <w:color w:val="FF0000"/>
        </w:rPr>
        <w:t>Using figure 2, decoupling clearly occurs in 2011</w:t>
      </w:r>
    </w:p>
    <w:p w14:paraId="423283EC" w14:textId="42E905D9" w:rsidR="00D10758" w:rsidRDefault="00DA38F6" w:rsidP="00FB2D43">
      <w:r>
        <w:t xml:space="preserve">Decoupling is concerning because increases in productivity are traditionally seen by economists as one of the main drivers of standards of living </w:t>
      </w:r>
      <w:sdt>
        <w:sdtPr>
          <w:id w:val="96688113"/>
          <w:citation/>
        </w:sdtPr>
        <w:sdtContent>
          <w:r>
            <w:fldChar w:fldCharType="begin"/>
          </w:r>
          <w:r w:rsidR="009E0F0C">
            <w:instrText xml:space="preserve">CITATION Hornbeck2019 \p 1 \l 2057 </w:instrText>
          </w:r>
          <w:r>
            <w:fldChar w:fldCharType="separate"/>
          </w:r>
          <w:r w:rsidR="009E0F0C">
            <w:rPr>
              <w:noProof/>
            </w:rPr>
            <w:t>(Hornbeck2019p. 1)</w:t>
          </w:r>
          <w:r>
            <w:fldChar w:fldCharType="end"/>
          </w:r>
        </w:sdtContent>
      </w:sdt>
      <w:r>
        <w:t xml:space="preserve"> and</w:t>
      </w:r>
      <w:r w:rsidR="00D10758">
        <w:t xml:space="preserve"> because</w:t>
      </w:r>
      <w:r>
        <w:t xml:space="preserve"> many models of economic growth, e.g., Solow’s</w:t>
      </w:r>
      <w:r w:rsidR="00E72411">
        <w:t xml:space="preserve"> (1956) </w:t>
      </w:r>
      <w:r>
        <w:t>economic growth model</w:t>
      </w:r>
      <w:r w:rsidR="00E72411">
        <w:t xml:space="preserve"> or Kaldor’s (1957) set of stylised facts</w:t>
      </w:r>
      <w:r>
        <w:t xml:space="preserve">, derive </w:t>
      </w:r>
      <w:r w:rsidR="008325A3">
        <w:t xml:space="preserve">or </w:t>
      </w:r>
      <w:r w:rsidR="00D10758">
        <w:t xml:space="preserve">assume </w:t>
      </w:r>
      <w:r>
        <w:t>a positive relationship between the average wage and the productivity of labour.</w:t>
      </w:r>
      <w:r w:rsidR="009E0F0C">
        <w:t xml:space="preserve"> </w:t>
      </w:r>
      <w:r w:rsidR="009E0F0C">
        <w:t>Pessoa &amp; Van Reenen</w:t>
      </w:r>
      <w:r w:rsidR="009E0F0C">
        <w:t>’s</w:t>
      </w:r>
      <w:r w:rsidR="009E0F0C">
        <w:t xml:space="preserve"> (2013)</w:t>
      </w:r>
      <w:r w:rsidR="009E0F0C">
        <w:t xml:space="preserve"> distinction between ‘net’ and ‘gross’ decoupling is </w:t>
      </w:r>
      <w:r w:rsidR="00E72411">
        <w:t xml:space="preserve">therefore </w:t>
      </w:r>
      <w:r w:rsidR="009E0F0C">
        <w:t>critical to understand how the decoupling shown in figure 1 relates to mainstream economic theory.</w:t>
      </w:r>
    </w:p>
    <w:p w14:paraId="6AD3E465" w14:textId="7D4C6EFF" w:rsidR="008325A3" w:rsidRDefault="00E72411" w:rsidP="00FD37BE">
      <w:pPr>
        <w:rPr>
          <w:rFonts w:eastAsiaTheme="minorEastAsia"/>
        </w:rPr>
      </w:pPr>
      <w:r>
        <w:t xml:space="preserve">Net decoupling, </w:t>
      </w:r>
      <m:oMath>
        <m:r>
          <w:rPr>
            <w:rFonts w:ascii="Cambria Math" w:hAnsi="Cambria Math"/>
          </w:rPr>
          <m:t>ND</m:t>
        </m:r>
      </m:oMath>
      <w:r>
        <w:rPr>
          <w:rFonts w:eastAsiaTheme="minorEastAsia"/>
        </w:rPr>
        <w:t xml:space="preserve">, </w:t>
      </w:r>
      <w:r w:rsidR="00FD37BE">
        <w:rPr>
          <w:rFonts w:eastAsiaTheme="minorEastAsia"/>
        </w:rPr>
        <w:t xml:space="preserve">is equivalent to a decline in the labour share, and can be measured as </w:t>
      </w:r>
      <w:r w:rsidR="00AA411E">
        <w:rPr>
          <w:rFonts w:eastAsiaTheme="minorEastAsia"/>
        </w:rPr>
        <w:t xml:space="preserve">the difference between labour productivity and </w:t>
      </w:r>
      <w:r w:rsidR="00AA411E" w:rsidRPr="00FD37BE">
        <w:rPr>
          <w:rFonts w:eastAsiaTheme="minorEastAsia"/>
          <w:i/>
          <w:iCs/>
        </w:rPr>
        <w:t>mean compensation</w:t>
      </w:r>
      <w:r w:rsidR="00AA411E">
        <w:rPr>
          <w:rFonts w:eastAsiaTheme="minorEastAsia"/>
        </w:rPr>
        <w:t xml:space="preserve"> where both are adjusted by </w:t>
      </w:r>
      <w:r w:rsidR="00FD37BE">
        <w:rPr>
          <w:rFonts w:eastAsiaTheme="minorEastAsia"/>
        </w:rPr>
        <w:t>an output price deflator</w:t>
      </w:r>
      <w:r w:rsidR="00AA411E">
        <w:rPr>
          <w:rFonts w:eastAsiaTheme="minorEastAsia"/>
        </w:rPr>
        <w:t>;</w:t>
      </w:r>
      <w:r>
        <w:rPr>
          <w:rFonts w:eastAsiaTheme="minorEastAsia"/>
        </w:rPr>
        <w:t xml:space="preserve"> gross decoupling, </w:t>
      </w:r>
      <m:oMath>
        <m:r>
          <w:rPr>
            <w:rFonts w:ascii="Cambria Math" w:eastAsiaTheme="minorEastAsia" w:hAnsi="Cambria Math"/>
          </w:rPr>
          <m:t>GD</m:t>
        </m:r>
      </m:oMath>
      <w:r>
        <w:rPr>
          <w:rFonts w:eastAsiaTheme="minorEastAsia"/>
        </w:rPr>
        <w:t xml:space="preserve">, </w:t>
      </w:r>
      <w:r w:rsidR="00FD37BE">
        <w:rPr>
          <w:rFonts w:eastAsiaTheme="minorEastAsia"/>
        </w:rPr>
        <w:t xml:space="preserve">which is shown in figure 1, </w:t>
      </w:r>
      <w:r>
        <w:rPr>
          <w:rFonts w:eastAsiaTheme="minorEastAsia"/>
        </w:rPr>
        <w:t xml:space="preserve">is </w:t>
      </w:r>
      <w:r w:rsidR="008325A3">
        <w:rPr>
          <w:rFonts w:eastAsiaTheme="minorEastAsia"/>
        </w:rPr>
        <w:t>defined as</w:t>
      </w:r>
      <w:r>
        <w:rPr>
          <w:rFonts w:eastAsiaTheme="minorEastAsia"/>
        </w:rPr>
        <w:t xml:space="preserve"> the difference between </w:t>
      </w:r>
      <w:r w:rsidR="008325A3">
        <w:rPr>
          <w:rFonts w:eastAsiaTheme="minorEastAsia"/>
        </w:rPr>
        <w:t xml:space="preserve">productivity and </w:t>
      </w:r>
      <w:r w:rsidR="008325A3">
        <w:rPr>
          <w:rFonts w:eastAsiaTheme="minorEastAsia"/>
          <w:i/>
          <w:iCs/>
        </w:rPr>
        <w:t>median wages</w:t>
      </w:r>
      <w:r w:rsidR="00AA411E">
        <w:rPr>
          <w:rFonts w:eastAsiaTheme="minorEastAsia"/>
        </w:rPr>
        <w:t xml:space="preserve">, deflated by </w:t>
      </w:r>
      <w:r w:rsidR="00FD37BE">
        <w:rPr>
          <w:rFonts w:eastAsiaTheme="minorEastAsia"/>
        </w:rPr>
        <w:t>an output price and consumer price deflator</w:t>
      </w:r>
      <w:r w:rsidR="00AA411E">
        <w:rPr>
          <w:rFonts w:eastAsiaTheme="minorEastAsia"/>
        </w:rPr>
        <w:t>, respectively</w:t>
      </w:r>
      <w:r w:rsidR="008325A3">
        <w:rPr>
          <w:rFonts w:eastAsiaTheme="minorEastAsia"/>
        </w:rPr>
        <w:t>.</w:t>
      </w:r>
      <w:r w:rsidR="008740A7">
        <w:rPr>
          <w:rFonts w:eastAsiaTheme="minorEastAsia"/>
        </w:rPr>
        <w:t xml:space="preserve"> Consequently, differences between the two measures can be broken down:</w:t>
      </w:r>
    </w:p>
    <w:p w14:paraId="782658B6" w14:textId="1170999F" w:rsidR="008740A7" w:rsidRPr="00D10758" w:rsidRDefault="008740A7" w:rsidP="00FD37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GD-ND=Inequality+Wage wedge+Price Wedge</m:t>
          </m:r>
        </m:oMath>
      </m:oMathPara>
    </w:p>
    <w:p w14:paraId="03BA2A60" w14:textId="44872CF5" w:rsidR="008325A3" w:rsidRDefault="008740A7" w:rsidP="008325A3">
      <w:r>
        <w:t xml:space="preserve">Where </w:t>
      </w:r>
      <m:oMath>
        <m:r>
          <w:rPr>
            <w:rFonts w:ascii="Cambria Math" w:hAnsi="Cambria Math"/>
          </w:rPr>
          <m:t>inequality</m:t>
        </m:r>
      </m:oMath>
      <w:r>
        <w:t xml:space="preserve"> represents differences between mean and median wages, </w:t>
      </w:r>
      <m:oMath>
        <m:r>
          <w:rPr>
            <w:rFonts w:ascii="Cambria Math" w:hAnsi="Cambria Math"/>
          </w:rPr>
          <m:t>wage wedge</m:t>
        </m:r>
      </m:oMath>
      <w:r>
        <w:t xml:space="preserve"> represents differences between wages and total compensation</w:t>
      </w:r>
      <w:r w:rsidR="003C1DFC">
        <w:t xml:space="preserve"> per hour</w:t>
      </w:r>
      <w:r>
        <w:t xml:space="preserve">, and </w:t>
      </w:r>
      <m:oMath>
        <m:r>
          <w:rPr>
            <w:rFonts w:ascii="Cambria Math" w:hAnsi="Cambria Math"/>
          </w:rPr>
          <m:t>price wedge</m:t>
        </m:r>
      </m:oMath>
      <w:r>
        <w:t xml:space="preserve"> represents differences between producer/output and retailer prices.</w:t>
      </w:r>
      <w:r w:rsidR="005B04DF">
        <w:t xml:space="preserve"> </w:t>
      </w:r>
      <w:r w:rsidR="005B04DF" w:rsidRPr="005B04DF">
        <w:rPr>
          <w:color w:val="FF0000"/>
          <w:highlight w:val="yellow"/>
        </w:rPr>
        <w:t>The importance of distinguishing between producer and retailer prices will be explained.</w:t>
      </w:r>
    </w:p>
    <w:p w14:paraId="393F53DA" w14:textId="0A5FDC9C" w:rsidR="005B04DF" w:rsidRDefault="008740A7" w:rsidP="005B04DF">
      <w:r>
        <w:t xml:space="preserve">Evidence of net decoupling would seem to contradict existing economic </w:t>
      </w:r>
      <w:r w:rsidR="003C1DFC">
        <w:t>growth models and assumptions</w:t>
      </w:r>
      <w:r>
        <w:t xml:space="preserve">, </w:t>
      </w:r>
      <w:r w:rsidR="00FB2D43">
        <w:t>while</w:t>
      </w:r>
      <w:r w:rsidR="003C1DFC">
        <w:t xml:space="preserve"> </w:t>
      </w:r>
      <w:r>
        <w:t xml:space="preserve">evidence of gross </w:t>
      </w:r>
      <w:r w:rsidR="003C1DFC">
        <w:t xml:space="preserve">decoupling </w:t>
      </w:r>
      <w:r w:rsidR="002B15F3">
        <w:t xml:space="preserve">would </w:t>
      </w:r>
      <w:r w:rsidR="00213750">
        <w:t xml:space="preserve">not </w:t>
      </w:r>
      <w:r w:rsidR="002B15F3">
        <w:t xml:space="preserve">be </w:t>
      </w:r>
      <w:r w:rsidR="00213750">
        <w:t>so surprising</w:t>
      </w:r>
      <w:r w:rsidR="00CB41C2">
        <w:t xml:space="preserve">. </w:t>
      </w:r>
      <w:r w:rsidR="005B04DF">
        <w:t xml:space="preserve">Inequality has certainly increased since 1997, with real mean wages growing 26.18% while real median wages only grew 22.15%; furthermore, Pessoa &amp; Van Reenen (2013) find strong divergence between wages and </w:t>
      </w:r>
      <w:r w:rsidR="00FB2D43">
        <w:t xml:space="preserve">total </w:t>
      </w:r>
      <w:r w:rsidR="005B04DF">
        <w:t xml:space="preserve">compensation, </w:t>
      </w:r>
      <w:r w:rsidR="00FB2D43">
        <w:t>with</w:t>
      </w:r>
      <w:r w:rsidR="005B04DF">
        <w:t xml:space="preserve"> employers </w:t>
      </w:r>
      <w:r w:rsidR="00FB2D43">
        <w:t xml:space="preserve">gradually </w:t>
      </w:r>
      <w:r w:rsidR="005B04DF">
        <w:t>spend</w:t>
      </w:r>
      <w:r w:rsidR="00FB2D43">
        <w:t>ing</w:t>
      </w:r>
      <w:r w:rsidR="005B04DF">
        <w:t xml:space="preserve"> a higher proportion of labour compensation on </w:t>
      </w:r>
      <w:r w:rsidR="00FB2D43">
        <w:t>non-wage benefits</w:t>
      </w:r>
      <w:r w:rsidR="005B04DF">
        <w:t xml:space="preserve"> such as pension contributions.</w:t>
      </w:r>
    </w:p>
    <w:p w14:paraId="6DFA1EA1" w14:textId="16A2D34E" w:rsidR="00CB41C2" w:rsidRPr="00CB41C2" w:rsidRDefault="00FB2D43" w:rsidP="00CB41C2">
      <w:r>
        <w:t xml:space="preserve">However, even while gross decoupling would not so surprising, it clearly casts doubt on whether increases in productivity can be relied on to increase standards of living. </w:t>
      </w:r>
    </w:p>
    <w:sectPr w:rsidR="00CB41C2" w:rsidRPr="00CB4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7A"/>
    <w:rsid w:val="00013A26"/>
    <w:rsid w:val="0007663F"/>
    <w:rsid w:val="000A00DA"/>
    <w:rsid w:val="00213750"/>
    <w:rsid w:val="00280128"/>
    <w:rsid w:val="002B15F3"/>
    <w:rsid w:val="0035443B"/>
    <w:rsid w:val="0038261C"/>
    <w:rsid w:val="00393519"/>
    <w:rsid w:val="003C1DFC"/>
    <w:rsid w:val="00410277"/>
    <w:rsid w:val="00486EAD"/>
    <w:rsid w:val="00501559"/>
    <w:rsid w:val="00524F7A"/>
    <w:rsid w:val="00537709"/>
    <w:rsid w:val="005B04DF"/>
    <w:rsid w:val="0067035F"/>
    <w:rsid w:val="00692C16"/>
    <w:rsid w:val="006B1993"/>
    <w:rsid w:val="006C004E"/>
    <w:rsid w:val="007E2C35"/>
    <w:rsid w:val="008325A3"/>
    <w:rsid w:val="008740A7"/>
    <w:rsid w:val="008C7C75"/>
    <w:rsid w:val="008D38DB"/>
    <w:rsid w:val="00996643"/>
    <w:rsid w:val="009E0F0C"/>
    <w:rsid w:val="009E17FD"/>
    <w:rsid w:val="00A07AC5"/>
    <w:rsid w:val="00A30639"/>
    <w:rsid w:val="00A61B75"/>
    <w:rsid w:val="00AA411E"/>
    <w:rsid w:val="00AE7863"/>
    <w:rsid w:val="00B053AC"/>
    <w:rsid w:val="00C10962"/>
    <w:rsid w:val="00CB41C2"/>
    <w:rsid w:val="00CB46A8"/>
    <w:rsid w:val="00CC03C3"/>
    <w:rsid w:val="00CC2D31"/>
    <w:rsid w:val="00CC727C"/>
    <w:rsid w:val="00D10758"/>
    <w:rsid w:val="00DA38F6"/>
    <w:rsid w:val="00DE0D32"/>
    <w:rsid w:val="00E34BAC"/>
    <w:rsid w:val="00E538D0"/>
    <w:rsid w:val="00E72411"/>
    <w:rsid w:val="00FB2D43"/>
    <w:rsid w:val="00FD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36E0"/>
  <w15:chartTrackingRefBased/>
  <w15:docId w15:val="{E4AB95DE-81B3-4756-A344-2DDDDBA0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F7A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826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724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Ciarli2021</b:Tag>
    <b:RefOrder>7</b:RefOrder>
  </b:Source>
  <b:Source>
    <b:Tag>Brill2017</b:Tag>
    <b:SourceType>InternetSite</b:SourceType>
    <b:Guid>{15A21AEB-0DEF-42B4-A10E-804715AEB0B3}</b:Guid>
    <b:RefOrder>1</b:RefOrder>
  </b:Source>
  <b:Source xmlns:b="http://schemas.openxmlformats.org/officeDocument/2006/bibliography" xmlns="http://schemas.openxmlformats.org/officeDocument/2006/bibliography">
    <b:Tag>Fleck2011</b:Tag>
    <b:RefOrder>2</b:RefOrder>
  </b:Source>
  <b:Source xmlns:b="http://schemas.openxmlformats.org/officeDocument/2006/bibliography" xmlns="http://schemas.openxmlformats.org/officeDocument/2006/bibliography">
    <b:Tag>VanReenen2013</b:Tag>
    <b:RefOrder>3</b:RefOrder>
  </b:Source>
  <b:Source xmlns:b="http://schemas.openxmlformats.org/officeDocument/2006/bibliography" xmlns="http://schemas.openxmlformats.org/officeDocument/2006/bibliography">
    <b:Tag>Teichgraeber2021</b:Tag>
    <b:RefOrder>4</b:RefOrder>
  </b:Source>
  <b:Source xmlns:b="http://schemas.openxmlformats.org/officeDocument/2006/bibliography" xmlns="http://schemas.openxmlformats.org/officeDocument/2006/bibliography">
    <b:Tag>Hornbeck2019</b:Tag>
    <b:RefOrder>5</b:RefOrder>
  </b:Source>
  <b:Source xmlns:b="http://schemas.openxmlformats.org/officeDocument/2006/bibliography" xmlns="http://schemas.openxmlformats.org/officeDocument/2006/bibliography">
    <b:Tag>Solow1956</b:Tag>
    <b:RefOrder>8</b:RefOrder>
  </b:Source>
  <b:Source xmlns:b="http://schemas.openxmlformats.org/officeDocument/2006/bibliography" xmlns="http://schemas.openxmlformats.org/officeDocument/2006/bibliography">
    <b:Tag>Kaldor1957</b:Tag>
    <b:RefOrder>6</b:RefOrder>
  </b:Source>
</b:Sources>
</file>

<file path=customXml/itemProps1.xml><?xml version="1.0" encoding="utf-8"?>
<ds:datastoreItem xmlns:ds="http://schemas.openxmlformats.org/officeDocument/2006/customXml" ds:itemID="{3794CB55-5487-490F-A656-E10B19416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4</cp:revision>
  <dcterms:created xsi:type="dcterms:W3CDTF">2025-03-03T13:53:00Z</dcterms:created>
  <dcterms:modified xsi:type="dcterms:W3CDTF">2025-03-05T12:01:00Z</dcterms:modified>
</cp:coreProperties>
</file>