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FF3E10" w14:paraId="48DAC47C" w14:textId="77777777" w:rsidTr="009706C9">
        <w:tc>
          <w:tcPr>
            <w:tcW w:w="3125" w:type="dxa"/>
            <w:gridSpan w:val="2"/>
            <w:tcBorders>
              <w:top w:val="nil"/>
              <w:left w:val="nil"/>
              <w:bottom w:val="single" w:sz="4" w:space="0" w:color="auto"/>
              <w:right w:val="nil"/>
            </w:tcBorders>
            <w:vAlign w:val="bottom"/>
          </w:tcPr>
          <w:p w14:paraId="4C5D3EEE" w14:textId="77777777" w:rsidR="00FF3E10" w:rsidRDefault="00FF3E10" w:rsidP="00FF3E10">
            <w:pPr>
              <w:spacing w:line="240" w:lineRule="auto"/>
              <w:rPr>
                <w:rFonts w:ascii="Arial" w:hAnsi="Arial" w:cs="Arial"/>
                <w:b/>
                <w:sz w:val="36"/>
                <w:szCs w:val="36"/>
              </w:rPr>
            </w:pPr>
            <w:r w:rsidRPr="00414B26">
              <w:rPr>
                <w:rFonts w:ascii="Arial" w:hAnsi="Arial" w:cs="Arial"/>
                <w:b/>
                <w:sz w:val="36"/>
                <w:szCs w:val="36"/>
              </w:rPr>
              <w:t xml:space="preserve">Leeds University </w:t>
            </w:r>
          </w:p>
          <w:p w14:paraId="30440774" w14:textId="77777777" w:rsidR="00FF3E10" w:rsidRPr="00414B26" w:rsidRDefault="00FF3E10" w:rsidP="00FF3E10">
            <w:pPr>
              <w:spacing w:line="240" w:lineRule="auto"/>
              <w:rPr>
                <w:rFonts w:ascii="Arial" w:hAnsi="Arial" w:cs="Arial"/>
                <w:b/>
                <w:sz w:val="36"/>
                <w:szCs w:val="36"/>
              </w:rPr>
            </w:pPr>
            <w:r w:rsidRPr="00414B26">
              <w:rPr>
                <w:rFonts w:ascii="Arial" w:hAnsi="Arial" w:cs="Arial"/>
                <w:b/>
                <w:sz w:val="36"/>
                <w:szCs w:val="36"/>
              </w:rPr>
              <w:t>Business School</w:t>
            </w:r>
          </w:p>
        </w:tc>
        <w:tc>
          <w:tcPr>
            <w:tcW w:w="7517" w:type="dxa"/>
            <w:gridSpan w:val="9"/>
            <w:tcBorders>
              <w:top w:val="nil"/>
              <w:left w:val="nil"/>
              <w:bottom w:val="single" w:sz="4" w:space="0" w:color="auto"/>
              <w:right w:val="nil"/>
            </w:tcBorders>
            <w:vAlign w:val="bottom"/>
          </w:tcPr>
          <w:p w14:paraId="3CDEC28F" w14:textId="77777777" w:rsidR="00FF3E10" w:rsidRDefault="00FF3E10" w:rsidP="00FF3E10">
            <w:pPr>
              <w:spacing w:line="240" w:lineRule="auto"/>
              <w:jc w:val="right"/>
            </w:pPr>
            <w:r>
              <w:rPr>
                <w:rFonts w:ascii="Arial" w:hAnsi="Arial" w:cs="Arial"/>
                <w:noProof/>
                <w:sz w:val="36"/>
                <w:szCs w:val="36"/>
              </w:rPr>
              <w:drawing>
                <wp:inline distT="0" distB="0" distL="0" distR="0" wp14:anchorId="13C21104" wp14:editId="0ACE5C2F">
                  <wp:extent cx="2162175" cy="771525"/>
                  <wp:effectExtent l="0" t="0" r="9525" b="9525"/>
                  <wp:docPr id="2" name="Picture 2"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FF3E10" w14:paraId="52121BD8" w14:textId="77777777" w:rsidTr="009706C9">
        <w:tc>
          <w:tcPr>
            <w:tcW w:w="10642" w:type="dxa"/>
            <w:gridSpan w:val="11"/>
            <w:tcBorders>
              <w:top w:val="single" w:sz="4" w:space="0" w:color="auto"/>
              <w:left w:val="nil"/>
              <w:bottom w:val="nil"/>
              <w:right w:val="nil"/>
            </w:tcBorders>
          </w:tcPr>
          <w:p w14:paraId="0BB0AF67" w14:textId="77777777" w:rsidR="00FF3E10" w:rsidRPr="00EE486C" w:rsidRDefault="00FF3E10" w:rsidP="00FF3E10">
            <w:pPr>
              <w:spacing w:line="240" w:lineRule="auto"/>
              <w:rPr>
                <w:rFonts w:ascii="Arial" w:hAnsi="Arial"/>
                <w:sz w:val="28"/>
                <w:szCs w:val="28"/>
              </w:rPr>
            </w:pPr>
          </w:p>
          <w:p w14:paraId="1445BA8B" w14:textId="77777777" w:rsidR="00FF3E10" w:rsidRPr="00EE486C" w:rsidRDefault="00FF3E10" w:rsidP="00FF3E10">
            <w:pPr>
              <w:spacing w:line="240" w:lineRule="auto"/>
              <w:rPr>
                <w:rFonts w:ascii="Arial" w:hAnsi="Arial"/>
                <w:b/>
                <w:sz w:val="52"/>
                <w:szCs w:val="52"/>
              </w:rPr>
            </w:pPr>
            <w:r>
              <w:rPr>
                <w:rFonts w:ascii="Arial" w:hAnsi="Arial"/>
                <w:b/>
                <w:sz w:val="52"/>
                <w:szCs w:val="52"/>
              </w:rPr>
              <w:t>Dissertation/Project</w:t>
            </w:r>
            <w:r w:rsidRPr="00EE486C">
              <w:rPr>
                <w:rFonts w:ascii="Arial" w:hAnsi="Arial"/>
                <w:b/>
                <w:sz w:val="52"/>
                <w:szCs w:val="52"/>
              </w:rPr>
              <w:t xml:space="preserve"> Coversheet</w:t>
            </w:r>
          </w:p>
        </w:tc>
      </w:tr>
      <w:tr w:rsidR="00FF3E10" w14:paraId="25DF1DA5" w14:textId="77777777" w:rsidTr="009706C9">
        <w:trPr>
          <w:trHeight w:val="686"/>
        </w:trPr>
        <w:tc>
          <w:tcPr>
            <w:tcW w:w="10642" w:type="dxa"/>
            <w:gridSpan w:val="11"/>
            <w:tcBorders>
              <w:top w:val="nil"/>
              <w:left w:val="nil"/>
              <w:right w:val="nil"/>
            </w:tcBorders>
          </w:tcPr>
          <w:p w14:paraId="1BC313E6" w14:textId="77777777" w:rsidR="00FF3E10" w:rsidRDefault="00FF3E10" w:rsidP="00FF3E10">
            <w:pPr>
              <w:spacing w:line="240" w:lineRule="auto"/>
            </w:pPr>
          </w:p>
        </w:tc>
      </w:tr>
      <w:tr w:rsidR="00FF3E10" w14:paraId="09A8628F" w14:textId="77777777" w:rsidTr="009706C9">
        <w:trPr>
          <w:trHeight w:val="567"/>
        </w:trPr>
        <w:tc>
          <w:tcPr>
            <w:tcW w:w="2842" w:type="dxa"/>
            <w:vAlign w:val="center"/>
          </w:tcPr>
          <w:p w14:paraId="7B811A87" w14:textId="77777777" w:rsidR="00FF3E10" w:rsidRPr="00237FF3" w:rsidRDefault="00FF3E10" w:rsidP="00FF3E10">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Student ID Number:</w:t>
            </w:r>
          </w:p>
        </w:tc>
        <w:tc>
          <w:tcPr>
            <w:tcW w:w="866" w:type="dxa"/>
            <w:gridSpan w:val="2"/>
            <w:vAlign w:val="center"/>
          </w:tcPr>
          <w:p w14:paraId="22E3BA36" w14:textId="64E7FE9C" w:rsidR="00FF3E10" w:rsidRPr="00D6777C" w:rsidRDefault="00FF3E10" w:rsidP="00FF3E10">
            <w:pPr>
              <w:spacing w:line="240" w:lineRule="auto"/>
              <w:jc w:val="center"/>
              <w:rPr>
                <w:rFonts w:ascii="Arial" w:hAnsi="Arial" w:cs="Arial"/>
              </w:rPr>
            </w:pPr>
            <w:r>
              <w:rPr>
                <w:rFonts w:ascii="Arial" w:hAnsi="Arial" w:cs="Arial"/>
              </w:rPr>
              <w:t>2</w:t>
            </w:r>
          </w:p>
        </w:tc>
        <w:tc>
          <w:tcPr>
            <w:tcW w:w="867" w:type="dxa"/>
            <w:vAlign w:val="center"/>
          </w:tcPr>
          <w:p w14:paraId="156B6530" w14:textId="4506DCAB" w:rsidR="00FF3E10" w:rsidRPr="00D6777C" w:rsidRDefault="00FF3E10" w:rsidP="00FF3E10">
            <w:pPr>
              <w:spacing w:line="240" w:lineRule="auto"/>
              <w:jc w:val="center"/>
              <w:rPr>
                <w:rFonts w:ascii="Arial" w:hAnsi="Arial" w:cs="Arial"/>
              </w:rPr>
            </w:pPr>
            <w:r>
              <w:rPr>
                <w:rFonts w:ascii="Arial" w:hAnsi="Arial" w:cs="Arial"/>
              </w:rPr>
              <w:t>0</w:t>
            </w:r>
          </w:p>
        </w:tc>
        <w:tc>
          <w:tcPr>
            <w:tcW w:w="867" w:type="dxa"/>
            <w:vAlign w:val="center"/>
          </w:tcPr>
          <w:p w14:paraId="5415A56C" w14:textId="334C57E0" w:rsidR="00FF3E10" w:rsidRPr="00D6777C" w:rsidRDefault="00FF3E10" w:rsidP="00FF3E10">
            <w:pPr>
              <w:spacing w:line="240" w:lineRule="auto"/>
              <w:jc w:val="center"/>
              <w:rPr>
                <w:rFonts w:ascii="Arial" w:hAnsi="Arial" w:cs="Arial"/>
              </w:rPr>
            </w:pPr>
            <w:r>
              <w:rPr>
                <w:rFonts w:ascii="Arial" w:hAnsi="Arial" w:cs="Arial"/>
              </w:rPr>
              <w:t>1</w:t>
            </w:r>
          </w:p>
        </w:tc>
        <w:tc>
          <w:tcPr>
            <w:tcW w:w="866" w:type="dxa"/>
            <w:vAlign w:val="center"/>
          </w:tcPr>
          <w:p w14:paraId="5D7808E8" w14:textId="12D3F85B" w:rsidR="00FF3E10" w:rsidRPr="00D6777C" w:rsidRDefault="00FF3E10" w:rsidP="00FF3E10">
            <w:pPr>
              <w:spacing w:line="240" w:lineRule="auto"/>
              <w:jc w:val="center"/>
              <w:rPr>
                <w:rFonts w:ascii="Arial" w:hAnsi="Arial" w:cs="Arial"/>
              </w:rPr>
            </w:pPr>
            <w:r>
              <w:rPr>
                <w:rFonts w:ascii="Arial" w:hAnsi="Arial" w:cs="Arial"/>
              </w:rPr>
              <w:t>5</w:t>
            </w:r>
          </w:p>
        </w:tc>
        <w:tc>
          <w:tcPr>
            <w:tcW w:w="867" w:type="dxa"/>
            <w:vAlign w:val="center"/>
          </w:tcPr>
          <w:p w14:paraId="60FAA2F7" w14:textId="68EB7593" w:rsidR="00FF3E10" w:rsidRPr="00D6777C" w:rsidRDefault="00FF3E10" w:rsidP="00FF3E10">
            <w:pPr>
              <w:spacing w:line="240" w:lineRule="auto"/>
              <w:jc w:val="center"/>
              <w:rPr>
                <w:rFonts w:ascii="Arial" w:hAnsi="Arial" w:cs="Arial"/>
              </w:rPr>
            </w:pPr>
            <w:r>
              <w:rPr>
                <w:rFonts w:ascii="Arial" w:hAnsi="Arial" w:cs="Arial"/>
              </w:rPr>
              <w:t>9</w:t>
            </w:r>
          </w:p>
        </w:tc>
        <w:tc>
          <w:tcPr>
            <w:tcW w:w="867" w:type="dxa"/>
            <w:vAlign w:val="center"/>
          </w:tcPr>
          <w:p w14:paraId="0A4AD326" w14:textId="2C0A8349" w:rsidR="00FF3E10" w:rsidRPr="00D6777C" w:rsidRDefault="00FF3E10" w:rsidP="00FF3E10">
            <w:pPr>
              <w:spacing w:line="240" w:lineRule="auto"/>
              <w:jc w:val="center"/>
              <w:rPr>
                <w:rFonts w:ascii="Arial" w:hAnsi="Arial" w:cs="Arial"/>
              </w:rPr>
            </w:pPr>
            <w:r>
              <w:rPr>
                <w:rFonts w:ascii="Arial" w:hAnsi="Arial" w:cs="Arial"/>
              </w:rPr>
              <w:t>6</w:t>
            </w:r>
          </w:p>
        </w:tc>
        <w:tc>
          <w:tcPr>
            <w:tcW w:w="866" w:type="dxa"/>
            <w:vAlign w:val="center"/>
          </w:tcPr>
          <w:p w14:paraId="7392FE1E" w14:textId="2A5B5D2A" w:rsidR="00FF3E10" w:rsidRPr="00D6777C" w:rsidRDefault="00FF3E10" w:rsidP="00FF3E10">
            <w:pPr>
              <w:spacing w:line="240" w:lineRule="auto"/>
              <w:jc w:val="center"/>
              <w:rPr>
                <w:rFonts w:ascii="Arial" w:hAnsi="Arial" w:cs="Arial"/>
              </w:rPr>
            </w:pPr>
            <w:r>
              <w:rPr>
                <w:rFonts w:ascii="Arial" w:hAnsi="Arial" w:cs="Arial"/>
              </w:rPr>
              <w:t>9</w:t>
            </w:r>
          </w:p>
        </w:tc>
        <w:tc>
          <w:tcPr>
            <w:tcW w:w="867" w:type="dxa"/>
            <w:vAlign w:val="center"/>
          </w:tcPr>
          <w:p w14:paraId="692BB045" w14:textId="0E11DF57" w:rsidR="00FF3E10" w:rsidRPr="00D6777C" w:rsidRDefault="00FF3E10" w:rsidP="00FF3E10">
            <w:pPr>
              <w:spacing w:line="240" w:lineRule="auto"/>
              <w:jc w:val="center"/>
              <w:rPr>
                <w:rFonts w:ascii="Arial" w:hAnsi="Arial" w:cs="Arial"/>
              </w:rPr>
            </w:pPr>
            <w:r>
              <w:rPr>
                <w:rFonts w:ascii="Arial" w:hAnsi="Arial" w:cs="Arial"/>
              </w:rPr>
              <w:t>1</w:t>
            </w:r>
          </w:p>
        </w:tc>
        <w:tc>
          <w:tcPr>
            <w:tcW w:w="867" w:type="dxa"/>
            <w:vAlign w:val="center"/>
          </w:tcPr>
          <w:p w14:paraId="4C162C25" w14:textId="5EB1C03B" w:rsidR="00FF3E10" w:rsidRPr="00D6777C" w:rsidRDefault="00FF3E10" w:rsidP="00FF3E10">
            <w:pPr>
              <w:spacing w:line="240" w:lineRule="auto"/>
              <w:jc w:val="center"/>
              <w:rPr>
                <w:rFonts w:ascii="Arial" w:hAnsi="Arial" w:cs="Arial"/>
              </w:rPr>
            </w:pPr>
            <w:r>
              <w:rPr>
                <w:rFonts w:ascii="Arial" w:hAnsi="Arial" w:cs="Arial"/>
              </w:rPr>
              <w:t>8</w:t>
            </w:r>
          </w:p>
        </w:tc>
      </w:tr>
      <w:tr w:rsidR="00FF3E10" w14:paraId="58E0B574" w14:textId="77777777" w:rsidTr="009706C9">
        <w:trPr>
          <w:trHeight w:val="567"/>
        </w:trPr>
        <w:tc>
          <w:tcPr>
            <w:tcW w:w="2842" w:type="dxa"/>
            <w:vAlign w:val="center"/>
          </w:tcPr>
          <w:p w14:paraId="1BD9B6A2" w14:textId="77777777" w:rsidR="00FF3E10" w:rsidRPr="00237FF3" w:rsidRDefault="00FF3E10" w:rsidP="00FF3E10">
            <w:pPr>
              <w:pStyle w:val="SectionTitle"/>
              <w:framePr w:hSpace="0" w:wrap="auto" w:vAnchor="margin" w:xAlign="left" w:yAlign="inline"/>
              <w:suppressOverlap w:val="0"/>
              <w:jc w:val="left"/>
              <w:rPr>
                <w:rFonts w:ascii="Arial" w:hAnsi="Arial" w:cs="Arial"/>
                <w:color w:val="auto"/>
                <w:szCs w:val="24"/>
              </w:rPr>
            </w:pPr>
            <w:r>
              <w:rPr>
                <w:rFonts w:ascii="Arial" w:hAnsi="Arial" w:cs="Arial"/>
                <w:color w:val="auto"/>
                <w:szCs w:val="24"/>
              </w:rPr>
              <w:t>Student Name</w:t>
            </w:r>
          </w:p>
        </w:tc>
        <w:tc>
          <w:tcPr>
            <w:tcW w:w="7800" w:type="dxa"/>
            <w:gridSpan w:val="10"/>
            <w:vAlign w:val="center"/>
          </w:tcPr>
          <w:p w14:paraId="0A401E8D" w14:textId="6F26BBC1" w:rsidR="00FF3E10" w:rsidRPr="002B29E8" w:rsidRDefault="00FF3E10" w:rsidP="00FF3E10">
            <w:pPr>
              <w:spacing w:line="240" w:lineRule="auto"/>
              <w:rPr>
                <w:rFonts w:ascii="Arial" w:hAnsi="Arial" w:cs="Arial"/>
              </w:rPr>
            </w:pPr>
            <w:r>
              <w:rPr>
                <w:rFonts w:ascii="Arial" w:hAnsi="Arial" w:cs="Arial"/>
              </w:rPr>
              <w:t>201596918</w:t>
            </w:r>
          </w:p>
        </w:tc>
      </w:tr>
      <w:tr w:rsidR="00FF3E10" w14:paraId="0317CAE8" w14:textId="77777777" w:rsidTr="009706C9">
        <w:trPr>
          <w:trHeight w:val="567"/>
        </w:trPr>
        <w:tc>
          <w:tcPr>
            <w:tcW w:w="2842" w:type="dxa"/>
            <w:vAlign w:val="center"/>
          </w:tcPr>
          <w:p w14:paraId="3F9DFFC1" w14:textId="77777777" w:rsidR="00FF3E10" w:rsidRPr="00237FF3" w:rsidRDefault="00FF3E10" w:rsidP="00FF3E10">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Code:</w:t>
            </w:r>
          </w:p>
        </w:tc>
        <w:tc>
          <w:tcPr>
            <w:tcW w:w="7800" w:type="dxa"/>
            <w:gridSpan w:val="10"/>
            <w:vAlign w:val="center"/>
          </w:tcPr>
          <w:p w14:paraId="2B695612" w14:textId="7C00BE40" w:rsidR="00FF3E10" w:rsidRPr="002B29E8" w:rsidRDefault="00FF3E10" w:rsidP="00FF3E10">
            <w:pPr>
              <w:spacing w:line="240" w:lineRule="auto"/>
              <w:rPr>
                <w:rFonts w:ascii="Arial" w:hAnsi="Arial" w:cs="Arial"/>
              </w:rPr>
            </w:pPr>
            <w:r w:rsidRPr="00FF3E10">
              <w:rPr>
                <w:rFonts w:ascii="Arial" w:hAnsi="Arial" w:cs="Arial"/>
              </w:rPr>
              <w:t>LUBS3302</w:t>
            </w:r>
          </w:p>
        </w:tc>
      </w:tr>
      <w:tr w:rsidR="00FF3E10" w14:paraId="6CC93FEA" w14:textId="77777777" w:rsidTr="009706C9">
        <w:trPr>
          <w:trHeight w:val="567"/>
        </w:trPr>
        <w:tc>
          <w:tcPr>
            <w:tcW w:w="2842" w:type="dxa"/>
            <w:vAlign w:val="center"/>
          </w:tcPr>
          <w:p w14:paraId="42CFDC01" w14:textId="77777777" w:rsidR="00FF3E10" w:rsidRPr="00237FF3" w:rsidRDefault="00FF3E10" w:rsidP="00FF3E10">
            <w:pPr>
              <w:pStyle w:val="SectionTitle"/>
              <w:framePr w:hSpace="0" w:wrap="auto" w:vAnchor="margin" w:xAlign="left" w:yAlign="inline"/>
              <w:suppressOverlap w:val="0"/>
              <w:jc w:val="left"/>
              <w:rPr>
                <w:rFonts w:ascii="Arial" w:hAnsi="Arial" w:cs="Arial"/>
                <w:color w:val="auto"/>
                <w:szCs w:val="24"/>
              </w:rPr>
            </w:pPr>
            <w:r>
              <w:rPr>
                <w:rFonts w:ascii="Arial" w:hAnsi="Arial" w:cs="Arial"/>
                <w:color w:val="auto"/>
                <w:szCs w:val="24"/>
              </w:rPr>
              <w:t>Programme of Study</w:t>
            </w:r>
            <w:r w:rsidRPr="00237FF3">
              <w:rPr>
                <w:rFonts w:ascii="Arial" w:hAnsi="Arial" w:cs="Arial"/>
                <w:color w:val="auto"/>
                <w:szCs w:val="24"/>
              </w:rPr>
              <w:t>:</w:t>
            </w:r>
          </w:p>
        </w:tc>
        <w:tc>
          <w:tcPr>
            <w:tcW w:w="7800" w:type="dxa"/>
            <w:gridSpan w:val="10"/>
            <w:vAlign w:val="center"/>
          </w:tcPr>
          <w:p w14:paraId="3B37F546" w14:textId="1A25CBE9" w:rsidR="00FF3E10" w:rsidRPr="002B29E8" w:rsidRDefault="00FF3E10" w:rsidP="00FF3E10">
            <w:pPr>
              <w:spacing w:line="240" w:lineRule="auto"/>
              <w:rPr>
                <w:rFonts w:ascii="Arial" w:hAnsi="Arial" w:cs="Arial"/>
              </w:rPr>
            </w:pPr>
            <w:r w:rsidRPr="00FF3E10">
              <w:rPr>
                <w:rFonts w:ascii="Arial" w:hAnsi="Arial" w:cs="Arial"/>
              </w:rPr>
              <w:t>Economics Joint Honours Final Year Project</w:t>
            </w:r>
          </w:p>
        </w:tc>
      </w:tr>
      <w:tr w:rsidR="00FF3E10" w14:paraId="1011EAFF" w14:textId="77777777" w:rsidTr="009706C9">
        <w:trPr>
          <w:trHeight w:val="567"/>
        </w:trPr>
        <w:tc>
          <w:tcPr>
            <w:tcW w:w="2842" w:type="dxa"/>
            <w:vAlign w:val="center"/>
          </w:tcPr>
          <w:p w14:paraId="7FA5EAC4" w14:textId="77777777" w:rsidR="00FF3E10" w:rsidRPr="00237FF3" w:rsidRDefault="00FF3E10" w:rsidP="00FF3E10">
            <w:pPr>
              <w:pStyle w:val="SectionTitle"/>
              <w:framePr w:hSpace="0" w:wrap="auto" w:vAnchor="margin" w:xAlign="left" w:yAlign="inline"/>
              <w:suppressOverlap w:val="0"/>
              <w:jc w:val="left"/>
              <w:rPr>
                <w:color w:val="auto"/>
              </w:rPr>
            </w:pPr>
            <w:r>
              <w:rPr>
                <w:rFonts w:ascii="Arial" w:hAnsi="Arial" w:cs="Arial"/>
                <w:color w:val="auto"/>
                <w:szCs w:val="24"/>
              </w:rPr>
              <w:t>Supervisor</w:t>
            </w:r>
            <w:r w:rsidRPr="00237FF3">
              <w:rPr>
                <w:rFonts w:ascii="Arial" w:hAnsi="Arial" w:cs="Arial"/>
                <w:color w:val="auto"/>
                <w:szCs w:val="24"/>
              </w:rPr>
              <w:t>:</w:t>
            </w:r>
          </w:p>
        </w:tc>
        <w:tc>
          <w:tcPr>
            <w:tcW w:w="7800" w:type="dxa"/>
            <w:gridSpan w:val="10"/>
            <w:vAlign w:val="center"/>
          </w:tcPr>
          <w:p w14:paraId="1B2C5DA9" w14:textId="27658147" w:rsidR="00FF3E10" w:rsidRPr="002B29E8" w:rsidRDefault="00FF3E10" w:rsidP="00FF3E10">
            <w:pPr>
              <w:spacing w:line="240" w:lineRule="auto"/>
              <w:rPr>
                <w:rFonts w:ascii="Arial" w:hAnsi="Arial" w:cs="Arial"/>
              </w:rPr>
            </w:pPr>
            <w:r>
              <w:rPr>
                <w:rFonts w:ascii="Arial" w:hAnsi="Arial" w:cs="Arial"/>
              </w:rPr>
              <w:t>Michael Reynolds</w:t>
            </w:r>
          </w:p>
        </w:tc>
      </w:tr>
      <w:tr w:rsidR="00FF3E10" w14:paraId="03A2EC5C" w14:textId="77777777" w:rsidTr="009706C9">
        <w:trPr>
          <w:trHeight w:val="567"/>
        </w:trPr>
        <w:tc>
          <w:tcPr>
            <w:tcW w:w="2842" w:type="dxa"/>
            <w:tcBorders>
              <w:bottom w:val="single" w:sz="4" w:space="0" w:color="auto"/>
            </w:tcBorders>
            <w:vAlign w:val="center"/>
          </w:tcPr>
          <w:p w14:paraId="1A7100DF" w14:textId="77777777" w:rsidR="00FF3E10" w:rsidRPr="00416BA2" w:rsidRDefault="00FF3E10" w:rsidP="00FF3E10">
            <w:pPr>
              <w:pStyle w:val="SectionTitle"/>
              <w:framePr w:hSpace="0" w:wrap="auto" w:vAnchor="margin" w:xAlign="left" w:yAlign="inline"/>
              <w:suppressOverlap w:val="0"/>
              <w:jc w:val="left"/>
              <w:rPr>
                <w:rFonts w:ascii="Arial" w:hAnsi="Arial" w:cs="Arial"/>
                <w:color w:val="auto"/>
                <w:szCs w:val="24"/>
              </w:rPr>
            </w:pPr>
            <w:r>
              <w:rPr>
                <w:rFonts w:ascii="Arial" w:hAnsi="Arial" w:cs="Arial"/>
                <w:color w:val="auto"/>
                <w:szCs w:val="24"/>
              </w:rPr>
              <w:t>Title:</w:t>
            </w:r>
          </w:p>
        </w:tc>
        <w:tc>
          <w:tcPr>
            <w:tcW w:w="7800" w:type="dxa"/>
            <w:gridSpan w:val="10"/>
            <w:tcBorders>
              <w:bottom w:val="single" w:sz="4" w:space="0" w:color="auto"/>
            </w:tcBorders>
            <w:vAlign w:val="center"/>
          </w:tcPr>
          <w:p w14:paraId="7C3B2261" w14:textId="7BC5A28E" w:rsidR="00FF3E10" w:rsidRPr="002B29E8" w:rsidRDefault="00FF3E10" w:rsidP="00FF3E10">
            <w:pPr>
              <w:spacing w:line="240" w:lineRule="auto"/>
              <w:rPr>
                <w:rFonts w:ascii="Arial" w:hAnsi="Arial" w:cs="Arial"/>
              </w:rPr>
            </w:pPr>
            <w:r w:rsidRPr="00FF3E10">
              <w:rPr>
                <w:rFonts w:ascii="Arial" w:hAnsi="Arial" w:cs="Arial"/>
              </w:rPr>
              <w:t>Are they still together?</w:t>
            </w:r>
            <w:r>
              <w:rPr>
                <w:rFonts w:ascii="Arial" w:hAnsi="Arial" w:cs="Arial"/>
              </w:rPr>
              <w:t xml:space="preserve"> </w:t>
            </w:r>
            <w:r w:rsidRPr="00FF3E10">
              <w:rPr>
                <w:rFonts w:ascii="Arial" w:hAnsi="Arial" w:cs="Arial"/>
              </w:rPr>
              <w:t>Examining if the relationship between pay and productivity in the UK has transformed in recent decades. </w:t>
            </w:r>
          </w:p>
        </w:tc>
      </w:tr>
      <w:tr w:rsidR="00FF3E10" w14:paraId="513510B8" w14:textId="77777777" w:rsidTr="009706C9">
        <w:trPr>
          <w:trHeight w:val="567"/>
        </w:trPr>
        <w:tc>
          <w:tcPr>
            <w:tcW w:w="2842" w:type="dxa"/>
            <w:tcBorders>
              <w:bottom w:val="single" w:sz="4" w:space="0" w:color="auto"/>
            </w:tcBorders>
            <w:vAlign w:val="center"/>
          </w:tcPr>
          <w:p w14:paraId="1C52487C" w14:textId="77777777" w:rsidR="00FF3E10" w:rsidRPr="00237FF3" w:rsidRDefault="00FF3E10" w:rsidP="00FF3E10">
            <w:pPr>
              <w:pStyle w:val="SectionTitle"/>
              <w:framePr w:hSpace="0" w:wrap="auto" w:vAnchor="margin" w:xAlign="left" w:yAlign="inline"/>
              <w:suppressOverlap w:val="0"/>
              <w:jc w:val="left"/>
              <w:rPr>
                <w:rFonts w:ascii="Arial" w:hAnsi="Arial" w:cs="Arial"/>
                <w:color w:val="auto"/>
                <w:szCs w:val="24"/>
              </w:rPr>
            </w:pPr>
            <w:r w:rsidRPr="00416BA2">
              <w:rPr>
                <w:rFonts w:ascii="Arial" w:hAnsi="Arial" w:cs="Arial"/>
                <w:color w:val="auto"/>
                <w:szCs w:val="24"/>
              </w:rPr>
              <w:t>Declared Word Count:</w:t>
            </w:r>
          </w:p>
        </w:tc>
        <w:tc>
          <w:tcPr>
            <w:tcW w:w="7800" w:type="dxa"/>
            <w:gridSpan w:val="10"/>
            <w:tcBorders>
              <w:bottom w:val="single" w:sz="4" w:space="0" w:color="auto"/>
            </w:tcBorders>
            <w:vAlign w:val="center"/>
          </w:tcPr>
          <w:p w14:paraId="1BB38654" w14:textId="4BC9F642" w:rsidR="00FF3E10" w:rsidRPr="002B29E8" w:rsidRDefault="00FF3E10" w:rsidP="00FF3E10">
            <w:pPr>
              <w:spacing w:line="240" w:lineRule="auto"/>
              <w:rPr>
                <w:rFonts w:ascii="Arial" w:hAnsi="Arial" w:cs="Arial"/>
              </w:rPr>
            </w:pPr>
            <w:r>
              <w:rPr>
                <w:rFonts w:ascii="Arial" w:hAnsi="Arial" w:cs="Arial"/>
              </w:rPr>
              <w:t>5565</w:t>
            </w:r>
          </w:p>
        </w:tc>
      </w:tr>
      <w:tr w:rsidR="00FF3E10" w14:paraId="310E90BE" w14:textId="77777777" w:rsidTr="009706C9">
        <w:trPr>
          <w:trHeight w:val="5148"/>
        </w:trPr>
        <w:tc>
          <w:tcPr>
            <w:tcW w:w="10642" w:type="dxa"/>
            <w:gridSpan w:val="11"/>
            <w:tcBorders>
              <w:left w:val="nil"/>
              <w:right w:val="nil"/>
            </w:tcBorders>
          </w:tcPr>
          <w:p w14:paraId="7BCF3244" w14:textId="77777777" w:rsidR="00FF3E10" w:rsidRDefault="00FF3E10" w:rsidP="00FF3E10">
            <w:pPr>
              <w:pStyle w:val="PartyorEventName"/>
              <w:rPr>
                <w:rFonts w:ascii="Arial" w:hAnsi="Arial" w:cs="Arial"/>
              </w:rPr>
            </w:pPr>
          </w:p>
          <w:p w14:paraId="56C84939" w14:textId="77777777" w:rsidR="00FF3E10" w:rsidRDefault="00FF3E10" w:rsidP="00FF3E10">
            <w:pPr>
              <w:pStyle w:val="PartyorEventName"/>
              <w:rPr>
                <w:rFonts w:ascii="Arial" w:hAnsi="Arial" w:cs="Arial"/>
              </w:rPr>
            </w:pPr>
            <w:r>
              <w:rPr>
                <w:rFonts w:ascii="Arial" w:hAnsi="Arial" w:cs="Arial"/>
              </w:rPr>
              <w:t>Please Note:</w:t>
            </w:r>
          </w:p>
          <w:p w14:paraId="5CADE68C" w14:textId="77777777" w:rsidR="00FF3E10" w:rsidRDefault="00FF3E10" w:rsidP="00FF3E10">
            <w:pPr>
              <w:pStyle w:val="PartyorEventName"/>
              <w:rPr>
                <w:rFonts w:ascii="Arial" w:hAnsi="Arial" w:cs="Arial"/>
              </w:rPr>
            </w:pPr>
          </w:p>
          <w:p w14:paraId="167276B5" w14:textId="77777777" w:rsidR="00FF3E10" w:rsidRDefault="00FF3E10" w:rsidP="00FF3E10">
            <w:pPr>
              <w:pStyle w:val="PartyorEventName"/>
              <w:rPr>
                <w:rFonts w:ascii="Arial" w:hAnsi="Arial" w:cs="Arial"/>
              </w:rPr>
            </w:pPr>
            <w:r w:rsidRPr="00B62DCC">
              <w:rPr>
                <w:rFonts w:ascii="Arial" w:hAnsi="Arial" w:cs="Arial"/>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p>
          <w:p w14:paraId="4040BC2B" w14:textId="77777777" w:rsidR="00FF3E10" w:rsidRPr="00B62DCC" w:rsidRDefault="00FF3E10" w:rsidP="00FF3E10">
            <w:pPr>
              <w:pStyle w:val="PartyorEventName"/>
              <w:rPr>
                <w:rFonts w:ascii="Arial" w:hAnsi="Arial" w:cs="Arial"/>
              </w:rPr>
            </w:pPr>
          </w:p>
          <w:p w14:paraId="0E7FA33A" w14:textId="77777777" w:rsidR="00FF3E10" w:rsidRDefault="00FF3E10" w:rsidP="00FF3E10">
            <w:pPr>
              <w:spacing w:line="240" w:lineRule="auto"/>
              <w:rPr>
                <w:rFonts w:ascii="Arial" w:hAnsi="Arial" w:cs="Arial"/>
              </w:rPr>
            </w:pPr>
            <w:r w:rsidRPr="00B62DCC">
              <w:rPr>
                <w:rFonts w:ascii="Arial" w:hAnsi="Arial" w:cs="Arial"/>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p w14:paraId="51A5A73C" w14:textId="77777777" w:rsidR="00FF3E10" w:rsidRDefault="00FF3E10" w:rsidP="00FF3E10">
            <w:pPr>
              <w:spacing w:line="240" w:lineRule="auto"/>
              <w:rPr>
                <w:rFonts w:ascii="Arial" w:hAnsi="Arial" w:cs="Arial"/>
              </w:rPr>
            </w:pPr>
          </w:p>
          <w:p w14:paraId="5B0D875B" w14:textId="77777777" w:rsidR="00FF3E10" w:rsidRDefault="00FF3E10" w:rsidP="00FF3E10">
            <w:pPr>
              <w:spacing w:line="240" w:lineRule="auto"/>
            </w:pPr>
          </w:p>
        </w:tc>
      </w:tr>
      <w:tr w:rsidR="00FF3E10" w14:paraId="4BA0DD8F" w14:textId="77777777" w:rsidTr="009706C9">
        <w:trPr>
          <w:trHeight w:val="1116"/>
        </w:trPr>
        <w:tc>
          <w:tcPr>
            <w:tcW w:w="10642" w:type="dxa"/>
            <w:gridSpan w:val="11"/>
            <w:shd w:val="clear" w:color="auto" w:fill="BFBFBF" w:themeFill="background1" w:themeFillShade="BF"/>
            <w:vAlign w:val="center"/>
          </w:tcPr>
          <w:p w14:paraId="16D384F8" w14:textId="77777777" w:rsidR="00FF3E10" w:rsidRPr="00D6777C" w:rsidRDefault="00FF3E10" w:rsidP="00FF3E10">
            <w:pPr>
              <w:spacing w:line="240" w:lineRule="auto"/>
              <w:rPr>
                <w:rFonts w:ascii="Arial" w:hAnsi="Arial" w:cs="Arial"/>
                <w:b/>
                <w:u w:val="single"/>
              </w:rPr>
            </w:pPr>
            <w:r w:rsidRPr="00414B26">
              <w:rPr>
                <w:rFonts w:ascii="Arial" w:hAnsi="Arial" w:cs="Arial"/>
              </w:rPr>
              <w:t>By submitting an assignment you confirm you have read and understood the University of Leeds </w:t>
            </w:r>
            <w:hyperlink r:id="rId9" w:tgtFrame="_blank" w:history="1">
              <w:r w:rsidRPr="00414B26">
                <w:rPr>
                  <w:rFonts w:ascii="Arial" w:hAnsi="Arial" w:cs="Arial"/>
                  <w:b/>
                  <w:u w:val="single"/>
                </w:rPr>
                <w:t>Declaration of Academic Integrity</w:t>
              </w:r>
            </w:hyperlink>
            <w:r w:rsidRPr="00414B26">
              <w:rPr>
                <w:rFonts w:ascii="Arial" w:hAnsi="Arial" w:cs="Arial"/>
              </w:rPr>
              <w:t xml:space="preserve"> (</w:t>
            </w:r>
            <w:r w:rsidRPr="00414B26">
              <w:t xml:space="preserve"> </w:t>
            </w:r>
            <w:hyperlink r:id="rId10" w:history="1">
              <w:r w:rsidRPr="00A6112F">
                <w:rPr>
                  <w:rStyle w:val="Hyperlink"/>
                  <w:rFonts w:ascii="Arial" w:hAnsi="Arial" w:cs="Arial"/>
                  <w:color w:val="0070C0"/>
                </w:rPr>
                <w:t>http://www.leeds.ac.uk/secretariat/documents/academic_integrity.pdf</w:t>
              </w:r>
            </w:hyperlink>
            <w:r w:rsidRPr="00414B26">
              <w:rPr>
                <w:rFonts w:ascii="Arial" w:hAnsi="Arial" w:cs="Arial"/>
              </w:rPr>
              <w:t>).</w:t>
            </w:r>
          </w:p>
        </w:tc>
      </w:tr>
    </w:tbl>
    <w:p w14:paraId="75608B04" w14:textId="77777777" w:rsidR="00FF3E10" w:rsidRDefault="00FF3E10" w:rsidP="00FF3E10"/>
    <w:p w14:paraId="641EC04E" w14:textId="27ACB7A8" w:rsidR="00FF3E10" w:rsidRDefault="00FF3E10">
      <w:pPr>
        <w:spacing w:line="259" w:lineRule="auto"/>
        <w:rPr>
          <w:rFonts w:eastAsiaTheme="majorEastAsia"/>
          <w:spacing w:val="-10"/>
          <w:kern w:val="28"/>
          <w:sz w:val="72"/>
          <w:szCs w:val="72"/>
        </w:rPr>
      </w:pPr>
      <w:r>
        <w:rPr>
          <w:sz w:val="72"/>
          <w:szCs w:val="72"/>
        </w:rPr>
        <w:lastRenderedPageBreak/>
        <w:br w:type="page"/>
      </w:r>
    </w:p>
    <w:p w14:paraId="280E6C4B" w14:textId="77777777" w:rsidR="00490ED2" w:rsidRDefault="00490ED2" w:rsidP="00490ED2">
      <w:pPr>
        <w:pStyle w:val="Title"/>
        <w:spacing w:line="480" w:lineRule="auto"/>
        <w:rPr>
          <w:sz w:val="72"/>
          <w:szCs w:val="72"/>
        </w:rPr>
      </w:pPr>
    </w:p>
    <w:p w14:paraId="35FD737A" w14:textId="719B0BC0" w:rsidR="00490ED2" w:rsidRPr="00490ED2" w:rsidRDefault="00490ED2" w:rsidP="00490ED2">
      <w:pPr>
        <w:pStyle w:val="Title"/>
        <w:spacing w:line="480" w:lineRule="auto"/>
        <w:jc w:val="center"/>
        <w:rPr>
          <w:sz w:val="72"/>
          <w:szCs w:val="72"/>
        </w:rPr>
      </w:pPr>
      <w:r w:rsidRPr="00490ED2">
        <w:rPr>
          <w:sz w:val="72"/>
          <w:szCs w:val="72"/>
        </w:rPr>
        <w:t>Are they still together?</w:t>
      </w:r>
    </w:p>
    <w:p w14:paraId="6368BAA9" w14:textId="77777777" w:rsidR="00490ED2" w:rsidRPr="00490ED2" w:rsidRDefault="00490ED2" w:rsidP="00490ED2">
      <w:pPr>
        <w:pStyle w:val="Title"/>
        <w:spacing w:line="480" w:lineRule="auto"/>
        <w:jc w:val="center"/>
        <w:rPr>
          <w:sz w:val="72"/>
          <w:szCs w:val="72"/>
        </w:rPr>
      </w:pPr>
    </w:p>
    <w:p w14:paraId="33FC27DE" w14:textId="3FB99AC6" w:rsidR="00147CE7" w:rsidRPr="00490ED2" w:rsidRDefault="00490ED2" w:rsidP="00490ED2">
      <w:pPr>
        <w:pStyle w:val="Title"/>
        <w:spacing w:line="480" w:lineRule="auto"/>
        <w:jc w:val="center"/>
        <w:rPr>
          <w:sz w:val="72"/>
          <w:szCs w:val="72"/>
        </w:rPr>
      </w:pPr>
      <w:r w:rsidRPr="00490ED2">
        <w:rPr>
          <w:sz w:val="72"/>
          <w:szCs w:val="72"/>
        </w:rPr>
        <w:t xml:space="preserve">Examining </w:t>
      </w:r>
      <w:r w:rsidR="00845140">
        <w:rPr>
          <w:sz w:val="72"/>
          <w:szCs w:val="72"/>
        </w:rPr>
        <w:t>if</w:t>
      </w:r>
      <w:r w:rsidR="005F6AC3" w:rsidRPr="00490ED2">
        <w:rPr>
          <w:sz w:val="72"/>
          <w:szCs w:val="72"/>
        </w:rPr>
        <w:t xml:space="preserve"> the relationship between pay and productivity in the UK</w:t>
      </w:r>
      <w:r w:rsidR="00845140">
        <w:rPr>
          <w:sz w:val="72"/>
          <w:szCs w:val="72"/>
        </w:rPr>
        <w:t xml:space="preserve"> has</w:t>
      </w:r>
      <w:r w:rsidR="005F6AC3" w:rsidRPr="00490ED2">
        <w:rPr>
          <w:sz w:val="72"/>
          <w:szCs w:val="72"/>
        </w:rPr>
        <w:t xml:space="preserve"> transformed in recent decades</w:t>
      </w:r>
      <w:r w:rsidRPr="00490ED2">
        <w:rPr>
          <w:sz w:val="72"/>
          <w:szCs w:val="72"/>
        </w:rPr>
        <w:t>.</w:t>
      </w:r>
      <w:r w:rsidR="00147CE7">
        <w:br w:type="page"/>
      </w:r>
    </w:p>
    <w:sdt>
      <w:sdtPr>
        <w:rPr>
          <w:rFonts w:ascii="Times New Roman" w:hAnsi="Times New Roman" w:cs="Times New Roman"/>
          <w:sz w:val="24"/>
          <w:szCs w:val="24"/>
        </w:rPr>
        <w:id w:val="-924723690"/>
        <w:docPartObj>
          <w:docPartGallery w:val="Table of Contents"/>
          <w:docPartUnique/>
        </w:docPartObj>
      </w:sdtPr>
      <w:sdtEndPr>
        <w:rPr>
          <w:rFonts w:eastAsiaTheme="minorEastAsia"/>
          <w:b/>
          <w:bCs/>
          <w:noProof/>
          <w:color w:val="auto"/>
          <w:kern w:val="2"/>
          <w:sz w:val="20"/>
          <w:szCs w:val="20"/>
          <w:lang w:val="en-GB"/>
          <w14:ligatures w14:val="standardContextual"/>
        </w:rPr>
      </w:sdtEndPr>
      <w:sdtContent>
        <w:p w14:paraId="4B8734EA" w14:textId="58483049" w:rsidR="00147CE7" w:rsidRPr="00CC7177" w:rsidRDefault="00147CE7" w:rsidP="00CC7177">
          <w:pPr>
            <w:pStyle w:val="TOCHeading"/>
            <w:spacing w:line="276" w:lineRule="auto"/>
            <w:jc w:val="both"/>
            <w:rPr>
              <w:rFonts w:ascii="Times New Roman" w:hAnsi="Times New Roman" w:cs="Times New Roman"/>
              <w:color w:val="auto"/>
              <w:sz w:val="24"/>
              <w:szCs w:val="24"/>
            </w:rPr>
          </w:pPr>
          <w:r w:rsidRPr="00CC7177">
            <w:rPr>
              <w:rFonts w:ascii="Times New Roman" w:hAnsi="Times New Roman" w:cs="Times New Roman"/>
              <w:color w:val="auto"/>
              <w:sz w:val="24"/>
              <w:szCs w:val="24"/>
            </w:rPr>
            <w:t>Contents</w:t>
          </w:r>
        </w:p>
        <w:p w14:paraId="70E07BEF" w14:textId="706EDDD3" w:rsidR="00D61DFE" w:rsidRPr="00CC7177" w:rsidRDefault="00147CE7" w:rsidP="00CC7177">
          <w:pPr>
            <w:pStyle w:val="TOC1"/>
            <w:tabs>
              <w:tab w:val="right" w:leader="dot" w:pos="9016"/>
            </w:tabs>
            <w:spacing w:line="276" w:lineRule="auto"/>
            <w:rPr>
              <w:rFonts w:asciiTheme="minorHAnsi" w:hAnsiTheme="minorHAnsi" w:cstheme="minorBidi"/>
              <w:noProof/>
              <w:sz w:val="20"/>
              <w:szCs w:val="20"/>
              <w:lang w:eastAsia="en-GB"/>
            </w:rPr>
          </w:pPr>
          <w:r w:rsidRPr="00CC7177">
            <w:rPr>
              <w:sz w:val="20"/>
              <w:szCs w:val="20"/>
            </w:rPr>
            <w:fldChar w:fldCharType="begin"/>
          </w:r>
          <w:r w:rsidRPr="00CC7177">
            <w:rPr>
              <w:sz w:val="20"/>
              <w:szCs w:val="20"/>
            </w:rPr>
            <w:instrText xml:space="preserve"> TOC \o "1-3" \h \z \u </w:instrText>
          </w:r>
          <w:r w:rsidRPr="00CC7177">
            <w:rPr>
              <w:sz w:val="20"/>
              <w:szCs w:val="20"/>
            </w:rPr>
            <w:fldChar w:fldCharType="separate"/>
          </w:r>
          <w:hyperlink w:anchor="_Toc198794463" w:history="1">
            <w:r w:rsidR="00D61DFE" w:rsidRPr="00CC7177">
              <w:rPr>
                <w:rStyle w:val="Hyperlink"/>
                <w:noProof/>
                <w:sz w:val="20"/>
                <w:szCs w:val="20"/>
              </w:rPr>
              <w:t>Chapter 1: Intro</w:t>
            </w:r>
            <w:r w:rsidR="00D61DFE" w:rsidRPr="00CC7177">
              <w:rPr>
                <w:rStyle w:val="Hyperlink"/>
                <w:noProof/>
                <w:sz w:val="20"/>
                <w:szCs w:val="20"/>
              </w:rPr>
              <w:t>d</w:t>
            </w:r>
            <w:r w:rsidR="00D61DFE" w:rsidRPr="00CC7177">
              <w:rPr>
                <w:rStyle w:val="Hyperlink"/>
                <w:noProof/>
                <w:sz w:val="20"/>
                <w:szCs w:val="20"/>
              </w:rPr>
              <w:t>uction</w:t>
            </w:r>
            <w:r w:rsidR="00D61DFE" w:rsidRPr="00CC7177">
              <w:rPr>
                <w:noProof/>
                <w:webHidden/>
                <w:sz w:val="20"/>
                <w:szCs w:val="20"/>
              </w:rPr>
              <w:tab/>
            </w:r>
            <w:r w:rsidR="00D61DFE" w:rsidRPr="00CC7177">
              <w:rPr>
                <w:noProof/>
                <w:webHidden/>
                <w:sz w:val="20"/>
                <w:szCs w:val="20"/>
              </w:rPr>
              <w:fldChar w:fldCharType="begin"/>
            </w:r>
            <w:r w:rsidR="00D61DFE" w:rsidRPr="00CC7177">
              <w:rPr>
                <w:noProof/>
                <w:webHidden/>
                <w:sz w:val="20"/>
                <w:szCs w:val="20"/>
              </w:rPr>
              <w:instrText xml:space="preserve"> PAGEREF _Toc198794463 \h </w:instrText>
            </w:r>
            <w:r w:rsidR="00D61DFE" w:rsidRPr="00CC7177">
              <w:rPr>
                <w:noProof/>
                <w:webHidden/>
                <w:sz w:val="20"/>
                <w:szCs w:val="20"/>
              </w:rPr>
            </w:r>
            <w:r w:rsidR="00D61DFE" w:rsidRPr="00CC7177">
              <w:rPr>
                <w:noProof/>
                <w:webHidden/>
                <w:sz w:val="20"/>
                <w:szCs w:val="20"/>
              </w:rPr>
              <w:fldChar w:fldCharType="separate"/>
            </w:r>
            <w:r w:rsidR="000F7084">
              <w:rPr>
                <w:noProof/>
                <w:webHidden/>
                <w:sz w:val="20"/>
                <w:szCs w:val="20"/>
              </w:rPr>
              <w:t>5</w:t>
            </w:r>
            <w:r w:rsidR="00D61DFE" w:rsidRPr="00CC7177">
              <w:rPr>
                <w:noProof/>
                <w:webHidden/>
                <w:sz w:val="20"/>
                <w:szCs w:val="20"/>
              </w:rPr>
              <w:fldChar w:fldCharType="end"/>
            </w:r>
          </w:hyperlink>
        </w:p>
        <w:p w14:paraId="6EFF614E" w14:textId="3E31ECF4" w:rsidR="00D61DFE" w:rsidRPr="00CC7177" w:rsidRDefault="00D61DFE" w:rsidP="00CC7177">
          <w:pPr>
            <w:pStyle w:val="TOC1"/>
            <w:tabs>
              <w:tab w:val="right" w:leader="dot" w:pos="9016"/>
            </w:tabs>
            <w:spacing w:line="276" w:lineRule="auto"/>
            <w:rPr>
              <w:rFonts w:asciiTheme="minorHAnsi" w:hAnsiTheme="minorHAnsi" w:cstheme="minorBidi"/>
              <w:noProof/>
              <w:sz w:val="20"/>
              <w:szCs w:val="20"/>
              <w:lang w:eastAsia="en-GB"/>
            </w:rPr>
          </w:pPr>
          <w:hyperlink w:anchor="_Toc198794464" w:history="1">
            <w:r w:rsidRPr="00CC7177">
              <w:rPr>
                <w:rStyle w:val="Hyperlink"/>
                <w:noProof/>
                <w:sz w:val="20"/>
                <w:szCs w:val="20"/>
              </w:rPr>
              <w:t>Chapter 2: Previous Literature</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_Toc198794464 \h </w:instrText>
            </w:r>
            <w:r w:rsidRPr="00CC7177">
              <w:rPr>
                <w:noProof/>
                <w:webHidden/>
                <w:sz w:val="20"/>
                <w:szCs w:val="20"/>
              </w:rPr>
            </w:r>
            <w:r w:rsidRPr="00CC7177">
              <w:rPr>
                <w:noProof/>
                <w:webHidden/>
                <w:sz w:val="20"/>
                <w:szCs w:val="20"/>
              </w:rPr>
              <w:fldChar w:fldCharType="separate"/>
            </w:r>
            <w:r w:rsidR="000F7084">
              <w:rPr>
                <w:noProof/>
                <w:webHidden/>
                <w:sz w:val="20"/>
                <w:szCs w:val="20"/>
              </w:rPr>
              <w:t>11</w:t>
            </w:r>
            <w:r w:rsidRPr="00CC7177">
              <w:rPr>
                <w:noProof/>
                <w:webHidden/>
                <w:sz w:val="20"/>
                <w:szCs w:val="20"/>
              </w:rPr>
              <w:fldChar w:fldCharType="end"/>
            </w:r>
          </w:hyperlink>
        </w:p>
        <w:p w14:paraId="5644D350" w14:textId="14AAA077"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65" w:history="1">
            <w:r w:rsidRPr="00CC7177">
              <w:rPr>
                <w:rStyle w:val="Hyperlink"/>
                <w:noProof/>
                <w:sz w:val="20"/>
                <w:szCs w:val="20"/>
              </w:rPr>
              <w:t>Section 2.1: Decomposition Analyses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_Toc198794465 \h </w:instrText>
            </w:r>
            <w:r w:rsidRPr="00CC7177">
              <w:rPr>
                <w:noProof/>
                <w:webHidden/>
                <w:sz w:val="20"/>
                <w:szCs w:val="20"/>
              </w:rPr>
            </w:r>
            <w:r w:rsidRPr="00CC7177">
              <w:rPr>
                <w:noProof/>
                <w:webHidden/>
                <w:sz w:val="20"/>
                <w:szCs w:val="20"/>
              </w:rPr>
              <w:fldChar w:fldCharType="separate"/>
            </w:r>
            <w:r w:rsidR="000F7084">
              <w:rPr>
                <w:noProof/>
                <w:webHidden/>
                <w:sz w:val="20"/>
                <w:szCs w:val="20"/>
              </w:rPr>
              <w:t>11</w:t>
            </w:r>
            <w:r w:rsidRPr="00CC7177">
              <w:rPr>
                <w:noProof/>
                <w:webHidden/>
                <w:sz w:val="20"/>
                <w:szCs w:val="20"/>
              </w:rPr>
              <w:fldChar w:fldCharType="end"/>
            </w:r>
          </w:hyperlink>
        </w:p>
        <w:p w14:paraId="296B8625" w14:textId="0FAF379E"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66" w:history="1">
            <w:r w:rsidRPr="00CC7177">
              <w:rPr>
                <w:rStyle w:val="Hyperlink"/>
                <w:noProof/>
                <w:sz w:val="20"/>
                <w:szCs w:val="20"/>
              </w:rPr>
              <w:t>Section 2.2: Evidence of Productivity-pay Decorrelation</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_Toc198794466 \h </w:instrText>
            </w:r>
            <w:r w:rsidRPr="00CC7177">
              <w:rPr>
                <w:noProof/>
                <w:webHidden/>
                <w:sz w:val="20"/>
                <w:szCs w:val="20"/>
              </w:rPr>
            </w:r>
            <w:r w:rsidRPr="00CC7177">
              <w:rPr>
                <w:noProof/>
                <w:webHidden/>
                <w:sz w:val="20"/>
                <w:szCs w:val="20"/>
              </w:rPr>
              <w:fldChar w:fldCharType="separate"/>
            </w:r>
            <w:r w:rsidR="000F7084">
              <w:rPr>
                <w:noProof/>
                <w:webHidden/>
                <w:sz w:val="20"/>
                <w:szCs w:val="20"/>
              </w:rPr>
              <w:t>13</w:t>
            </w:r>
            <w:r w:rsidRPr="00CC7177">
              <w:rPr>
                <w:noProof/>
                <w:webHidden/>
                <w:sz w:val="20"/>
                <w:szCs w:val="20"/>
              </w:rPr>
              <w:fldChar w:fldCharType="end"/>
            </w:r>
          </w:hyperlink>
        </w:p>
        <w:p w14:paraId="1D060A5E" w14:textId="159B51FA"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67" w:history="1">
            <w:r w:rsidRPr="00CC7177">
              <w:rPr>
                <w:rStyle w:val="Hyperlink"/>
                <w:noProof/>
                <w:sz w:val="20"/>
                <w:szCs w:val="20"/>
              </w:rPr>
              <w:t>Section 2.3: Evidence of Productivity-pay Correlation</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_Toc198794467 \h </w:instrText>
            </w:r>
            <w:r w:rsidRPr="00CC7177">
              <w:rPr>
                <w:noProof/>
                <w:webHidden/>
                <w:sz w:val="20"/>
                <w:szCs w:val="20"/>
              </w:rPr>
            </w:r>
            <w:r w:rsidRPr="00CC7177">
              <w:rPr>
                <w:noProof/>
                <w:webHidden/>
                <w:sz w:val="20"/>
                <w:szCs w:val="20"/>
              </w:rPr>
              <w:fldChar w:fldCharType="separate"/>
            </w:r>
            <w:r w:rsidR="000F7084">
              <w:rPr>
                <w:noProof/>
                <w:webHidden/>
                <w:sz w:val="20"/>
                <w:szCs w:val="20"/>
              </w:rPr>
              <w:t>14</w:t>
            </w:r>
            <w:r w:rsidRPr="00CC7177">
              <w:rPr>
                <w:noProof/>
                <w:webHidden/>
                <w:sz w:val="20"/>
                <w:szCs w:val="20"/>
              </w:rPr>
              <w:fldChar w:fldCharType="end"/>
            </w:r>
          </w:hyperlink>
        </w:p>
        <w:p w14:paraId="0BC87239" w14:textId="014CB944"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68" w:history="1">
            <w:r w:rsidRPr="00CC7177">
              <w:rPr>
                <w:rStyle w:val="Hyperlink"/>
                <w:noProof/>
                <w:sz w:val="20"/>
                <w:szCs w:val="20"/>
              </w:rPr>
              <w:t>Section 2.4: Non-UK Productivity-pay Analyses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_Toc198794468 \h </w:instrText>
            </w:r>
            <w:r w:rsidRPr="00CC7177">
              <w:rPr>
                <w:noProof/>
                <w:webHidden/>
                <w:sz w:val="20"/>
                <w:szCs w:val="20"/>
              </w:rPr>
            </w:r>
            <w:r w:rsidRPr="00CC7177">
              <w:rPr>
                <w:noProof/>
                <w:webHidden/>
                <w:sz w:val="20"/>
                <w:szCs w:val="20"/>
              </w:rPr>
              <w:fldChar w:fldCharType="separate"/>
            </w:r>
            <w:r w:rsidR="000F7084">
              <w:rPr>
                <w:noProof/>
                <w:webHidden/>
                <w:sz w:val="20"/>
                <w:szCs w:val="20"/>
              </w:rPr>
              <w:t>16</w:t>
            </w:r>
            <w:r w:rsidRPr="00CC7177">
              <w:rPr>
                <w:noProof/>
                <w:webHidden/>
                <w:sz w:val="20"/>
                <w:szCs w:val="20"/>
              </w:rPr>
              <w:fldChar w:fldCharType="end"/>
            </w:r>
          </w:hyperlink>
        </w:p>
        <w:p w14:paraId="23D29F6B" w14:textId="084B6B2E" w:rsidR="00D61DFE" w:rsidRPr="00CC7177" w:rsidRDefault="00D61DFE" w:rsidP="00CC7177">
          <w:pPr>
            <w:pStyle w:val="TOC1"/>
            <w:tabs>
              <w:tab w:val="right" w:leader="dot" w:pos="9016"/>
            </w:tabs>
            <w:spacing w:line="276" w:lineRule="auto"/>
            <w:rPr>
              <w:rFonts w:asciiTheme="minorHAnsi" w:hAnsiTheme="minorHAnsi" w:cstheme="minorBidi"/>
              <w:noProof/>
              <w:sz w:val="20"/>
              <w:szCs w:val="20"/>
              <w:lang w:eastAsia="en-GB"/>
            </w:rPr>
          </w:pPr>
          <w:hyperlink w:anchor="_Toc198794469" w:history="1">
            <w:r w:rsidRPr="00CC7177">
              <w:rPr>
                <w:rStyle w:val="Hyperlink"/>
                <w:noProof/>
                <w:sz w:val="20"/>
                <w:szCs w:val="20"/>
              </w:rPr>
              <w:t>Chapter 3: Empirical Strategy</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_Toc198794469 \h </w:instrText>
            </w:r>
            <w:r w:rsidRPr="00CC7177">
              <w:rPr>
                <w:noProof/>
                <w:webHidden/>
                <w:sz w:val="20"/>
                <w:szCs w:val="20"/>
              </w:rPr>
            </w:r>
            <w:r w:rsidRPr="00CC7177">
              <w:rPr>
                <w:noProof/>
                <w:webHidden/>
                <w:sz w:val="20"/>
                <w:szCs w:val="20"/>
              </w:rPr>
              <w:fldChar w:fldCharType="separate"/>
            </w:r>
            <w:r w:rsidR="000F7084">
              <w:rPr>
                <w:noProof/>
                <w:webHidden/>
                <w:sz w:val="20"/>
                <w:szCs w:val="20"/>
              </w:rPr>
              <w:t>17</w:t>
            </w:r>
            <w:r w:rsidRPr="00CC7177">
              <w:rPr>
                <w:noProof/>
                <w:webHidden/>
                <w:sz w:val="20"/>
                <w:szCs w:val="20"/>
              </w:rPr>
              <w:fldChar w:fldCharType="end"/>
            </w:r>
          </w:hyperlink>
        </w:p>
        <w:p w14:paraId="623A93E0" w14:textId="5D6E9B56"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70" w:history="1">
            <w:r w:rsidRPr="00CC7177">
              <w:rPr>
                <w:rStyle w:val="Hyperlink"/>
                <w:noProof/>
                <w:sz w:val="20"/>
                <w:szCs w:val="20"/>
              </w:rPr>
              <w:t>Section 3.1: Baseline Specification</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_Toc198794470 \h </w:instrText>
            </w:r>
            <w:r w:rsidRPr="00CC7177">
              <w:rPr>
                <w:noProof/>
                <w:webHidden/>
                <w:sz w:val="20"/>
                <w:szCs w:val="20"/>
              </w:rPr>
            </w:r>
            <w:r w:rsidRPr="00CC7177">
              <w:rPr>
                <w:noProof/>
                <w:webHidden/>
                <w:sz w:val="20"/>
                <w:szCs w:val="20"/>
              </w:rPr>
              <w:fldChar w:fldCharType="separate"/>
            </w:r>
            <w:r w:rsidR="000F7084">
              <w:rPr>
                <w:noProof/>
                <w:webHidden/>
                <w:sz w:val="20"/>
                <w:szCs w:val="20"/>
              </w:rPr>
              <w:t>17</w:t>
            </w:r>
            <w:r w:rsidRPr="00CC7177">
              <w:rPr>
                <w:noProof/>
                <w:webHidden/>
                <w:sz w:val="20"/>
                <w:szCs w:val="20"/>
              </w:rPr>
              <w:fldChar w:fldCharType="end"/>
            </w:r>
          </w:hyperlink>
        </w:p>
        <w:p w14:paraId="7C47E791" w14:textId="704541B6"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71" w:history="1">
            <w:r w:rsidRPr="00CC7177">
              <w:rPr>
                <w:rStyle w:val="Hyperlink"/>
                <w:noProof/>
                <w:sz w:val="20"/>
                <w:szCs w:val="20"/>
              </w:rPr>
              <w:t>Section 3.2: Alternative Specifications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_Toc198794471 \h </w:instrText>
            </w:r>
            <w:r w:rsidRPr="00CC7177">
              <w:rPr>
                <w:noProof/>
                <w:webHidden/>
                <w:sz w:val="20"/>
                <w:szCs w:val="20"/>
              </w:rPr>
            </w:r>
            <w:r w:rsidRPr="00CC7177">
              <w:rPr>
                <w:noProof/>
                <w:webHidden/>
                <w:sz w:val="20"/>
                <w:szCs w:val="20"/>
              </w:rPr>
              <w:fldChar w:fldCharType="separate"/>
            </w:r>
            <w:r w:rsidR="000F7084">
              <w:rPr>
                <w:noProof/>
                <w:webHidden/>
                <w:sz w:val="20"/>
                <w:szCs w:val="20"/>
              </w:rPr>
              <w:t>18</w:t>
            </w:r>
            <w:r w:rsidRPr="00CC7177">
              <w:rPr>
                <w:noProof/>
                <w:webHidden/>
                <w:sz w:val="20"/>
                <w:szCs w:val="20"/>
              </w:rPr>
              <w:fldChar w:fldCharType="end"/>
            </w:r>
          </w:hyperlink>
        </w:p>
        <w:p w14:paraId="6D8B94CB" w14:textId="35EF3B67" w:rsidR="00D61DFE" w:rsidRPr="00CC7177" w:rsidRDefault="00D61DFE" w:rsidP="00CC7177">
          <w:pPr>
            <w:pStyle w:val="TOC1"/>
            <w:tabs>
              <w:tab w:val="right" w:leader="dot" w:pos="9016"/>
            </w:tabs>
            <w:spacing w:line="276" w:lineRule="auto"/>
            <w:rPr>
              <w:rFonts w:asciiTheme="minorHAnsi" w:hAnsiTheme="minorHAnsi" w:cstheme="minorBidi"/>
              <w:noProof/>
              <w:sz w:val="20"/>
              <w:szCs w:val="20"/>
              <w:lang w:eastAsia="en-GB"/>
            </w:rPr>
          </w:pPr>
          <w:hyperlink w:anchor="_Toc198794472" w:history="1">
            <w:r w:rsidRPr="00CC7177">
              <w:rPr>
                <w:rStyle w:val="Hyperlink"/>
                <w:noProof/>
                <w:sz w:val="20"/>
                <w:szCs w:val="20"/>
              </w:rPr>
              <w:t>Chapter 4: Data</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_Toc198794472 \h </w:instrText>
            </w:r>
            <w:r w:rsidRPr="00CC7177">
              <w:rPr>
                <w:noProof/>
                <w:webHidden/>
                <w:sz w:val="20"/>
                <w:szCs w:val="20"/>
              </w:rPr>
            </w:r>
            <w:r w:rsidRPr="00CC7177">
              <w:rPr>
                <w:noProof/>
                <w:webHidden/>
                <w:sz w:val="20"/>
                <w:szCs w:val="20"/>
              </w:rPr>
              <w:fldChar w:fldCharType="separate"/>
            </w:r>
            <w:r w:rsidR="000F7084">
              <w:rPr>
                <w:noProof/>
                <w:webHidden/>
                <w:sz w:val="20"/>
                <w:szCs w:val="20"/>
              </w:rPr>
              <w:t>19</w:t>
            </w:r>
            <w:r w:rsidRPr="00CC7177">
              <w:rPr>
                <w:noProof/>
                <w:webHidden/>
                <w:sz w:val="20"/>
                <w:szCs w:val="20"/>
              </w:rPr>
              <w:fldChar w:fldCharType="end"/>
            </w:r>
          </w:hyperlink>
        </w:p>
        <w:p w14:paraId="1ED817F9" w14:textId="24412605"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73" w:history="1">
            <w:r w:rsidRPr="00CC7177">
              <w:rPr>
                <w:rStyle w:val="Hyperlink"/>
                <w:noProof/>
                <w:sz w:val="20"/>
                <w:szCs w:val="20"/>
              </w:rPr>
              <w:t>Section 4.1: Summary Tables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_Toc198794473 \h </w:instrText>
            </w:r>
            <w:r w:rsidRPr="00CC7177">
              <w:rPr>
                <w:noProof/>
                <w:webHidden/>
                <w:sz w:val="20"/>
                <w:szCs w:val="20"/>
              </w:rPr>
            </w:r>
            <w:r w:rsidRPr="00CC7177">
              <w:rPr>
                <w:noProof/>
                <w:webHidden/>
                <w:sz w:val="20"/>
                <w:szCs w:val="20"/>
              </w:rPr>
              <w:fldChar w:fldCharType="separate"/>
            </w:r>
            <w:r w:rsidR="000F7084">
              <w:rPr>
                <w:noProof/>
                <w:webHidden/>
                <w:sz w:val="20"/>
                <w:szCs w:val="20"/>
              </w:rPr>
              <w:t>20</w:t>
            </w:r>
            <w:r w:rsidRPr="00CC7177">
              <w:rPr>
                <w:noProof/>
                <w:webHidden/>
                <w:sz w:val="20"/>
                <w:szCs w:val="20"/>
              </w:rPr>
              <w:fldChar w:fldCharType="end"/>
            </w:r>
          </w:hyperlink>
        </w:p>
        <w:p w14:paraId="631C7868" w14:textId="5BFEE0DA" w:rsidR="00D61DFE" w:rsidRPr="00CC7177" w:rsidRDefault="00D61DFE" w:rsidP="00CC7177">
          <w:pPr>
            <w:pStyle w:val="TOC1"/>
            <w:tabs>
              <w:tab w:val="right" w:leader="dot" w:pos="9016"/>
            </w:tabs>
            <w:spacing w:line="276" w:lineRule="auto"/>
            <w:rPr>
              <w:rFonts w:asciiTheme="minorHAnsi" w:hAnsiTheme="minorHAnsi" w:cstheme="minorBidi"/>
              <w:noProof/>
              <w:sz w:val="20"/>
              <w:szCs w:val="20"/>
              <w:lang w:eastAsia="en-GB"/>
            </w:rPr>
          </w:pPr>
          <w:hyperlink w:anchor="_Toc198794474" w:history="1">
            <w:r w:rsidRPr="00CC7177">
              <w:rPr>
                <w:rStyle w:val="Hyperlink"/>
                <w:noProof/>
                <w:sz w:val="20"/>
                <w:szCs w:val="20"/>
              </w:rPr>
              <w:t>Chapter 5: Data Analysis and Discussion</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_Toc198794474 \h </w:instrText>
            </w:r>
            <w:r w:rsidRPr="00CC7177">
              <w:rPr>
                <w:noProof/>
                <w:webHidden/>
                <w:sz w:val="20"/>
                <w:szCs w:val="20"/>
              </w:rPr>
            </w:r>
            <w:r w:rsidRPr="00CC7177">
              <w:rPr>
                <w:noProof/>
                <w:webHidden/>
                <w:sz w:val="20"/>
                <w:szCs w:val="20"/>
              </w:rPr>
              <w:fldChar w:fldCharType="separate"/>
            </w:r>
            <w:r w:rsidR="000F7084">
              <w:rPr>
                <w:noProof/>
                <w:webHidden/>
                <w:sz w:val="20"/>
                <w:szCs w:val="20"/>
              </w:rPr>
              <w:t>22</w:t>
            </w:r>
            <w:r w:rsidRPr="00CC7177">
              <w:rPr>
                <w:noProof/>
                <w:webHidden/>
                <w:sz w:val="20"/>
                <w:szCs w:val="20"/>
              </w:rPr>
              <w:fldChar w:fldCharType="end"/>
            </w:r>
          </w:hyperlink>
        </w:p>
        <w:p w14:paraId="56441C86" w14:textId="44154D75"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75" w:history="1">
            <w:r w:rsidRPr="00CC7177">
              <w:rPr>
                <w:rStyle w:val="Hyperlink"/>
                <w:noProof/>
                <w:sz w:val="20"/>
                <w:szCs w:val="20"/>
              </w:rPr>
              <w:t>Section 5.1: Results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_Toc198794475 \h </w:instrText>
            </w:r>
            <w:r w:rsidRPr="00CC7177">
              <w:rPr>
                <w:noProof/>
                <w:webHidden/>
                <w:sz w:val="20"/>
                <w:szCs w:val="20"/>
              </w:rPr>
            </w:r>
            <w:r w:rsidRPr="00CC7177">
              <w:rPr>
                <w:noProof/>
                <w:webHidden/>
                <w:sz w:val="20"/>
                <w:szCs w:val="20"/>
              </w:rPr>
              <w:fldChar w:fldCharType="separate"/>
            </w:r>
            <w:r w:rsidR="000F7084">
              <w:rPr>
                <w:noProof/>
                <w:webHidden/>
                <w:sz w:val="20"/>
                <w:szCs w:val="20"/>
              </w:rPr>
              <w:t>22</w:t>
            </w:r>
            <w:r w:rsidRPr="00CC7177">
              <w:rPr>
                <w:noProof/>
                <w:webHidden/>
                <w:sz w:val="20"/>
                <w:szCs w:val="20"/>
              </w:rPr>
              <w:fldChar w:fldCharType="end"/>
            </w:r>
          </w:hyperlink>
        </w:p>
        <w:p w14:paraId="0E072C5B" w14:textId="1902D37D" w:rsidR="00D61DFE" w:rsidRPr="00CC7177" w:rsidRDefault="00D61DFE" w:rsidP="00CC7177">
          <w:pPr>
            <w:pStyle w:val="TOC3"/>
            <w:tabs>
              <w:tab w:val="right" w:leader="dot" w:pos="9016"/>
            </w:tabs>
            <w:spacing w:line="276" w:lineRule="auto"/>
            <w:rPr>
              <w:rFonts w:asciiTheme="minorHAnsi" w:hAnsiTheme="minorHAnsi" w:cstheme="minorBidi"/>
              <w:noProof/>
              <w:sz w:val="20"/>
              <w:szCs w:val="20"/>
              <w:lang w:eastAsia="en-GB"/>
            </w:rPr>
          </w:pPr>
          <w:hyperlink w:anchor="_Toc198794476" w:history="1">
            <w:r w:rsidRPr="00CC7177">
              <w:rPr>
                <w:rStyle w:val="Hyperlink"/>
                <w:noProof/>
                <w:sz w:val="20"/>
                <w:szCs w:val="20"/>
              </w:rPr>
              <w:t>Table C – Median, mean, earnings and mean compensation regression results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_Toc198794476 \h </w:instrText>
            </w:r>
            <w:r w:rsidRPr="00CC7177">
              <w:rPr>
                <w:noProof/>
                <w:webHidden/>
                <w:sz w:val="20"/>
                <w:szCs w:val="20"/>
              </w:rPr>
            </w:r>
            <w:r w:rsidRPr="00CC7177">
              <w:rPr>
                <w:noProof/>
                <w:webHidden/>
                <w:sz w:val="20"/>
                <w:szCs w:val="20"/>
              </w:rPr>
              <w:fldChar w:fldCharType="separate"/>
            </w:r>
            <w:r w:rsidR="000F7084">
              <w:rPr>
                <w:noProof/>
                <w:webHidden/>
                <w:sz w:val="20"/>
                <w:szCs w:val="20"/>
              </w:rPr>
              <w:t>22</w:t>
            </w:r>
            <w:r w:rsidRPr="00CC7177">
              <w:rPr>
                <w:noProof/>
                <w:webHidden/>
                <w:sz w:val="20"/>
                <w:szCs w:val="20"/>
              </w:rPr>
              <w:fldChar w:fldCharType="end"/>
            </w:r>
          </w:hyperlink>
        </w:p>
        <w:p w14:paraId="443D5335" w14:textId="47F1EE3A" w:rsidR="00D61DFE" w:rsidRPr="00CC7177" w:rsidRDefault="00D61DFE" w:rsidP="00CC7177">
          <w:pPr>
            <w:pStyle w:val="TOC3"/>
            <w:tabs>
              <w:tab w:val="right" w:leader="dot" w:pos="9016"/>
            </w:tabs>
            <w:spacing w:line="276" w:lineRule="auto"/>
            <w:rPr>
              <w:rFonts w:asciiTheme="minorHAnsi" w:hAnsiTheme="minorHAnsi" w:cstheme="minorBidi"/>
              <w:noProof/>
              <w:sz w:val="20"/>
              <w:szCs w:val="20"/>
              <w:lang w:eastAsia="en-GB"/>
            </w:rPr>
          </w:pPr>
          <w:hyperlink w:anchor="_Toc198794477" w:history="1">
            <w:r w:rsidRPr="00CC7177">
              <w:rPr>
                <w:rStyle w:val="Hyperlink"/>
                <w:noProof/>
                <w:sz w:val="20"/>
                <w:szCs w:val="20"/>
              </w:rPr>
              <w:t>Table D – Earnings percentiles 1-9 (less the median) regression results table.</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_Toc198794477 \h </w:instrText>
            </w:r>
            <w:r w:rsidRPr="00CC7177">
              <w:rPr>
                <w:noProof/>
                <w:webHidden/>
                <w:sz w:val="20"/>
                <w:szCs w:val="20"/>
              </w:rPr>
            </w:r>
            <w:r w:rsidRPr="00CC7177">
              <w:rPr>
                <w:noProof/>
                <w:webHidden/>
                <w:sz w:val="20"/>
                <w:szCs w:val="20"/>
              </w:rPr>
              <w:fldChar w:fldCharType="separate"/>
            </w:r>
            <w:r w:rsidR="000F7084">
              <w:rPr>
                <w:noProof/>
                <w:webHidden/>
                <w:sz w:val="20"/>
                <w:szCs w:val="20"/>
              </w:rPr>
              <w:t>23</w:t>
            </w:r>
            <w:r w:rsidRPr="00CC7177">
              <w:rPr>
                <w:noProof/>
                <w:webHidden/>
                <w:sz w:val="20"/>
                <w:szCs w:val="20"/>
              </w:rPr>
              <w:fldChar w:fldCharType="end"/>
            </w:r>
          </w:hyperlink>
        </w:p>
        <w:p w14:paraId="7FAE0246" w14:textId="4E9EEE09" w:rsidR="00D61DFE" w:rsidRPr="00CC7177" w:rsidRDefault="00D61DFE" w:rsidP="00CC7177">
          <w:pPr>
            <w:pStyle w:val="TOC3"/>
            <w:tabs>
              <w:tab w:val="right" w:leader="dot" w:pos="9016"/>
            </w:tabs>
            <w:spacing w:line="276" w:lineRule="auto"/>
            <w:rPr>
              <w:rFonts w:asciiTheme="minorHAnsi" w:hAnsiTheme="minorHAnsi" w:cstheme="minorBidi"/>
              <w:noProof/>
              <w:sz w:val="20"/>
              <w:szCs w:val="20"/>
              <w:lang w:eastAsia="en-GB"/>
            </w:rPr>
          </w:pPr>
          <w:hyperlink w:anchor="_Toc198794478" w:history="1">
            <w:r w:rsidRPr="00CC7177">
              <w:rPr>
                <w:rStyle w:val="Hyperlink"/>
                <w:noProof/>
                <w:sz w:val="20"/>
                <w:szCs w:val="20"/>
              </w:rPr>
              <w:t>Table E – Productivity elasticities from various different specifications.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_Toc198794478 \h </w:instrText>
            </w:r>
            <w:r w:rsidRPr="00CC7177">
              <w:rPr>
                <w:noProof/>
                <w:webHidden/>
                <w:sz w:val="20"/>
                <w:szCs w:val="20"/>
              </w:rPr>
            </w:r>
            <w:r w:rsidRPr="00CC7177">
              <w:rPr>
                <w:noProof/>
                <w:webHidden/>
                <w:sz w:val="20"/>
                <w:szCs w:val="20"/>
              </w:rPr>
              <w:fldChar w:fldCharType="separate"/>
            </w:r>
            <w:r w:rsidR="000F7084">
              <w:rPr>
                <w:noProof/>
                <w:webHidden/>
                <w:sz w:val="20"/>
                <w:szCs w:val="20"/>
              </w:rPr>
              <w:t>24</w:t>
            </w:r>
            <w:r w:rsidRPr="00CC7177">
              <w:rPr>
                <w:noProof/>
                <w:webHidden/>
                <w:sz w:val="20"/>
                <w:szCs w:val="20"/>
              </w:rPr>
              <w:fldChar w:fldCharType="end"/>
            </w:r>
          </w:hyperlink>
        </w:p>
        <w:p w14:paraId="519A3875" w14:textId="2B985C60"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79" w:history="1">
            <w:r w:rsidRPr="00CC7177">
              <w:rPr>
                <w:rStyle w:val="Hyperlink"/>
                <w:noProof/>
                <w:sz w:val="20"/>
                <w:szCs w:val="20"/>
              </w:rPr>
              <w:t>Section 5.2: Discussion and analysis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_Toc198794479 \h </w:instrText>
            </w:r>
            <w:r w:rsidRPr="00CC7177">
              <w:rPr>
                <w:noProof/>
                <w:webHidden/>
                <w:sz w:val="20"/>
                <w:szCs w:val="20"/>
              </w:rPr>
            </w:r>
            <w:r w:rsidRPr="00CC7177">
              <w:rPr>
                <w:noProof/>
                <w:webHidden/>
                <w:sz w:val="20"/>
                <w:szCs w:val="20"/>
              </w:rPr>
              <w:fldChar w:fldCharType="separate"/>
            </w:r>
            <w:r w:rsidR="000F7084">
              <w:rPr>
                <w:noProof/>
                <w:webHidden/>
                <w:sz w:val="20"/>
                <w:szCs w:val="20"/>
              </w:rPr>
              <w:t>24</w:t>
            </w:r>
            <w:r w:rsidRPr="00CC7177">
              <w:rPr>
                <w:noProof/>
                <w:webHidden/>
                <w:sz w:val="20"/>
                <w:szCs w:val="20"/>
              </w:rPr>
              <w:fldChar w:fldCharType="end"/>
            </w:r>
          </w:hyperlink>
        </w:p>
        <w:p w14:paraId="2474B241" w14:textId="54F51A87" w:rsidR="00D61DFE" w:rsidRPr="00CC7177" w:rsidRDefault="00D61DFE" w:rsidP="00CC7177">
          <w:pPr>
            <w:pStyle w:val="TOC1"/>
            <w:tabs>
              <w:tab w:val="right" w:leader="dot" w:pos="9016"/>
            </w:tabs>
            <w:spacing w:line="276" w:lineRule="auto"/>
            <w:rPr>
              <w:rFonts w:asciiTheme="minorHAnsi" w:hAnsiTheme="minorHAnsi" w:cstheme="minorBidi"/>
              <w:noProof/>
              <w:sz w:val="20"/>
              <w:szCs w:val="20"/>
              <w:lang w:eastAsia="en-GB"/>
            </w:rPr>
          </w:pPr>
          <w:hyperlink w:anchor="_Toc198794480" w:history="1">
            <w:r w:rsidRPr="00CC7177">
              <w:rPr>
                <w:rStyle w:val="Hyperlink"/>
                <w:noProof/>
                <w:sz w:val="20"/>
                <w:szCs w:val="20"/>
              </w:rPr>
              <w:t>Conclusion and Policy Implications</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_Toc198794480 \h </w:instrText>
            </w:r>
            <w:r w:rsidRPr="00CC7177">
              <w:rPr>
                <w:noProof/>
                <w:webHidden/>
                <w:sz w:val="20"/>
                <w:szCs w:val="20"/>
              </w:rPr>
            </w:r>
            <w:r w:rsidRPr="00CC7177">
              <w:rPr>
                <w:noProof/>
                <w:webHidden/>
                <w:sz w:val="20"/>
                <w:szCs w:val="20"/>
              </w:rPr>
              <w:fldChar w:fldCharType="separate"/>
            </w:r>
            <w:r w:rsidR="000F7084">
              <w:rPr>
                <w:noProof/>
                <w:webHidden/>
                <w:sz w:val="20"/>
                <w:szCs w:val="20"/>
              </w:rPr>
              <w:t>28</w:t>
            </w:r>
            <w:r w:rsidRPr="00CC7177">
              <w:rPr>
                <w:noProof/>
                <w:webHidden/>
                <w:sz w:val="20"/>
                <w:szCs w:val="20"/>
              </w:rPr>
              <w:fldChar w:fldCharType="end"/>
            </w:r>
          </w:hyperlink>
        </w:p>
        <w:p w14:paraId="2BE7219C" w14:textId="70A59D0D" w:rsidR="00D61DFE" w:rsidRPr="00CC7177" w:rsidRDefault="00D61DFE" w:rsidP="00CC7177">
          <w:pPr>
            <w:pStyle w:val="TOC1"/>
            <w:tabs>
              <w:tab w:val="right" w:leader="dot" w:pos="9016"/>
            </w:tabs>
            <w:spacing w:line="276" w:lineRule="auto"/>
            <w:rPr>
              <w:rFonts w:asciiTheme="minorHAnsi" w:hAnsiTheme="minorHAnsi" w:cstheme="minorBidi"/>
              <w:noProof/>
              <w:sz w:val="20"/>
              <w:szCs w:val="20"/>
              <w:lang w:eastAsia="en-GB"/>
            </w:rPr>
          </w:pPr>
          <w:hyperlink w:anchor="_Toc198794481" w:history="1">
            <w:r w:rsidRPr="00CC7177">
              <w:rPr>
                <w:rStyle w:val="Hyperlink"/>
                <w:noProof/>
                <w:sz w:val="20"/>
                <w:szCs w:val="20"/>
              </w:rPr>
              <w:t>Appendix</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_Toc198794481 \h </w:instrText>
            </w:r>
            <w:r w:rsidRPr="00CC7177">
              <w:rPr>
                <w:noProof/>
                <w:webHidden/>
                <w:sz w:val="20"/>
                <w:szCs w:val="20"/>
              </w:rPr>
            </w:r>
            <w:r w:rsidRPr="00CC7177">
              <w:rPr>
                <w:noProof/>
                <w:webHidden/>
                <w:sz w:val="20"/>
                <w:szCs w:val="20"/>
              </w:rPr>
              <w:fldChar w:fldCharType="separate"/>
            </w:r>
            <w:r w:rsidR="000F7084">
              <w:rPr>
                <w:noProof/>
                <w:webHidden/>
                <w:sz w:val="20"/>
                <w:szCs w:val="20"/>
              </w:rPr>
              <w:t>34</w:t>
            </w:r>
            <w:r w:rsidRPr="00CC7177">
              <w:rPr>
                <w:noProof/>
                <w:webHidden/>
                <w:sz w:val="20"/>
                <w:szCs w:val="20"/>
              </w:rPr>
              <w:fldChar w:fldCharType="end"/>
            </w:r>
          </w:hyperlink>
        </w:p>
        <w:p w14:paraId="5D0127C6" w14:textId="0064B178"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82" w:history="1">
            <w:r w:rsidRPr="00CC7177">
              <w:rPr>
                <w:rStyle w:val="Hyperlink"/>
                <w:noProof/>
                <w:sz w:val="20"/>
                <w:szCs w:val="20"/>
              </w:rPr>
              <w:t>Appendix I</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_Toc198794482 \h </w:instrText>
            </w:r>
            <w:r w:rsidRPr="00CC7177">
              <w:rPr>
                <w:noProof/>
                <w:webHidden/>
                <w:sz w:val="20"/>
                <w:szCs w:val="20"/>
              </w:rPr>
            </w:r>
            <w:r w:rsidRPr="00CC7177">
              <w:rPr>
                <w:noProof/>
                <w:webHidden/>
                <w:sz w:val="20"/>
                <w:szCs w:val="20"/>
              </w:rPr>
              <w:fldChar w:fldCharType="separate"/>
            </w:r>
            <w:r w:rsidR="000F7084">
              <w:rPr>
                <w:noProof/>
                <w:webHidden/>
                <w:sz w:val="20"/>
                <w:szCs w:val="20"/>
              </w:rPr>
              <w:t>34</w:t>
            </w:r>
            <w:r w:rsidRPr="00CC7177">
              <w:rPr>
                <w:noProof/>
                <w:webHidden/>
                <w:sz w:val="20"/>
                <w:szCs w:val="20"/>
              </w:rPr>
              <w:fldChar w:fldCharType="end"/>
            </w:r>
          </w:hyperlink>
        </w:p>
        <w:p w14:paraId="105FC96C" w14:textId="369ABF58"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83" w:history="1">
            <w:r w:rsidRPr="00CC7177">
              <w:rPr>
                <w:rStyle w:val="Hyperlink"/>
                <w:noProof/>
                <w:sz w:val="20"/>
                <w:szCs w:val="20"/>
              </w:rPr>
              <w:t>Appendix II</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_Toc198794483 \h </w:instrText>
            </w:r>
            <w:r w:rsidRPr="00CC7177">
              <w:rPr>
                <w:noProof/>
                <w:webHidden/>
                <w:sz w:val="20"/>
                <w:szCs w:val="20"/>
              </w:rPr>
            </w:r>
            <w:r w:rsidRPr="00CC7177">
              <w:rPr>
                <w:noProof/>
                <w:webHidden/>
                <w:sz w:val="20"/>
                <w:szCs w:val="20"/>
              </w:rPr>
              <w:fldChar w:fldCharType="separate"/>
            </w:r>
            <w:r w:rsidR="000F7084">
              <w:rPr>
                <w:noProof/>
                <w:webHidden/>
                <w:sz w:val="20"/>
                <w:szCs w:val="20"/>
              </w:rPr>
              <w:t>37</w:t>
            </w:r>
            <w:r w:rsidRPr="00CC7177">
              <w:rPr>
                <w:noProof/>
                <w:webHidden/>
                <w:sz w:val="20"/>
                <w:szCs w:val="20"/>
              </w:rPr>
              <w:fldChar w:fldCharType="end"/>
            </w:r>
          </w:hyperlink>
        </w:p>
        <w:p w14:paraId="45BEFCB1" w14:textId="70157765" w:rsidR="00D61DFE" w:rsidRPr="00CC7177" w:rsidRDefault="00D61DFE" w:rsidP="00CC7177">
          <w:pPr>
            <w:pStyle w:val="TOC2"/>
            <w:tabs>
              <w:tab w:val="right" w:leader="dot" w:pos="9016"/>
            </w:tabs>
            <w:spacing w:line="276" w:lineRule="auto"/>
            <w:rPr>
              <w:rFonts w:asciiTheme="minorHAnsi" w:hAnsiTheme="minorHAnsi" w:cstheme="minorBidi"/>
              <w:noProof/>
              <w:sz w:val="20"/>
              <w:szCs w:val="20"/>
              <w:lang w:eastAsia="en-GB"/>
            </w:rPr>
          </w:pPr>
          <w:hyperlink w:anchor="_Toc198794484" w:history="1">
            <w:r w:rsidRPr="00CC7177">
              <w:rPr>
                <w:rStyle w:val="Hyperlink"/>
                <w:noProof/>
                <w:sz w:val="20"/>
                <w:szCs w:val="20"/>
              </w:rPr>
              <w:t>Appendix III</w:t>
            </w:r>
            <w:r w:rsidRPr="00CC7177">
              <w:rPr>
                <w:noProof/>
                <w:webHidden/>
                <w:sz w:val="20"/>
                <w:szCs w:val="20"/>
              </w:rPr>
              <w:tab/>
            </w:r>
            <w:r w:rsidRPr="00CC7177">
              <w:rPr>
                <w:noProof/>
                <w:webHidden/>
                <w:sz w:val="20"/>
                <w:szCs w:val="20"/>
              </w:rPr>
              <w:fldChar w:fldCharType="begin"/>
            </w:r>
            <w:r w:rsidRPr="00CC7177">
              <w:rPr>
                <w:noProof/>
                <w:webHidden/>
                <w:sz w:val="20"/>
                <w:szCs w:val="20"/>
              </w:rPr>
              <w:instrText xml:space="preserve"> PAGEREF _Toc198794484 \h </w:instrText>
            </w:r>
            <w:r w:rsidRPr="00CC7177">
              <w:rPr>
                <w:noProof/>
                <w:webHidden/>
                <w:sz w:val="20"/>
                <w:szCs w:val="20"/>
              </w:rPr>
            </w:r>
            <w:r w:rsidRPr="00CC7177">
              <w:rPr>
                <w:noProof/>
                <w:webHidden/>
                <w:sz w:val="20"/>
                <w:szCs w:val="20"/>
              </w:rPr>
              <w:fldChar w:fldCharType="separate"/>
            </w:r>
            <w:r w:rsidR="000F7084">
              <w:rPr>
                <w:noProof/>
                <w:webHidden/>
                <w:sz w:val="20"/>
                <w:szCs w:val="20"/>
              </w:rPr>
              <w:t>38</w:t>
            </w:r>
            <w:r w:rsidRPr="00CC7177">
              <w:rPr>
                <w:noProof/>
                <w:webHidden/>
                <w:sz w:val="20"/>
                <w:szCs w:val="20"/>
              </w:rPr>
              <w:fldChar w:fldCharType="end"/>
            </w:r>
          </w:hyperlink>
        </w:p>
        <w:p w14:paraId="1D05CE40" w14:textId="4AF0DE94" w:rsidR="00147CE7" w:rsidRDefault="00147CE7" w:rsidP="00CC7177">
          <w:pPr>
            <w:spacing w:line="276" w:lineRule="auto"/>
            <w:jc w:val="both"/>
          </w:pPr>
          <w:r w:rsidRPr="00CC7177">
            <w:rPr>
              <w:b/>
              <w:bCs/>
              <w:noProof/>
              <w:sz w:val="20"/>
              <w:szCs w:val="20"/>
            </w:rPr>
            <w:fldChar w:fldCharType="end"/>
          </w:r>
        </w:p>
      </w:sdtContent>
    </w:sdt>
    <w:p w14:paraId="74F56A90" w14:textId="77777777" w:rsidR="00147CE7" w:rsidRPr="00147CE7" w:rsidRDefault="00147CE7" w:rsidP="00147CE7">
      <w:pPr>
        <w:pStyle w:val="Title"/>
        <w:spacing w:line="480" w:lineRule="auto"/>
        <w:jc w:val="both"/>
      </w:pPr>
    </w:p>
    <w:p w14:paraId="3829E9DD" w14:textId="62B85825" w:rsidR="005F6AC3" w:rsidRPr="00D61DFE" w:rsidRDefault="00147CE7" w:rsidP="00D61DFE">
      <w:pPr>
        <w:pStyle w:val="Heading1"/>
        <w:rPr>
          <w:spacing w:val="-10"/>
          <w:kern w:val="28"/>
          <w:sz w:val="56"/>
          <w:szCs w:val="56"/>
        </w:rPr>
      </w:pPr>
      <w:r>
        <w:br w:type="page"/>
      </w:r>
      <w:bookmarkStart w:id="0" w:name="_Toc198794463"/>
      <w:r w:rsidR="005F6AC3" w:rsidRPr="005F6AC3">
        <w:t>Chapter 1: Introduction</w:t>
      </w:r>
      <w:bookmarkEnd w:id="0"/>
    </w:p>
    <w:p w14:paraId="28FE841E" w14:textId="45D1E2D0" w:rsidR="005F6AC3" w:rsidRPr="00A436A2" w:rsidRDefault="005F6AC3" w:rsidP="00147CE7">
      <w:pPr>
        <w:jc w:val="both"/>
      </w:pPr>
      <w:r w:rsidRPr="00A436A2">
        <w:t>The relationship between productivity and living standards has often been taken as a stylised fact. Krugman (1990) writes,</w:t>
      </w:r>
    </w:p>
    <w:p w14:paraId="169EE289" w14:textId="77777777" w:rsidR="005F6AC3" w:rsidRPr="005F6AC3" w:rsidRDefault="005F6AC3" w:rsidP="00147CE7">
      <w:pPr>
        <w:ind w:left="720" w:right="720"/>
        <w:jc w:val="both"/>
      </w:pPr>
      <w:r w:rsidRPr="005F6AC3">
        <w:t>“Productivity isn’t everything, but, in the long run, it is almost everything. A country’s ability to improve its standard of living over time depends almost entirely on its ability to raise its output per worker.”</w:t>
      </w:r>
    </w:p>
    <w:p w14:paraId="34C4743C" w14:textId="0A2A030B" w:rsidR="0035443B" w:rsidRPr="005F6AC3" w:rsidRDefault="005F6AC3" w:rsidP="00147CE7">
      <w:pPr>
        <w:jc w:val="both"/>
      </w:pPr>
      <w:r w:rsidRPr="005F6AC3">
        <w:t xml:space="preserve">However, the specific link between productivity and living standards is not straightforward, as Oulton </w:t>
      </w:r>
      <w:sdt>
        <w:sdtPr>
          <w:id w:val="-1674646894"/>
          <w:citation/>
        </w:sdtPr>
        <w:sdtContent>
          <w:r w:rsidRPr="005F6AC3">
            <w:fldChar w:fldCharType="begin"/>
          </w:r>
          <w:r w:rsidRPr="005F6AC3">
            <w:instrText xml:space="preserve">CITATION Oul22 \n  \t  \l 2057 </w:instrText>
          </w:r>
          <w:r w:rsidRPr="005F6AC3">
            <w:fldChar w:fldCharType="separate"/>
          </w:r>
          <w:r w:rsidR="007D5421" w:rsidRPr="007D5421">
            <w:rPr>
              <w:noProof/>
            </w:rPr>
            <w:t>(2022)</w:t>
          </w:r>
          <w:r w:rsidRPr="005F6AC3">
            <w:fldChar w:fldCharType="end"/>
          </w:r>
        </w:sdtContent>
      </w:sdt>
      <w:r w:rsidRPr="005F6AC3">
        <w:t xml:space="preserve"> points out. Despite this, the link is often implied, at least in part, through the pass-through of productivity </w:t>
      </w:r>
      <w:r>
        <w:t xml:space="preserve">growth </w:t>
      </w:r>
      <w:r w:rsidRPr="005F6AC3">
        <w:t xml:space="preserve">on </w:t>
      </w:r>
      <w:r w:rsidRPr="005F6AC3">
        <w:rPr>
          <w:i/>
          <w:iCs/>
        </w:rPr>
        <w:t>earnings</w:t>
      </w:r>
      <w:r w:rsidRPr="005F6AC3">
        <w:t xml:space="preserve">, and the simple observation that higher earnings, all else equal, tend to boost living standards. This sentiment has been echoed by the Chancellor of the Exchequer Rachel Reeves in her 2024 </w:t>
      </w:r>
      <w:r w:rsidRPr="005F6AC3">
        <w:rPr>
          <w:i/>
          <w:iCs/>
        </w:rPr>
        <w:t>Mais Lecture</w:t>
      </w:r>
      <w:r w:rsidRPr="005F6AC3">
        <w:t>:</w:t>
      </w:r>
    </w:p>
    <w:p w14:paraId="15B17604" w14:textId="3FF83BC2" w:rsidR="005F6AC3" w:rsidRPr="005F6AC3" w:rsidRDefault="005F6AC3" w:rsidP="00147CE7">
      <w:pPr>
        <w:ind w:left="720" w:right="720"/>
        <w:jc w:val="both"/>
      </w:pPr>
      <w:r w:rsidRPr="005F6AC3">
        <w:t>“At root, productivity remains the key medium</w:t>
      </w:r>
      <w:r w:rsidR="002221B1">
        <w:t xml:space="preserve"> </w:t>
      </w:r>
      <w:r w:rsidRPr="005F6AC3">
        <w:t xml:space="preserve">term </w:t>
      </w:r>
      <w:r w:rsidR="002221B1">
        <w:t xml:space="preserve">[sic] </w:t>
      </w:r>
      <w:r w:rsidRPr="005F6AC3">
        <w:t xml:space="preserve">determinant of wages. It is the collapse in our productivity growth which explains our </w:t>
      </w:r>
      <w:r w:rsidRPr="00E51BC3">
        <w:rPr>
          <w:b/>
          <w:bCs/>
        </w:rPr>
        <w:t>wage stagnation</w:t>
      </w:r>
      <w:r w:rsidRPr="005F6AC3">
        <w:t xml:space="preserve">. […] What is demanded is a fundamental course correction. […] </w:t>
      </w:r>
      <w:r w:rsidRPr="005F6AC3">
        <w:rPr>
          <w:b/>
          <w:bCs/>
        </w:rPr>
        <w:t xml:space="preserve">Not only for the </w:t>
      </w:r>
      <w:r w:rsidRPr="005F6AC3">
        <w:rPr>
          <w:b/>
          <w:bCs/>
          <w:i/>
          <w:iCs/>
        </w:rPr>
        <w:t>living standards</w:t>
      </w:r>
      <w:r w:rsidRPr="005F6AC3">
        <w:rPr>
          <w:b/>
          <w:bCs/>
        </w:rPr>
        <w:t xml:space="preserve"> of working people</w:t>
      </w:r>
      <w:r w:rsidRPr="005F6AC3">
        <w:t xml:space="preserve"> …” (Reeves, 2024. Emphasis added)</w:t>
      </w:r>
    </w:p>
    <w:p w14:paraId="6AD82FBC" w14:textId="67C1162C" w:rsidR="005F6AC3" w:rsidRDefault="005F6AC3" w:rsidP="00147CE7">
      <w:pPr>
        <w:jc w:val="both"/>
      </w:pPr>
      <w:r w:rsidRPr="005F6AC3">
        <w:t xml:space="preserve">Clearly, the link between productivity and pay, and </w:t>
      </w:r>
      <w:r>
        <w:t>thus</w:t>
      </w:r>
      <w:r w:rsidRPr="005F6AC3">
        <w:t xml:space="preserve"> productivity and living standards, has transcended beyond academic economics</w:t>
      </w:r>
      <w:r>
        <w:t xml:space="preserve"> and gained </w:t>
      </w:r>
      <w:r w:rsidRPr="005F6AC3">
        <w:t>acceptance in the political sphere. However, in recent years, a view that productivity and pay have ‘decoupled’, or ‘delinked’</w:t>
      </w:r>
      <w:r>
        <w:t>,</w:t>
      </w:r>
      <w:r w:rsidRPr="005F6AC3">
        <w:t xml:space="preserve"> has </w:t>
      </w:r>
      <w:r w:rsidR="00147CE7">
        <w:t>gained traction</w:t>
      </w:r>
      <w:r w:rsidRPr="005F6AC3">
        <w:t xml:space="preserve">. The most recent embodiment comes in ‘The Productivity-Pay Gap’ diagram published by Bivens &amp; Mishel </w:t>
      </w:r>
      <w:sdt>
        <w:sdtPr>
          <w:id w:val="1699743320"/>
          <w:citation/>
        </w:sdtPr>
        <w:sdtContent>
          <w:r w:rsidRPr="005F6AC3">
            <w:fldChar w:fldCharType="begin"/>
          </w:r>
          <w:r w:rsidRPr="005F6AC3">
            <w:instrText xml:space="preserve">CITATION Biv15 \n  \t  \l 2057 </w:instrText>
          </w:r>
          <w:r w:rsidRPr="005F6AC3">
            <w:fldChar w:fldCharType="separate"/>
          </w:r>
          <w:r w:rsidR="007D5421" w:rsidRPr="007D5421">
            <w:rPr>
              <w:noProof/>
            </w:rPr>
            <w:t>(2015)</w:t>
          </w:r>
          <w:r w:rsidRPr="005F6AC3">
            <w:fldChar w:fldCharType="end"/>
          </w:r>
        </w:sdtContent>
      </w:sdt>
      <w:r>
        <w:rPr>
          <w:rStyle w:val="FootnoteReference"/>
        </w:rPr>
        <w:footnoteReference w:id="1"/>
      </w:r>
      <w:r w:rsidRPr="005F6AC3">
        <w:t xml:space="preserve">, where American productivity is shown to have grown </w:t>
      </w:r>
      <w:r w:rsidR="008026FA">
        <w:t>8 times faster than</w:t>
      </w:r>
      <w:r w:rsidRPr="005F6AC3">
        <w:t xml:space="preserve"> pay from 1979 to</w:t>
      </w:r>
      <w:r w:rsidR="008026FA">
        <w:t xml:space="preserve"> 2014</w:t>
      </w:r>
      <w:r>
        <w:t>; see figure A.</w:t>
      </w:r>
    </w:p>
    <w:p w14:paraId="5D9E8316" w14:textId="3D400F1D" w:rsidR="005F6AC3" w:rsidRDefault="005F6AC3" w:rsidP="00147CE7">
      <w:pPr>
        <w:jc w:val="center"/>
      </w:pPr>
      <w:r>
        <w:rPr>
          <w:noProof/>
        </w:rPr>
        <w:drawing>
          <wp:inline distT="0" distB="0" distL="0" distR="0" wp14:anchorId="5D90914B" wp14:editId="6F520DDA">
            <wp:extent cx="3964675" cy="2534475"/>
            <wp:effectExtent l="0" t="0" r="0" b="0"/>
            <wp:docPr id="580354123" name="Picture 1" descr="A graph showing the growth of productiv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54123" name="Picture 1" descr="A graph showing the growth of productivity&#10;&#10;AI-generated content may be incorrect."/>
                    <pic:cNvPicPr/>
                  </pic:nvPicPr>
                  <pic:blipFill>
                    <a:blip r:embed="rId11"/>
                    <a:stretch>
                      <a:fillRect/>
                    </a:stretch>
                  </pic:blipFill>
                  <pic:spPr>
                    <a:xfrm>
                      <a:off x="0" y="0"/>
                      <a:ext cx="3970222" cy="2538021"/>
                    </a:xfrm>
                    <a:prstGeom prst="rect">
                      <a:avLst/>
                    </a:prstGeom>
                  </pic:spPr>
                </pic:pic>
              </a:graphicData>
            </a:graphic>
          </wp:inline>
        </w:drawing>
      </w:r>
    </w:p>
    <w:p w14:paraId="511505DE" w14:textId="3DFB6242" w:rsidR="005F6AC3" w:rsidRPr="004B082F" w:rsidRDefault="005F6AC3" w:rsidP="00147CE7">
      <w:pPr>
        <w:pStyle w:val="Subtitle"/>
      </w:pPr>
      <w:r w:rsidRPr="004B082F">
        <w:t>Figure A – “Disconnect between productivity and a typical worker's compensation, 1948–2014”. (Bivens &amp; Mishel, 2015. Figure A).</w:t>
      </w:r>
    </w:p>
    <w:p w14:paraId="603E57F7" w14:textId="50D22B34" w:rsidR="005F6AC3" w:rsidRDefault="005F6AC3" w:rsidP="00147CE7">
      <w:pPr>
        <w:jc w:val="both"/>
      </w:pPr>
      <w:r>
        <w:t xml:space="preserve">Returning to the UK, similar findings have been reported by Pessoa &amp; Van Reenen (2013) and </w:t>
      </w:r>
      <w:proofErr w:type="spellStart"/>
      <w:r>
        <w:t>Teichgraeber</w:t>
      </w:r>
      <w:proofErr w:type="spellEnd"/>
      <w:r>
        <w:t xml:space="preserve"> &amp; Van Reenen (2021). Figure B shows their estimation of the pay-productivity gap.</w:t>
      </w:r>
    </w:p>
    <w:p w14:paraId="3588414C" w14:textId="223FACEE" w:rsidR="005F6AC3" w:rsidRDefault="005F6AC3" w:rsidP="00147CE7">
      <w:pPr>
        <w:jc w:val="center"/>
      </w:pPr>
      <w:r>
        <w:rPr>
          <w:noProof/>
        </w:rPr>
        <w:drawing>
          <wp:inline distT="0" distB="0" distL="0" distR="0" wp14:anchorId="7FD9F847" wp14:editId="3D5512EF">
            <wp:extent cx="5138382" cy="3380425"/>
            <wp:effectExtent l="0" t="0" r="5715" b="0"/>
            <wp:docPr id="772249727" name="Picture 1" descr="A graph showing the growth of the company's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9727" name="Picture 1" descr="A graph showing the growth of the company's stock market&#10;&#10;AI-generated content may be incorrect."/>
                    <pic:cNvPicPr/>
                  </pic:nvPicPr>
                  <pic:blipFill>
                    <a:blip r:embed="rId12"/>
                    <a:stretch>
                      <a:fillRect/>
                    </a:stretch>
                  </pic:blipFill>
                  <pic:spPr>
                    <a:xfrm>
                      <a:off x="0" y="0"/>
                      <a:ext cx="5152070" cy="3389430"/>
                    </a:xfrm>
                    <a:prstGeom prst="rect">
                      <a:avLst/>
                    </a:prstGeom>
                  </pic:spPr>
                </pic:pic>
              </a:graphicData>
            </a:graphic>
          </wp:inline>
        </w:drawing>
      </w:r>
    </w:p>
    <w:p w14:paraId="108F7B3E" w14:textId="6B77BC5B" w:rsidR="005F6AC3" w:rsidRPr="005F6AC3" w:rsidRDefault="005F6AC3" w:rsidP="00147CE7">
      <w:pPr>
        <w:pStyle w:val="Subtitle"/>
      </w:pPr>
      <w:r w:rsidRPr="005F6AC3">
        <w:t>Figure B – “Hourly Decoupling in the UK” (Pessoa &amp; Van Reenen, 2013. Figure 6)</w:t>
      </w:r>
    </w:p>
    <w:p w14:paraId="72E72D88" w14:textId="49B7EFF6" w:rsidR="005F6AC3" w:rsidRDefault="005F6AC3" w:rsidP="00147CE7">
      <w:pPr>
        <w:jc w:val="both"/>
        <w:rPr>
          <w:noProof/>
        </w:rPr>
      </w:pPr>
      <w:r>
        <w:rPr>
          <w:noProof/>
        </w:rPr>
        <w:t>A clear divergence can be ascertained in the early-mid 90s, and by 2010 median hourly earnings</w:t>
      </w:r>
      <w:r w:rsidR="001C0491">
        <w:rPr>
          <w:noProof/>
        </w:rPr>
        <w:t xml:space="preserve"> (deflated with retail prices)</w:t>
      </w:r>
      <w:r>
        <w:rPr>
          <w:noProof/>
        </w:rPr>
        <w:t xml:space="preserve"> grew by 70% while productivity </w:t>
      </w:r>
      <w:r w:rsidR="001C0491">
        <w:rPr>
          <w:noProof/>
        </w:rPr>
        <w:t xml:space="preserve">(deflated with a GDP deflator) grew </w:t>
      </w:r>
      <w:r>
        <w:rPr>
          <w:noProof/>
        </w:rPr>
        <w:t>by just over 110%.</w:t>
      </w:r>
    </w:p>
    <w:p w14:paraId="122CA79D" w14:textId="6A9E6972" w:rsidR="005F6AC3" w:rsidRDefault="005F6AC3" w:rsidP="00147CE7">
      <w:pPr>
        <w:jc w:val="both"/>
        <w:rPr>
          <w:noProof/>
        </w:rPr>
      </w:pPr>
      <w:r>
        <w:rPr>
          <w:noProof/>
        </w:rPr>
        <w:t>Investigating the decoupling argument is complicated by the fact that exactly what is meant by ‘decoupling’ is hardly agreed upon, so clarification</w:t>
      </w:r>
      <w:r w:rsidR="00AA3440">
        <w:rPr>
          <w:noProof/>
        </w:rPr>
        <w:t xml:space="preserve"> is important</w:t>
      </w:r>
      <w:r>
        <w:rPr>
          <w:noProof/>
        </w:rPr>
        <w:t xml:space="preserve">. Some parts of the literature argue that we should </w:t>
      </w:r>
      <w:r w:rsidRPr="005F6AC3">
        <w:rPr>
          <w:noProof/>
        </w:rPr>
        <w:t xml:space="preserve">define decoupling as a divergence between </w:t>
      </w:r>
      <w:r>
        <w:rPr>
          <w:noProof/>
        </w:rPr>
        <w:t xml:space="preserve">typical worker </w:t>
      </w:r>
      <w:r w:rsidRPr="005F6AC3">
        <w:rPr>
          <w:noProof/>
        </w:rPr>
        <w:t>compensation and mean productivity growth rates (Bivens &amp; Mishel, 2015), while others suggest</w:t>
      </w:r>
      <w:r>
        <w:rPr>
          <w:noProof/>
        </w:rPr>
        <w:t xml:space="preserve"> differentiating between mean and median earnings </w:t>
      </w:r>
      <w:r w:rsidRPr="005F6AC3">
        <w:rPr>
          <w:noProof/>
        </w:rPr>
        <w:t xml:space="preserve">(Pessoa &amp; Van Reenen, 2013; Stansbury &amp; Summers, 2018; Ciarli, </w:t>
      </w:r>
      <w:r w:rsidR="008026FA">
        <w:rPr>
          <w:noProof/>
        </w:rPr>
        <w:t>et al.</w:t>
      </w:r>
      <w:r w:rsidRPr="005F6AC3">
        <w:rPr>
          <w:noProof/>
        </w:rPr>
        <w:t xml:space="preserve">, 2018; Ciarli, </w:t>
      </w:r>
      <w:r w:rsidR="008026FA">
        <w:rPr>
          <w:noProof/>
        </w:rPr>
        <w:t>et al.</w:t>
      </w:r>
      <w:r w:rsidRPr="005F6AC3">
        <w:rPr>
          <w:noProof/>
        </w:rPr>
        <w:t>, 2021); still other</w:t>
      </w:r>
      <w:r w:rsidR="001C0491">
        <w:rPr>
          <w:noProof/>
        </w:rPr>
        <w:t>s</w:t>
      </w:r>
      <w:r w:rsidRPr="005F6AC3">
        <w:rPr>
          <w:noProof/>
        </w:rPr>
        <w:t xml:space="preserve"> argue that decoupling should only be seen as a persistent fall in labour’s share of income (Feldstein, 2008; Brill et al., 2017</w:t>
      </w:r>
      <w:r>
        <w:rPr>
          <w:noProof/>
        </w:rPr>
        <w:t>); labour’s share of income is defined in national accounts as:</w:t>
      </w:r>
    </w:p>
    <w:p w14:paraId="5626E30A" w14:textId="77777777" w:rsidR="005F6AC3" w:rsidRDefault="005F6AC3" w:rsidP="00147CE7">
      <w:pPr>
        <w:jc w:val="both"/>
        <w:rPr>
          <w:noProof/>
        </w:rPr>
      </w:pPr>
      <m:oMathPara>
        <m:oMath>
          <m:r>
            <w:rPr>
              <w:rFonts w:ascii="Cambria Math" w:hAnsi="Cambria Math"/>
              <w:noProof/>
            </w:rPr>
            <m:t>Labour</m:t>
          </m:r>
          <m:r>
            <m:rPr>
              <m:sty m:val="p"/>
            </m:rPr>
            <w:rPr>
              <w:rFonts w:ascii="Cambria Math" w:hAnsi="Cambria Math"/>
              <w:noProof/>
            </w:rPr>
            <m:t xml:space="preserve"> </m:t>
          </m:r>
          <m:r>
            <w:rPr>
              <w:rFonts w:ascii="Cambria Math" w:hAnsi="Cambria Math"/>
              <w:noProof/>
            </w:rPr>
            <m:t>share</m:t>
          </m:r>
          <m:r>
            <m:rPr>
              <m:sty m:val="p"/>
            </m:rPr>
            <w:rPr>
              <w:rFonts w:ascii="Cambria Math" w:hAnsi="Cambria Math"/>
              <w:noProof/>
            </w:rPr>
            <m:t>=</m:t>
          </m:r>
          <m:f>
            <m:fPr>
              <m:ctrlPr>
                <w:rPr>
                  <w:rFonts w:ascii="Cambria Math" w:hAnsi="Cambria Math"/>
                  <w:noProof/>
                </w:rPr>
              </m:ctrlPr>
            </m:fPr>
            <m:num>
              <m:r>
                <w:rPr>
                  <w:rFonts w:ascii="Cambria Math" w:hAnsi="Cambria Math"/>
                  <w:noProof/>
                </w:rPr>
                <m:t>Employee</m:t>
              </m:r>
              <m:r>
                <m:rPr>
                  <m:sty m:val="p"/>
                </m:rPr>
                <w:rPr>
                  <w:rFonts w:ascii="Cambria Math" w:hAnsi="Cambria Math"/>
                  <w:noProof/>
                </w:rPr>
                <m:t xml:space="preserve"> </m:t>
              </m:r>
              <m:r>
                <w:rPr>
                  <w:rFonts w:ascii="Cambria Math" w:hAnsi="Cambria Math"/>
                  <w:noProof/>
                </w:rPr>
                <m:t>compensation</m:t>
              </m:r>
              <m:r>
                <m:rPr>
                  <m:sty m:val="p"/>
                </m:rPr>
                <w:rPr>
                  <w:rFonts w:ascii="Cambria Math" w:hAnsi="Cambria Math"/>
                  <w:noProof/>
                </w:rPr>
                <m:t>+</m:t>
              </m:r>
              <m:r>
                <w:rPr>
                  <w:rFonts w:ascii="Cambria Math" w:hAnsi="Cambria Math"/>
                  <w:noProof/>
                </w:rPr>
                <m:t>Self</m:t>
              </m:r>
              <m:r>
                <m:rPr>
                  <m:sty m:val="p"/>
                </m:rPr>
                <w:rPr>
                  <w:rFonts w:ascii="Cambria Math" w:hAnsi="Cambria Math"/>
                  <w:noProof/>
                </w:rPr>
                <m:t xml:space="preserve"> </m:t>
              </m:r>
              <m:r>
                <w:rPr>
                  <w:rFonts w:ascii="Cambria Math" w:hAnsi="Cambria Math"/>
                  <w:noProof/>
                </w:rPr>
                <m:t>Employed</m:t>
              </m:r>
              <m:r>
                <m:rPr>
                  <m:sty m:val="p"/>
                </m:rPr>
                <w:rPr>
                  <w:rFonts w:ascii="Cambria Math" w:hAnsi="Cambria Math"/>
                  <w:noProof/>
                </w:rPr>
                <m:t xml:space="preserve"> </m:t>
              </m:r>
              <m:r>
                <w:rPr>
                  <w:rFonts w:ascii="Cambria Math" w:hAnsi="Cambria Math"/>
                  <w:noProof/>
                </w:rPr>
                <m:t>Labour</m:t>
              </m:r>
              <m:r>
                <m:rPr>
                  <m:sty m:val="p"/>
                </m:rPr>
                <w:rPr>
                  <w:rFonts w:ascii="Cambria Math" w:hAnsi="Cambria Math"/>
                  <w:noProof/>
                </w:rPr>
                <m:t xml:space="preserve"> </m:t>
              </m:r>
              <m:r>
                <w:rPr>
                  <w:rFonts w:ascii="Cambria Math" w:hAnsi="Cambria Math"/>
                  <w:noProof/>
                </w:rPr>
                <m:t>Income</m:t>
              </m:r>
            </m:num>
            <m:den>
              <m:r>
                <w:rPr>
                  <w:rFonts w:ascii="Cambria Math" w:hAnsi="Cambria Math"/>
                  <w:noProof/>
                </w:rPr>
                <m:t>Gross</m:t>
              </m:r>
              <m:r>
                <m:rPr>
                  <m:sty m:val="p"/>
                </m:rPr>
                <w:rPr>
                  <w:rFonts w:ascii="Cambria Math" w:hAnsi="Cambria Math"/>
                  <w:noProof/>
                </w:rPr>
                <m:t xml:space="preserve"> </m:t>
              </m:r>
              <m:r>
                <w:rPr>
                  <w:rFonts w:ascii="Cambria Math" w:hAnsi="Cambria Math"/>
                  <w:noProof/>
                </w:rPr>
                <m:t>Domestic</m:t>
              </m:r>
              <m:r>
                <m:rPr>
                  <m:sty m:val="p"/>
                </m:rPr>
                <w:rPr>
                  <w:rFonts w:ascii="Cambria Math" w:hAnsi="Cambria Math"/>
                  <w:noProof/>
                </w:rPr>
                <m:t xml:space="preserve"> </m:t>
              </m:r>
              <m:r>
                <w:rPr>
                  <w:rFonts w:ascii="Cambria Math" w:hAnsi="Cambria Math"/>
                  <w:noProof/>
                </w:rPr>
                <m:t>Product</m:t>
              </m:r>
              <m:r>
                <m:rPr>
                  <m:sty m:val="p"/>
                </m:rPr>
                <w:rPr>
                  <w:rFonts w:ascii="Cambria Math" w:hAnsi="Cambria Math"/>
                  <w:noProof/>
                </w:rPr>
                <m:t>-(</m:t>
              </m:r>
              <m:r>
                <w:rPr>
                  <w:rFonts w:ascii="Cambria Math" w:hAnsi="Cambria Math"/>
                  <w:noProof/>
                </w:rPr>
                <m:t>Taxes</m:t>
              </m:r>
              <m:r>
                <m:rPr>
                  <m:sty m:val="p"/>
                </m:rPr>
                <w:rPr>
                  <w:rFonts w:ascii="Cambria Math" w:hAnsi="Cambria Math"/>
                  <w:noProof/>
                </w:rPr>
                <m:t>-</m:t>
              </m:r>
              <m:r>
                <w:rPr>
                  <w:rFonts w:ascii="Cambria Math" w:hAnsi="Cambria Math"/>
                  <w:noProof/>
                </w:rPr>
                <m:t>Subsidies</m:t>
              </m:r>
              <m:r>
                <m:rPr>
                  <m:sty m:val="p"/>
                </m:rPr>
                <w:rPr>
                  <w:rFonts w:ascii="Cambria Math" w:hAnsi="Cambria Math"/>
                  <w:noProof/>
                </w:rPr>
                <m:t>)</m:t>
              </m:r>
            </m:den>
          </m:f>
          <m:r>
            <m:rPr>
              <m:sty m:val="p"/>
            </m:rPr>
            <w:rPr>
              <w:rFonts w:ascii="Cambria Math" w:hAnsi="Cambria Math"/>
              <w:noProof/>
            </w:rPr>
            <m:t xml:space="preserve"> </m:t>
          </m:r>
        </m:oMath>
      </m:oMathPara>
    </w:p>
    <w:p w14:paraId="6E93075D" w14:textId="6F8BBC34" w:rsidR="001C0491" w:rsidRDefault="005F6AC3" w:rsidP="00147CE7">
      <w:pPr>
        <w:jc w:val="both"/>
        <w:rPr>
          <w:noProof/>
        </w:rPr>
      </w:pPr>
      <w:r>
        <w:rPr>
          <w:noProof/>
        </w:rPr>
        <w:t>Th</w:t>
      </w:r>
      <w:r w:rsidR="008026FA">
        <w:rPr>
          <w:noProof/>
        </w:rPr>
        <w:t>e</w:t>
      </w:r>
      <w:r>
        <w:rPr>
          <w:noProof/>
        </w:rPr>
        <w:t xml:space="preserve"> view </w:t>
      </w:r>
      <w:r w:rsidR="008026FA">
        <w:rPr>
          <w:noProof/>
        </w:rPr>
        <w:t>that</w:t>
      </w:r>
      <w:r>
        <w:rPr>
          <w:noProof/>
        </w:rPr>
        <w:t xml:space="preserve"> decoupling </w:t>
      </w:r>
      <w:r w:rsidR="008026FA">
        <w:rPr>
          <w:noProof/>
        </w:rPr>
        <w:t xml:space="preserve">is a </w:t>
      </w:r>
      <w:r>
        <w:rPr>
          <w:noProof/>
        </w:rPr>
        <w:t xml:space="preserve">change to the labour share is what led the </w:t>
      </w:r>
      <w:r w:rsidR="001C0491">
        <w:rPr>
          <w:noProof/>
        </w:rPr>
        <w:t>Office for National Statistics (ONS)</w:t>
      </w:r>
      <w:r>
        <w:rPr>
          <w:noProof/>
        </w:rPr>
        <w:t xml:space="preserve"> to state that</w:t>
      </w:r>
      <w:r w:rsidR="001C0491">
        <w:rPr>
          <w:noProof/>
        </w:rPr>
        <w:t xml:space="preserve">, </w:t>
      </w:r>
      <w:r>
        <w:rPr>
          <w:noProof/>
        </w:rPr>
        <w:t>“</w:t>
      </w:r>
      <w:r w:rsidR="001C0491">
        <w:rPr>
          <w:noProof/>
        </w:rPr>
        <w:t xml:space="preserve">[o]ver the last two-and-a-half decades […] </w:t>
      </w:r>
      <w:r>
        <w:rPr>
          <w:noProof/>
        </w:rPr>
        <w:t>the UK has not experienced the decoupling between pay and productivity reported in other advanced countries”</w:t>
      </w:r>
      <w:r w:rsidR="001C0491">
        <w:rPr>
          <w:noProof/>
        </w:rPr>
        <w:t xml:space="preserve"> (ONS, 2024)</w:t>
      </w:r>
      <w:r>
        <w:rPr>
          <w:noProof/>
        </w:rPr>
        <w:t>.</w:t>
      </w:r>
      <w:r w:rsidR="001C0491">
        <w:rPr>
          <w:noProof/>
        </w:rPr>
        <w:t xml:space="preserve"> Indeed, labour’s share of income has risen in the new millenium following historic lows in the 80s and 90s – see figure C.</w:t>
      </w:r>
    </w:p>
    <w:p w14:paraId="2297EEB5" w14:textId="62485E34" w:rsidR="001C0491" w:rsidRDefault="001C0491" w:rsidP="00147CE7">
      <w:pPr>
        <w:spacing w:after="0"/>
        <w:jc w:val="center"/>
        <w:rPr>
          <w:noProof/>
        </w:rPr>
      </w:pPr>
      <w:r>
        <w:rPr>
          <w:noProof/>
        </w:rPr>
        <w:drawing>
          <wp:inline distT="0" distB="0" distL="0" distR="0" wp14:anchorId="315ADB2C" wp14:editId="6BF9A16B">
            <wp:extent cx="4589061" cy="2756848"/>
            <wp:effectExtent l="0" t="0" r="2540" b="5715"/>
            <wp:docPr id="1992196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849" cy="2761527"/>
                    </a:xfrm>
                    <a:prstGeom prst="rect">
                      <a:avLst/>
                    </a:prstGeom>
                    <a:noFill/>
                  </pic:spPr>
                </pic:pic>
              </a:graphicData>
            </a:graphic>
          </wp:inline>
        </w:drawing>
      </w:r>
    </w:p>
    <w:p w14:paraId="74B78544" w14:textId="730985CE" w:rsidR="001C0491" w:rsidRPr="001C0491" w:rsidRDefault="001C0491" w:rsidP="00147CE7">
      <w:pPr>
        <w:pStyle w:val="Subtitle"/>
        <w:rPr>
          <w:noProof/>
        </w:rPr>
      </w:pPr>
      <w:r w:rsidRPr="001C0491">
        <w:rPr>
          <w:noProof/>
        </w:rPr>
        <w:t>Figure C – Labour’s share of income over time. Own illustration.</w:t>
      </w:r>
      <w:r w:rsidR="00675D0D">
        <w:rPr>
          <w:noProof/>
        </w:rPr>
        <w:t xml:space="preserve"> Source: ONS Labour Costs and Income (2025)</w:t>
      </w:r>
    </w:p>
    <w:p w14:paraId="4ACD2EBA" w14:textId="0964960B" w:rsidR="00566FD2" w:rsidRDefault="001C0491" w:rsidP="00A3755F">
      <w:pPr>
        <w:spacing w:before="240"/>
        <w:jc w:val="both"/>
        <w:rPr>
          <w:noProof/>
        </w:rPr>
      </w:pPr>
      <w:r>
        <w:rPr>
          <w:noProof/>
        </w:rPr>
        <w:t xml:space="preserve">The disagreement over terms is understandable, because each argument for decoupling has certain justifications. </w:t>
      </w:r>
      <w:r w:rsidR="00566FD2">
        <w:rPr>
          <w:noProof/>
        </w:rPr>
        <w:t xml:space="preserve">Those </w:t>
      </w:r>
      <w:r w:rsidR="00566FD2" w:rsidRPr="00566FD2">
        <w:rPr>
          <w:noProof/>
        </w:rPr>
        <w:t>concerned solely with the labour share</w:t>
      </w:r>
      <w:r w:rsidR="00566FD2">
        <w:rPr>
          <w:noProof/>
        </w:rPr>
        <w:t xml:space="preserve"> analyse </w:t>
      </w:r>
      <w:r w:rsidR="00566FD2" w:rsidRPr="00566FD2">
        <w:rPr>
          <w:noProof/>
        </w:rPr>
        <w:t>the productivity-</w:t>
      </w:r>
      <w:r w:rsidR="00566FD2">
        <w:rPr>
          <w:noProof/>
        </w:rPr>
        <w:t>pay</w:t>
      </w:r>
      <w:r w:rsidR="00566FD2" w:rsidRPr="00566FD2">
        <w:rPr>
          <w:noProof/>
        </w:rPr>
        <w:t xml:space="preserve"> question</w:t>
      </w:r>
      <w:r w:rsidR="00566FD2">
        <w:rPr>
          <w:noProof/>
        </w:rPr>
        <w:t xml:space="preserve"> in the context of the production process – this perspective </w:t>
      </w:r>
      <w:r w:rsidR="00B31D30">
        <w:rPr>
          <w:noProof/>
        </w:rPr>
        <w:t xml:space="preserve">makes sense from the point of view of a firm, because it is employees’ compensation with respect to a firm’s output, </w:t>
      </w:r>
      <w:r w:rsidR="00B31D30">
        <w:rPr>
          <w:i/>
          <w:iCs/>
          <w:noProof/>
        </w:rPr>
        <w:t>not</w:t>
      </w:r>
      <w:r w:rsidR="00B31D30">
        <w:rPr>
          <w:noProof/>
        </w:rPr>
        <w:t xml:space="preserve"> consumer prices, which reflect its real costs of employment (</w:t>
      </w:r>
      <w:r w:rsidR="00147CE7">
        <w:rPr>
          <w:noProof/>
        </w:rPr>
        <w:t xml:space="preserve">Feldstein, 2008; </w:t>
      </w:r>
      <w:r w:rsidR="00B31D30">
        <w:rPr>
          <w:noProof/>
        </w:rPr>
        <w:t>Stansbury &amp; Summers, 2018, p. 10</w:t>
      </w:r>
      <w:r w:rsidR="00B30800">
        <w:rPr>
          <w:noProof/>
        </w:rPr>
        <w:t>; Tuckett, 2017</w:t>
      </w:r>
      <w:r w:rsidR="00B31D30">
        <w:rPr>
          <w:noProof/>
        </w:rPr>
        <w:t xml:space="preserve">). </w:t>
      </w:r>
      <w:r w:rsidR="00566FD2">
        <w:rPr>
          <w:noProof/>
        </w:rPr>
        <w:t>Figure D</w:t>
      </w:r>
      <w:r w:rsidR="000676E8">
        <w:rPr>
          <w:noProof/>
        </w:rPr>
        <w:t xml:space="preserve"> shows how producer prices in the manufacturing and retail sector have grown slower than consumer prices – even if </w:t>
      </w:r>
      <w:r w:rsidR="00B31D30">
        <w:rPr>
          <w:noProof/>
        </w:rPr>
        <w:t>a firm</w:t>
      </w:r>
      <w:r w:rsidR="001E463F">
        <w:rPr>
          <w:noProof/>
        </w:rPr>
        <w:t>’</w:t>
      </w:r>
      <w:r w:rsidR="00B31D30">
        <w:rPr>
          <w:noProof/>
        </w:rPr>
        <w:t>s</w:t>
      </w:r>
      <w:r w:rsidR="000676E8">
        <w:rPr>
          <w:noProof/>
        </w:rPr>
        <w:t xml:space="preserve"> </w:t>
      </w:r>
      <w:r w:rsidR="00B31D30">
        <w:rPr>
          <w:noProof/>
        </w:rPr>
        <w:t xml:space="preserve">output revenues </w:t>
      </w:r>
      <w:r w:rsidR="000676E8">
        <w:rPr>
          <w:noProof/>
        </w:rPr>
        <w:t xml:space="preserve">were shared with employees in constant proportion, the real value of that payment </w:t>
      </w:r>
      <w:r w:rsidR="00B31D30">
        <w:rPr>
          <w:noProof/>
        </w:rPr>
        <w:t>c</w:t>
      </w:r>
      <w:r w:rsidR="000676E8">
        <w:rPr>
          <w:noProof/>
        </w:rPr>
        <w:t xml:space="preserve">ould </w:t>
      </w:r>
      <w:r w:rsidR="00B31D30">
        <w:rPr>
          <w:noProof/>
        </w:rPr>
        <w:t xml:space="preserve">still be </w:t>
      </w:r>
      <w:r w:rsidR="000676E8">
        <w:rPr>
          <w:noProof/>
        </w:rPr>
        <w:t>declin</w:t>
      </w:r>
      <w:r w:rsidR="00B31D30">
        <w:rPr>
          <w:noProof/>
        </w:rPr>
        <w:t>ing</w:t>
      </w:r>
      <w:r w:rsidR="00A3755F">
        <w:rPr>
          <w:noProof/>
        </w:rPr>
        <w:t xml:space="preserve"> </w:t>
      </w:r>
      <w:sdt>
        <w:sdtPr>
          <w:rPr>
            <w:noProof/>
          </w:rPr>
          <w:id w:val="46575398"/>
          <w:citation/>
        </w:sdtPr>
        <w:sdtContent>
          <w:r w:rsidR="00A3755F">
            <w:rPr>
              <w:noProof/>
            </w:rPr>
            <w:fldChar w:fldCharType="begin"/>
          </w:r>
          <w:r w:rsidR="00A3755F">
            <w:rPr>
              <w:noProof/>
            </w:rPr>
            <w:instrText xml:space="preserve"> CITATION Nga25 \l 2057 </w:instrText>
          </w:r>
          <w:r w:rsidR="00A3755F">
            <w:rPr>
              <w:noProof/>
            </w:rPr>
            <w:fldChar w:fldCharType="separate"/>
          </w:r>
          <w:r w:rsidR="007D5421" w:rsidRPr="007D5421">
            <w:rPr>
              <w:noProof/>
            </w:rPr>
            <w:t>(Ngai &amp; Sevinc, 2025)</w:t>
          </w:r>
          <w:r w:rsidR="00A3755F">
            <w:rPr>
              <w:noProof/>
            </w:rPr>
            <w:fldChar w:fldCharType="end"/>
          </w:r>
        </w:sdtContent>
      </w:sdt>
      <w:r w:rsidR="000676E8">
        <w:rPr>
          <w:noProof/>
        </w:rPr>
        <w:t>.</w:t>
      </w:r>
      <w:r w:rsidR="000676E8">
        <w:rPr>
          <w:rStyle w:val="FootnoteReference"/>
          <w:noProof/>
        </w:rPr>
        <w:footnoteReference w:id="2"/>
      </w:r>
    </w:p>
    <w:p w14:paraId="5E70EFCC" w14:textId="533FFE4F" w:rsidR="000676E8" w:rsidRDefault="000676E8" w:rsidP="00147CE7">
      <w:pPr>
        <w:jc w:val="center"/>
      </w:pPr>
      <w:r>
        <w:rPr>
          <w:noProof/>
        </w:rPr>
        <w:drawing>
          <wp:inline distT="0" distB="0" distL="0" distR="0" wp14:anchorId="72A4987A" wp14:editId="298DE4BA">
            <wp:extent cx="4323056" cy="2935303"/>
            <wp:effectExtent l="0" t="0" r="1905" b="0"/>
            <wp:docPr id="18328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1063" cy="2940740"/>
                    </a:xfrm>
                    <a:prstGeom prst="rect">
                      <a:avLst/>
                    </a:prstGeom>
                    <a:noFill/>
                  </pic:spPr>
                </pic:pic>
              </a:graphicData>
            </a:graphic>
          </wp:inline>
        </w:drawing>
      </w:r>
    </w:p>
    <w:p w14:paraId="11C41173" w14:textId="008BA74B" w:rsidR="000676E8" w:rsidRPr="000676E8" w:rsidRDefault="000676E8" w:rsidP="00147CE7">
      <w:pPr>
        <w:pStyle w:val="Subtitle"/>
      </w:pPr>
      <w:r>
        <w:t>Figure D – Sectoral price inflation over time. Own illustration.</w:t>
      </w:r>
      <w:r w:rsidR="00675D0D">
        <w:t xml:space="preserve"> Source: ONS CPI, SPPI and PPI </w:t>
      </w:r>
      <w:sdt>
        <w:sdtPr>
          <w:id w:val="1531218930"/>
          <w:citation/>
        </w:sdtPr>
        <w:sdtContent>
          <w:r w:rsidR="00675D0D">
            <w:fldChar w:fldCharType="begin"/>
          </w:r>
          <w:r w:rsidR="00675D0D">
            <w:instrText xml:space="preserve">CITATION ONS254 \l 2057 </w:instrText>
          </w:r>
          <w:r w:rsidR="00675D0D">
            <w:fldChar w:fldCharType="separate"/>
          </w:r>
          <w:r w:rsidR="007D5421" w:rsidRPr="007D5421">
            <w:rPr>
              <w:noProof/>
            </w:rPr>
            <w:t>(ONS, 2025)</w:t>
          </w:r>
          <w:r w:rsidR="00675D0D">
            <w:fldChar w:fldCharType="end"/>
          </w:r>
        </w:sdtContent>
      </w:sdt>
    </w:p>
    <w:p w14:paraId="083F6A29" w14:textId="7CE8376F" w:rsidR="00493B69" w:rsidRDefault="000676E8" w:rsidP="00147CE7">
      <w:pPr>
        <w:jc w:val="both"/>
        <w:rPr>
          <w:noProof/>
        </w:rPr>
      </w:pPr>
      <w:r>
        <w:rPr>
          <w:noProof/>
        </w:rPr>
        <w:t xml:space="preserve">On the other hand, ignoring the effect of productivity on purchasing power </w:t>
      </w:r>
      <w:r w:rsidR="000F0727">
        <w:rPr>
          <w:noProof/>
        </w:rPr>
        <w:t xml:space="preserve">is not appropriate </w:t>
      </w:r>
      <w:r w:rsidR="00463854">
        <w:rPr>
          <w:noProof/>
        </w:rPr>
        <w:t>when</w:t>
      </w:r>
      <w:r w:rsidR="000F0727">
        <w:rPr>
          <w:noProof/>
        </w:rPr>
        <w:t xml:space="preserve"> </w:t>
      </w:r>
      <w:r w:rsidR="00B31D30">
        <w:rPr>
          <w:noProof/>
        </w:rPr>
        <w:t>investigating changes to living standards</w:t>
      </w:r>
      <w:r w:rsidR="005651A6">
        <w:rPr>
          <w:noProof/>
        </w:rPr>
        <w:t xml:space="preserve"> </w:t>
      </w:r>
      <w:sdt>
        <w:sdtPr>
          <w:rPr>
            <w:noProof/>
          </w:rPr>
          <w:id w:val="-1523310561"/>
          <w:citation/>
        </w:sdtPr>
        <w:sdtContent>
          <w:r w:rsidR="005651A6">
            <w:rPr>
              <w:noProof/>
            </w:rPr>
            <w:fldChar w:fldCharType="begin"/>
          </w:r>
          <w:r w:rsidR="005651A6">
            <w:rPr>
              <w:noProof/>
            </w:rPr>
            <w:instrText xml:space="preserve">CITATION Sta18 \p 13 \m Pas18 \p 7 \l 2057 </w:instrText>
          </w:r>
          <w:r w:rsidR="005651A6">
            <w:rPr>
              <w:noProof/>
            </w:rPr>
            <w:fldChar w:fldCharType="separate"/>
          </w:r>
          <w:r w:rsidR="007D5421" w:rsidRPr="007D5421">
            <w:rPr>
              <w:noProof/>
            </w:rPr>
            <w:t>(Stansbury &amp; Summers, 2018, p. 13; Pasimeni, 2018, p. 7)</w:t>
          </w:r>
          <w:r w:rsidR="005651A6">
            <w:rPr>
              <w:noProof/>
            </w:rPr>
            <w:fldChar w:fldCharType="end"/>
          </w:r>
        </w:sdtContent>
      </w:sdt>
      <w:r w:rsidR="00B31D30">
        <w:rPr>
          <w:noProof/>
        </w:rPr>
        <w:t>.</w:t>
      </w:r>
      <w:r w:rsidR="009845BF">
        <w:rPr>
          <w:noProof/>
        </w:rPr>
        <w:t xml:space="preserve"> </w:t>
      </w:r>
      <w:r w:rsidR="00B31D30">
        <w:rPr>
          <w:noProof/>
        </w:rPr>
        <w:t xml:space="preserve">As such, to properly investigate the connection </w:t>
      </w:r>
      <w:r w:rsidR="009845BF">
        <w:rPr>
          <w:noProof/>
        </w:rPr>
        <w:t xml:space="preserve">in the UK </w:t>
      </w:r>
      <w:r w:rsidR="00B31D30">
        <w:rPr>
          <w:noProof/>
        </w:rPr>
        <w:t xml:space="preserve">between living standards and productivity and </w:t>
      </w:r>
      <w:r w:rsidR="009845BF">
        <w:rPr>
          <w:noProof/>
        </w:rPr>
        <w:t>the claim that</w:t>
      </w:r>
      <w:r w:rsidR="00B31D30">
        <w:rPr>
          <w:noProof/>
        </w:rPr>
        <w:t xml:space="preserve"> they have </w:t>
      </w:r>
      <w:r w:rsidR="00E51BC3">
        <w:rPr>
          <w:noProof/>
        </w:rPr>
        <w:t xml:space="preserve">either </w:t>
      </w:r>
      <w:r w:rsidR="00B31D30">
        <w:rPr>
          <w:noProof/>
        </w:rPr>
        <w:t>diverged</w:t>
      </w:r>
      <w:r w:rsidR="009845BF">
        <w:rPr>
          <w:noProof/>
        </w:rPr>
        <w:t xml:space="preserve"> or decorrelated</w:t>
      </w:r>
      <w:r w:rsidR="00B31D30">
        <w:rPr>
          <w:noProof/>
        </w:rPr>
        <w:t xml:space="preserve"> </w:t>
      </w:r>
      <w:r w:rsidR="009845BF">
        <w:rPr>
          <w:noProof/>
        </w:rPr>
        <w:t xml:space="preserve">I </w:t>
      </w:r>
      <w:r w:rsidR="00172151">
        <w:rPr>
          <w:noProof/>
        </w:rPr>
        <w:t>estimate</w:t>
      </w:r>
      <w:r w:rsidR="009845BF">
        <w:rPr>
          <w:noProof/>
        </w:rPr>
        <w:t xml:space="preserve"> the productivity elasticity </w:t>
      </w:r>
      <w:r w:rsidR="001443D6">
        <w:rPr>
          <w:noProof/>
        </w:rPr>
        <w:t>across the income distribution</w:t>
      </w:r>
      <w:r w:rsidR="00172151">
        <w:rPr>
          <w:noProof/>
        </w:rPr>
        <w:t xml:space="preserve">. </w:t>
      </w:r>
      <w:r w:rsidR="00DB72C2">
        <w:rPr>
          <w:noProof/>
        </w:rPr>
        <w:t>To investigate the stronger claim that inequality</w:t>
      </w:r>
      <w:r w:rsidR="00DB72C2">
        <w:rPr>
          <w:rStyle w:val="FootnoteReference"/>
          <w:noProof/>
        </w:rPr>
        <w:footnoteReference w:id="3"/>
      </w:r>
      <w:r w:rsidR="00DB72C2">
        <w:rPr>
          <w:noProof/>
        </w:rPr>
        <w:t xml:space="preserve"> is the principle cause of divergence, this paper also </w:t>
      </w:r>
      <w:r w:rsidR="004C3AEB">
        <w:rPr>
          <w:noProof/>
        </w:rPr>
        <w:t>examines</w:t>
      </w:r>
      <w:r w:rsidR="00DB72C2">
        <w:rPr>
          <w:noProof/>
        </w:rPr>
        <w:t xml:space="preserve"> the impact of productivity on mean wages and compensation.</w:t>
      </w:r>
    </w:p>
    <w:p w14:paraId="3F1F20DE" w14:textId="101F1521" w:rsidR="00A17C6A" w:rsidRDefault="00493B69" w:rsidP="00147CE7">
      <w:pPr>
        <w:jc w:val="both"/>
        <w:rPr>
          <w:noProof/>
        </w:rPr>
      </w:pPr>
      <w:r>
        <w:rPr>
          <w:noProof/>
        </w:rPr>
        <w:t xml:space="preserve">The paper proceeds as follows: Chapter 2 is a literature review </w:t>
      </w:r>
      <w:r w:rsidR="008D4FB6">
        <w:rPr>
          <w:noProof/>
        </w:rPr>
        <w:t xml:space="preserve">divided into four sections – the first two focus on identifying two kinds of </w:t>
      </w:r>
      <w:r w:rsidR="001E463F">
        <w:t xml:space="preserve">methodological </w:t>
      </w:r>
      <w:r w:rsidR="008D4FB6">
        <w:rPr>
          <w:noProof/>
        </w:rPr>
        <w:t>problems prevalent within the productivity-pay literature in the UK, and how this study will add value by solving them</w:t>
      </w:r>
      <w:r w:rsidR="00502F51">
        <w:rPr>
          <w:noProof/>
        </w:rPr>
        <w:t xml:space="preserve">. In the latter two sections, focus shifts </w:t>
      </w:r>
      <w:r w:rsidR="008D4FB6">
        <w:rPr>
          <w:noProof/>
        </w:rPr>
        <w:t xml:space="preserve">to </w:t>
      </w:r>
      <w:r w:rsidR="00502F51">
        <w:rPr>
          <w:noProof/>
        </w:rPr>
        <w:t xml:space="preserve">analyse the </w:t>
      </w:r>
      <w:r>
        <w:rPr>
          <w:noProof/>
        </w:rPr>
        <w:t xml:space="preserve">seminal papers which </w:t>
      </w:r>
      <w:r w:rsidR="008D4FB6">
        <w:rPr>
          <w:noProof/>
        </w:rPr>
        <w:t xml:space="preserve">form the foundation of </w:t>
      </w:r>
      <w:r w:rsidR="003061A5">
        <w:rPr>
          <w:noProof/>
        </w:rPr>
        <w:t>my</w:t>
      </w:r>
      <w:r w:rsidR="008D4FB6">
        <w:rPr>
          <w:noProof/>
        </w:rPr>
        <w:t xml:space="preserve"> </w:t>
      </w:r>
      <w:r>
        <w:rPr>
          <w:noProof/>
        </w:rPr>
        <w:t xml:space="preserve">empirical strategy. Chapter 3 </w:t>
      </w:r>
      <w:r w:rsidR="008D4FB6">
        <w:rPr>
          <w:noProof/>
        </w:rPr>
        <w:t xml:space="preserve">outlines </w:t>
      </w:r>
      <w:r w:rsidR="00502F51">
        <w:rPr>
          <w:noProof/>
        </w:rPr>
        <w:t>the empirical</w:t>
      </w:r>
      <w:r w:rsidR="003061A5">
        <w:rPr>
          <w:noProof/>
        </w:rPr>
        <w:t xml:space="preserve"> strategy</w:t>
      </w:r>
      <w:r w:rsidR="008D4FB6">
        <w:rPr>
          <w:noProof/>
        </w:rPr>
        <w:t xml:space="preserve">, explains the </w:t>
      </w:r>
      <w:r w:rsidR="00B54BB4">
        <w:rPr>
          <w:noProof/>
        </w:rPr>
        <w:t>rationale</w:t>
      </w:r>
      <w:r w:rsidR="008D4FB6">
        <w:rPr>
          <w:noProof/>
        </w:rPr>
        <w:t xml:space="preserve"> for robustness tests</w:t>
      </w:r>
      <w:r w:rsidR="00B54BB4">
        <w:rPr>
          <w:noProof/>
        </w:rPr>
        <w:t xml:space="preserve"> and sets out the alternative specification framework which will ensure confidence in final estimates</w:t>
      </w:r>
      <w:r w:rsidR="008D4FB6">
        <w:rPr>
          <w:noProof/>
        </w:rPr>
        <w:t xml:space="preserve">. Chapter 4 explains where data was sourced </w:t>
      </w:r>
      <w:r w:rsidR="00D953C6">
        <w:rPr>
          <w:noProof/>
        </w:rPr>
        <w:t xml:space="preserve">and </w:t>
      </w:r>
      <w:r w:rsidR="003061A5">
        <w:rPr>
          <w:noProof/>
        </w:rPr>
        <w:t>evaluates</w:t>
      </w:r>
      <w:r w:rsidR="00D953C6">
        <w:rPr>
          <w:noProof/>
        </w:rPr>
        <w:t xml:space="preserve"> relationships and noticeable trends, </w:t>
      </w:r>
      <w:r w:rsidR="003061A5">
        <w:rPr>
          <w:noProof/>
        </w:rPr>
        <w:t>discussing</w:t>
      </w:r>
      <w:r w:rsidR="00D953C6">
        <w:rPr>
          <w:noProof/>
        </w:rPr>
        <w:t xml:space="preserve"> signs of potential structural breaks and changing income distributions. </w:t>
      </w:r>
    </w:p>
    <w:p w14:paraId="104869FA" w14:textId="1EE9F1C7" w:rsidR="00A17C6A" w:rsidRDefault="00172151" w:rsidP="00A17C6A">
      <w:pPr>
        <w:jc w:val="both"/>
        <w:rPr>
          <w:noProof/>
        </w:rPr>
      </w:pPr>
      <w:r>
        <w:rPr>
          <w:noProof/>
        </w:rPr>
        <w:t xml:space="preserve">Chapter 5 </w:t>
      </w:r>
      <w:r w:rsidR="00D953C6">
        <w:rPr>
          <w:noProof/>
        </w:rPr>
        <w:t>presents</w:t>
      </w:r>
      <w:r>
        <w:rPr>
          <w:noProof/>
        </w:rPr>
        <w:t xml:space="preserve"> the results </w:t>
      </w:r>
      <w:r w:rsidR="00D953C6">
        <w:rPr>
          <w:noProof/>
        </w:rPr>
        <w:t xml:space="preserve">and </w:t>
      </w:r>
      <w:r w:rsidR="003061A5">
        <w:rPr>
          <w:noProof/>
        </w:rPr>
        <w:t>reinforces the view that productivity has strong, positive links to living standards.</w:t>
      </w:r>
      <w:r w:rsidR="00146698">
        <w:rPr>
          <w:noProof/>
        </w:rPr>
        <w:t xml:space="preserve"> Earnings across the income distribution, including mean earnings and compensation, are analysed to </w:t>
      </w:r>
      <w:r w:rsidR="004C3AEB">
        <w:rPr>
          <w:noProof/>
        </w:rPr>
        <w:t>assess their</w:t>
      </w:r>
      <w:r w:rsidR="00146698">
        <w:rPr>
          <w:noProof/>
        </w:rPr>
        <w:t xml:space="preserve"> correlation with productivity. Alternative specifications are put into practice so that a robustness sensitivity analysis can be performed.</w:t>
      </w:r>
      <w:r w:rsidR="003061A5">
        <w:rPr>
          <w:noProof/>
        </w:rPr>
        <w:t xml:space="preserve"> </w:t>
      </w:r>
      <w:r w:rsidR="005D36FB">
        <w:rPr>
          <w:noProof/>
        </w:rPr>
        <w:t xml:space="preserve">As a result, </w:t>
      </w:r>
      <w:r w:rsidR="00A17C6A">
        <w:rPr>
          <w:noProof/>
        </w:rPr>
        <w:t xml:space="preserve">I find that productivity growth is very strongly correlated with wage growth at all levels of the income distribution. </w:t>
      </w:r>
      <w:r w:rsidR="005D36FB">
        <w:rPr>
          <w:noProof/>
        </w:rPr>
        <w:t>The</w:t>
      </w:r>
      <w:r w:rsidR="00A17C6A">
        <w:rPr>
          <w:noProof/>
        </w:rPr>
        <w:t xml:space="preserve"> analysis spans from 1997-2019 and utilises an OLS regression model to compare productivity and income growth, controlling for unemployment and inflation. At the median level, a 1% increase in productivity is associated with a 0.811% increase in earnings within two years, which rises to a 1.212% increase once five years have passed. Earnings growth with respect to productivity is higher for high earners, however</w:t>
      </w:r>
      <w:r w:rsidR="005D36FB">
        <w:rPr>
          <w:noProof/>
        </w:rPr>
        <w:t>,</w:t>
      </w:r>
      <w:r w:rsidR="00A17C6A">
        <w:rPr>
          <w:noProof/>
        </w:rPr>
        <w:t xml:space="preserve"> testing shows that up to and including the 8th decile of earners</w:t>
      </w:r>
      <w:r w:rsidR="005D36FB">
        <w:rPr>
          <w:noProof/>
        </w:rPr>
        <w:t>,</w:t>
      </w:r>
      <w:r w:rsidR="00A17C6A">
        <w:rPr>
          <w:noProof/>
        </w:rPr>
        <w:t xml:space="preserve"> the rate at which productivity growth increases wages is not statistically different from one-to-one. Inequality effects are real: the top </w:t>
      </w:r>
      <w:r w:rsidR="004C3AEB">
        <w:rPr>
          <w:noProof/>
        </w:rPr>
        <w:t xml:space="preserve">decile </w:t>
      </w:r>
      <w:r w:rsidR="00A17C6A">
        <w:rPr>
          <w:noProof/>
        </w:rPr>
        <w:t xml:space="preserve">benefit about 1.6 times more from productivity than the bottom 10%; furthermore, the coefficient for mean compensation growth is roughly 1.7 times greater than the median wage’s counterpart. While my research generally supports the views expressed by Krugman (1990) and Reeves (2024), i.e., that productivity is both an important determinant of wages, </w:t>
      </w:r>
      <w:r w:rsidR="00A17C6A" w:rsidRPr="005D36FB">
        <w:rPr>
          <w:noProof/>
        </w:rPr>
        <w:t xml:space="preserve">and that this relationship </w:t>
      </w:r>
      <w:r w:rsidR="005D36FB">
        <w:rPr>
          <w:noProof/>
        </w:rPr>
        <w:t xml:space="preserve">has been </w:t>
      </w:r>
      <w:r w:rsidR="00A17C6A" w:rsidRPr="005D36FB">
        <w:rPr>
          <w:noProof/>
        </w:rPr>
        <w:t>stable</w:t>
      </w:r>
      <w:r w:rsidR="005D36FB">
        <w:rPr>
          <w:noProof/>
        </w:rPr>
        <w:t xml:space="preserve"> in recent decades</w:t>
      </w:r>
      <w:r w:rsidR="00A17C6A">
        <w:rPr>
          <w:noProof/>
        </w:rPr>
        <w:t>, there are serious inequality and potential decoupling problems post-2008 which must be addressed via policy.</w:t>
      </w:r>
    </w:p>
    <w:p w14:paraId="5C089D97" w14:textId="395950F3" w:rsidR="00D953C6" w:rsidRDefault="00D953C6" w:rsidP="00147CE7">
      <w:pPr>
        <w:jc w:val="both"/>
        <w:rPr>
          <w:noProof/>
        </w:rPr>
      </w:pPr>
      <w:r>
        <w:rPr>
          <w:noProof/>
        </w:rPr>
        <w:t>Finally, Chapter 6 discusses policy implications and concludes.</w:t>
      </w:r>
    </w:p>
    <w:p w14:paraId="0FDA89F4" w14:textId="5C1AD2EA" w:rsidR="00204537" w:rsidRDefault="00204537" w:rsidP="00DF64C4">
      <w:pPr>
        <w:pStyle w:val="Heading1"/>
        <w:rPr>
          <w:noProof/>
        </w:rPr>
      </w:pPr>
      <w:bookmarkStart w:id="1" w:name="_Toc198794464"/>
      <w:r>
        <w:rPr>
          <w:noProof/>
        </w:rPr>
        <w:t>Chapter 2: Previous Literature</w:t>
      </w:r>
      <w:bookmarkEnd w:id="1"/>
    </w:p>
    <w:p w14:paraId="7096960D" w14:textId="0BD6B173" w:rsidR="00A436A2" w:rsidRDefault="00204537" w:rsidP="00147CE7">
      <w:pPr>
        <w:jc w:val="both"/>
      </w:pPr>
      <w:r>
        <w:t xml:space="preserve">The existing body of literature in the UK is sectioned broadly into </w:t>
      </w:r>
      <w:r w:rsidR="00A436A2">
        <w:t xml:space="preserve">decomposition analyses, evidence supporting a productivity-pay </w:t>
      </w:r>
      <w:r w:rsidR="00156524">
        <w:t>de</w:t>
      </w:r>
      <w:r w:rsidR="00A436A2">
        <w:t>correlation, and evidence against.</w:t>
      </w:r>
      <w:r w:rsidR="005A6A68">
        <w:t xml:space="preserve"> Finally, non-UK investigations are analysed which inform the empirical strategy.</w:t>
      </w:r>
    </w:p>
    <w:p w14:paraId="74889D55" w14:textId="04684448" w:rsidR="00204537" w:rsidRDefault="00204537" w:rsidP="00DF64C4">
      <w:pPr>
        <w:pStyle w:val="Heading2"/>
      </w:pPr>
      <w:bookmarkStart w:id="2" w:name="_Toc198794465"/>
      <w:r w:rsidRPr="00204537">
        <w:t xml:space="preserve">Section 2.1: </w:t>
      </w:r>
      <w:r w:rsidR="00A436A2" w:rsidRPr="00204537">
        <w:t xml:space="preserve">Decomposition </w:t>
      </w:r>
      <w:r w:rsidR="00A436A2">
        <w:t>A</w:t>
      </w:r>
      <w:r w:rsidR="00A436A2" w:rsidRPr="00204537">
        <w:t>nalys</w:t>
      </w:r>
      <w:r w:rsidR="00A436A2">
        <w:t>e</w:t>
      </w:r>
      <w:r w:rsidR="00A436A2" w:rsidRPr="00204537">
        <w:t>s</w:t>
      </w:r>
      <w:bookmarkEnd w:id="2"/>
    </w:p>
    <w:p w14:paraId="20FC95B1" w14:textId="567328F0" w:rsidR="00C13483" w:rsidRDefault="00204537" w:rsidP="00147CE7">
      <w:pPr>
        <w:jc w:val="both"/>
      </w:pPr>
      <w:r>
        <w:t xml:space="preserve">Pessoa &amp; Van Reenen (2013) and </w:t>
      </w:r>
      <w:proofErr w:type="spellStart"/>
      <w:r>
        <w:t>Teichgra</w:t>
      </w:r>
      <w:r w:rsidR="001E463F">
        <w:t>e</w:t>
      </w:r>
      <w:r>
        <w:t>ber</w:t>
      </w:r>
      <w:proofErr w:type="spellEnd"/>
      <w:r>
        <w:t xml:space="preserve"> &amp; Van Reenen (2021) decompose the gap between median wages and productivity growth since the early 70s. They define net decoupling (</w:t>
      </w:r>
      <m:oMath>
        <m:r>
          <w:rPr>
            <w:rFonts w:ascii="Cambria Math" w:hAnsi="Cambria Math"/>
          </w:rPr>
          <m:t>ND</m:t>
        </m:r>
      </m:oMath>
      <w:r>
        <w:t>) as the difference between labour productivity</w:t>
      </w:r>
      <w:r w:rsidR="004B082F">
        <w:t xml:space="preserve"> (LP)</w:t>
      </w:r>
      <w:r>
        <w:t xml:space="preserve"> and </w:t>
      </w:r>
      <w:r w:rsidRPr="004B082F">
        <w:t>mean compensation</w:t>
      </w:r>
      <w:r w:rsidR="004B082F">
        <w:t xml:space="preserve">, </w:t>
      </w:r>
      <w:r>
        <w:t>both adjusted by</w:t>
      </w:r>
      <w:r w:rsidR="004B082F">
        <w:t xml:space="preserve"> an implicit GDP</w:t>
      </w:r>
      <w:r>
        <w:t xml:space="preserve"> deflator</w:t>
      </w:r>
      <w:r w:rsidR="004B082F">
        <w:t>.</w:t>
      </w:r>
      <w:r>
        <w:t xml:space="preserve"> </w:t>
      </w:r>
      <w:r w:rsidR="004B082F">
        <w:t>G</w:t>
      </w:r>
      <w:r>
        <w:t>ross decoupling (</w:t>
      </w:r>
      <m:oMath>
        <m:r>
          <w:rPr>
            <w:rFonts w:ascii="Cambria Math" w:hAnsi="Cambria Math"/>
          </w:rPr>
          <m:t>GD)</m:t>
        </m:r>
      </m:oMath>
      <w:r w:rsidR="004B082F">
        <w:t xml:space="preserve"> </w:t>
      </w:r>
      <w:r>
        <w:t xml:space="preserve">is defined as the difference between </w:t>
      </w:r>
      <w:r w:rsidR="004B082F">
        <w:t>LP</w:t>
      </w:r>
      <w:r>
        <w:t xml:space="preserve"> and </w:t>
      </w:r>
      <w:r w:rsidRPr="004B082F">
        <w:t>median wages</w:t>
      </w:r>
      <w:r>
        <w:t xml:space="preserve">, deflated by an output and consumer price deflator, respectively. </w:t>
      </w:r>
      <w:r w:rsidR="00C13483">
        <w:t xml:space="preserve">In recent years, </w:t>
      </w:r>
      <m:oMath>
        <m:r>
          <w:rPr>
            <w:rFonts w:ascii="Cambria Math" w:hAnsi="Cambria Math"/>
          </w:rPr>
          <m:t>GD</m:t>
        </m:r>
      </m:oMath>
      <w:r w:rsidR="00C13483">
        <w:t xml:space="preserve"> has been growing larger and larger – that is what we see in figure B – but </w:t>
      </w:r>
      <m:oMath>
        <m:r>
          <w:rPr>
            <w:rFonts w:ascii="Cambria Math" w:hAnsi="Cambria Math"/>
          </w:rPr>
          <m:t>ND</m:t>
        </m:r>
      </m:oMath>
      <w:r w:rsidR="00C13483">
        <w:t xml:space="preserve"> has stayed relatively stable.</w:t>
      </w:r>
    </w:p>
    <w:p w14:paraId="7C5A6C59" w14:textId="3CA8561E" w:rsidR="00204537" w:rsidRDefault="00204537" w:rsidP="00147CE7">
      <w:pPr>
        <w:jc w:val="both"/>
      </w:pPr>
      <w:r>
        <w:t>The difference between the two measures can be decomposed to:</w:t>
      </w:r>
    </w:p>
    <w:p w14:paraId="3A26CE98" w14:textId="7DD0716F" w:rsidR="004B082F" w:rsidRPr="004B082F" w:rsidRDefault="004B082F" w:rsidP="00147CE7">
      <w:pPr>
        <w:jc w:val="both"/>
      </w:pPr>
      <m:oMathPara>
        <m:oMath>
          <m:eqArr>
            <m:eqArrPr>
              <m:maxDist m:val="1"/>
              <m:ctrlPr>
                <w:rPr>
                  <w:rFonts w:ascii="Cambria Math" w:hAnsi="Cambria Math"/>
                </w:rPr>
              </m:ctrlPr>
            </m:eqArrPr>
            <m:e>
              <m:r>
                <w:rPr>
                  <w:rFonts w:ascii="Cambria Math" w:hAnsi="Cambria Math"/>
                </w:rPr>
                <m:t>GD</m:t>
              </m:r>
              <m:r>
                <m:rPr>
                  <m:sty m:val="p"/>
                </m:rPr>
                <w:rPr>
                  <w:rFonts w:ascii="Cambria Math" w:hAnsi="Cambria Math"/>
                </w:rPr>
                <m:t>-</m:t>
              </m:r>
              <m:r>
                <w:rPr>
                  <w:rFonts w:ascii="Cambria Math" w:hAnsi="Cambria Math"/>
                </w:rPr>
                <m:t>ND</m:t>
              </m:r>
              <m:r>
                <m:rPr>
                  <m:sty m:val="p"/>
                </m:rPr>
                <w:rPr>
                  <w:rFonts w:ascii="Cambria Math" w:hAnsi="Cambria Math"/>
                </w:rPr>
                <m:t>=</m:t>
              </m:r>
              <m:r>
                <w:rPr>
                  <w:rFonts w:ascii="Cambria Math" w:hAnsi="Cambria Math"/>
                </w:rPr>
                <m:t>Inequality</m:t>
              </m:r>
              <m:r>
                <m:rPr>
                  <m:sty m:val="p"/>
                </m:rPr>
                <w:rPr>
                  <w:rFonts w:ascii="Cambria Math" w:hAnsi="Cambria Math"/>
                </w:rPr>
                <m:t>+</m:t>
              </m:r>
              <m:r>
                <w:rPr>
                  <w:rFonts w:ascii="Cambria Math" w:hAnsi="Cambria Math"/>
                </w:rPr>
                <m:t>Wage</m:t>
              </m:r>
              <m:r>
                <m:rPr>
                  <m:sty m:val="p"/>
                </m:rPr>
                <w:rPr>
                  <w:rFonts w:ascii="Cambria Math" w:hAnsi="Cambria Math"/>
                </w:rPr>
                <m:t xml:space="preserve"> </m:t>
              </m:r>
              <m:r>
                <w:rPr>
                  <w:rFonts w:ascii="Cambria Math" w:hAnsi="Cambria Math"/>
                </w:rPr>
                <m:t>wedge</m:t>
              </m:r>
              <m:r>
                <m:rPr>
                  <m:sty m:val="p"/>
                </m:rPr>
                <w:rPr>
                  <w:rFonts w:ascii="Cambria Math" w:hAnsi="Cambria Math"/>
                </w:rPr>
                <m:t>+</m:t>
              </m:r>
              <m:r>
                <w:rPr>
                  <w:rFonts w:ascii="Cambria Math" w:hAnsi="Cambria Math"/>
                </w:rPr>
                <m:t>Price</m:t>
              </m:r>
              <m:r>
                <m:rPr>
                  <m:sty m:val="p"/>
                </m:rPr>
                <w:rPr>
                  <w:rFonts w:ascii="Cambria Math" w:hAnsi="Cambria Math"/>
                </w:rPr>
                <m:t xml:space="preserve"> </m:t>
              </m:r>
              <m:r>
                <w:rPr>
                  <w:rFonts w:ascii="Cambria Math" w:hAnsi="Cambria Math"/>
                </w:rPr>
                <m:t>wedge</m:t>
              </m:r>
              <m:r>
                <m:rPr>
                  <m:sty m:val="p"/>
                </m:rPr>
                <w:rPr>
                  <w:rFonts w:ascii="Cambria Math" w:hAnsi="Cambria Math"/>
                </w:rPr>
                <m:t>#</m:t>
              </m:r>
              <m:d>
                <m:dPr>
                  <m:ctrlPr>
                    <w:rPr>
                      <w:rFonts w:ascii="Cambria Math" w:hAnsi="Cambria Math"/>
                    </w:rPr>
                  </m:ctrlPr>
                </m:dPr>
                <m:e>
                  <m:r>
                    <m:rPr>
                      <m:sty m:val="p"/>
                    </m:rPr>
                    <w:rPr>
                      <w:rFonts w:ascii="Cambria Math" w:hAnsi="Cambria Math"/>
                    </w:rPr>
                    <m:t>1</m:t>
                  </m:r>
                </m:e>
              </m:d>
            </m:e>
          </m:eqArr>
        </m:oMath>
      </m:oMathPara>
    </w:p>
    <w:p w14:paraId="7B19FBBA" w14:textId="49194968" w:rsidR="004B082F" w:rsidRDefault="004B082F" w:rsidP="00147CE7">
      <w:pPr>
        <w:jc w:val="both"/>
      </w:pPr>
      <w:r>
        <w:t xml:space="preserve">Equation 1 explains nearly the entire difference </w:t>
      </w:r>
      <m:oMath>
        <m:r>
          <w:rPr>
            <w:rFonts w:ascii="Cambria Math" w:hAnsi="Cambria Math"/>
          </w:rPr>
          <m:t>GD-ND</m:t>
        </m:r>
      </m:oMath>
      <w:r>
        <w:t xml:space="preserve">, although </w:t>
      </w:r>
      <w:r w:rsidR="00C13483">
        <w:t xml:space="preserve">Pessoa &amp; Van Reenen (2013) explain that </w:t>
      </w:r>
      <w:r>
        <w:t xml:space="preserve">measurement errors and </w:t>
      </w:r>
      <w:r w:rsidR="00C13483">
        <w:t>the labour income of the self-employed</w:t>
      </w:r>
      <w:r>
        <w:t xml:space="preserve"> also account for a very small proportion. </w:t>
      </w:r>
      <m:oMath>
        <m:r>
          <w:rPr>
            <w:rFonts w:ascii="Cambria Math" w:hAnsi="Cambria Math"/>
          </w:rPr>
          <m:t>Inequality</m:t>
        </m:r>
      </m:oMath>
      <w:r w:rsidR="00A436A2">
        <w:t xml:space="preserve"> represents differences between mean and median wages, </w:t>
      </w:r>
      <m:oMath>
        <m:r>
          <w:rPr>
            <w:rFonts w:ascii="Cambria Math" w:hAnsi="Cambria Math"/>
          </w:rPr>
          <m:t>Wage wedge</m:t>
        </m:r>
      </m:oMath>
      <w:r w:rsidR="00A436A2">
        <w:t xml:space="preserve"> represents differences between wages and total compensation per hour</w:t>
      </w:r>
      <w:r w:rsidR="008026FA">
        <w:t>, i.e., non-wage benefits such as pensions</w:t>
      </w:r>
      <w:r w:rsidR="00A436A2">
        <w:t xml:space="preserve">, and </w:t>
      </w:r>
      <m:oMath>
        <m:r>
          <w:rPr>
            <w:rFonts w:ascii="Cambria Math" w:hAnsi="Cambria Math"/>
          </w:rPr>
          <m:t>Price wedge</m:t>
        </m:r>
      </m:oMath>
      <w:r w:rsidR="00A436A2">
        <w:t xml:space="preserve"> represents differences between producer and consumer prices. </w:t>
      </w:r>
      <w:r>
        <w:t xml:space="preserve">See </w:t>
      </w:r>
      <w:r w:rsidR="004C3AEB">
        <w:t>Figures</w:t>
      </w:r>
      <w:r>
        <w:t xml:space="preserve"> E and F for </w:t>
      </w:r>
      <w:r w:rsidR="008026FA">
        <w:t>a</w:t>
      </w:r>
      <w:r>
        <w:t xml:space="preserve"> decomposition</w:t>
      </w:r>
      <w:r w:rsidR="00C463B8">
        <w:t xml:space="preserve"> of the gap</w:t>
      </w:r>
      <w:r>
        <w:t>.</w:t>
      </w:r>
    </w:p>
    <w:p w14:paraId="2D332CB7" w14:textId="153589AD" w:rsidR="004B082F" w:rsidRDefault="004B082F" w:rsidP="00147CE7">
      <w:pPr>
        <w:jc w:val="center"/>
      </w:pPr>
      <w:r>
        <w:rPr>
          <w:noProof/>
        </w:rPr>
        <w:drawing>
          <wp:inline distT="0" distB="0" distL="0" distR="0" wp14:anchorId="41EF6386" wp14:editId="405C645F">
            <wp:extent cx="5072667" cy="3234906"/>
            <wp:effectExtent l="0" t="0" r="0" b="3810"/>
            <wp:docPr id="598470718"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70718" name="Picture 1" descr="A graph of different colored squares&#10;&#10;AI-generated content may be incorrect."/>
                    <pic:cNvPicPr/>
                  </pic:nvPicPr>
                  <pic:blipFill>
                    <a:blip r:embed="rId15"/>
                    <a:stretch>
                      <a:fillRect/>
                    </a:stretch>
                  </pic:blipFill>
                  <pic:spPr>
                    <a:xfrm>
                      <a:off x="0" y="0"/>
                      <a:ext cx="5081686" cy="3240657"/>
                    </a:xfrm>
                    <a:prstGeom prst="rect">
                      <a:avLst/>
                    </a:prstGeom>
                  </pic:spPr>
                </pic:pic>
              </a:graphicData>
            </a:graphic>
          </wp:inline>
        </w:drawing>
      </w:r>
    </w:p>
    <w:p w14:paraId="5212A1B2" w14:textId="6A40B7BE" w:rsidR="004B082F" w:rsidRDefault="004B082F" w:rsidP="00147CE7">
      <w:pPr>
        <w:pStyle w:val="Subtitle"/>
      </w:pPr>
      <w:r>
        <w:t>Figure E – “Decoupling Decomposition in the UK” Pessoa &amp; Van Reenen (2013, p. 18. Figure 7)</w:t>
      </w:r>
    </w:p>
    <w:p w14:paraId="6C97BA91" w14:textId="21330F9E" w:rsidR="004B082F" w:rsidRDefault="004B082F" w:rsidP="00147CE7">
      <w:pPr>
        <w:jc w:val="center"/>
      </w:pPr>
      <w:r>
        <w:rPr>
          <w:noProof/>
        </w:rPr>
        <w:drawing>
          <wp:inline distT="0" distB="0" distL="0" distR="0" wp14:anchorId="3EEAE21C" wp14:editId="088D7A45">
            <wp:extent cx="5201728" cy="3074587"/>
            <wp:effectExtent l="0" t="0" r="0" b="0"/>
            <wp:docPr id="609583933"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3933" name="Picture 1" descr="A graph of different colored squares&#10;&#10;AI-generated content may be incorrect."/>
                    <pic:cNvPicPr/>
                  </pic:nvPicPr>
                  <pic:blipFill>
                    <a:blip r:embed="rId16"/>
                    <a:stretch>
                      <a:fillRect/>
                    </a:stretch>
                  </pic:blipFill>
                  <pic:spPr>
                    <a:xfrm>
                      <a:off x="0" y="0"/>
                      <a:ext cx="5208903" cy="3078828"/>
                    </a:xfrm>
                    <a:prstGeom prst="rect">
                      <a:avLst/>
                    </a:prstGeom>
                  </pic:spPr>
                </pic:pic>
              </a:graphicData>
            </a:graphic>
          </wp:inline>
        </w:drawing>
      </w:r>
    </w:p>
    <w:p w14:paraId="110B90AD" w14:textId="1AF6641E" w:rsidR="004B082F" w:rsidRDefault="004B082F" w:rsidP="00147CE7">
      <w:pPr>
        <w:pStyle w:val="Subtitle"/>
      </w:pPr>
      <w:r>
        <w:t xml:space="preserve">Figure F – “Decoupling Decomposition in the UK” </w:t>
      </w:r>
      <w:proofErr w:type="spellStart"/>
      <w:r>
        <w:t>Teichgra</w:t>
      </w:r>
      <w:r w:rsidR="001E463F">
        <w:t>e</w:t>
      </w:r>
      <w:r>
        <w:t>ber</w:t>
      </w:r>
      <w:proofErr w:type="spellEnd"/>
      <w:r>
        <w:t xml:space="preserve"> &amp; Van Reenen (2021, p. 41. Chart 5)</w:t>
      </w:r>
    </w:p>
    <w:p w14:paraId="1860A5B2" w14:textId="3274403A" w:rsidR="00BF2538" w:rsidRDefault="00C463B8" w:rsidP="00BF2538">
      <w:pPr>
        <w:jc w:val="both"/>
      </w:pPr>
      <w:r>
        <w:t xml:space="preserve">We see from both figures that </w:t>
      </w:r>
      <w:r w:rsidR="00A436A2">
        <w:t>the divergence in productivity-pay is</w:t>
      </w:r>
      <w:r>
        <w:t xml:space="preserve"> mostly</w:t>
      </w:r>
      <w:r w:rsidR="00A436A2">
        <w:t xml:space="preserve"> a growth in inequality and non-wage compensation.</w:t>
      </w:r>
      <w:r>
        <w:t xml:space="preserve"> As </w:t>
      </w:r>
      <w:proofErr w:type="spellStart"/>
      <w:r>
        <w:t>Teichgraeber</w:t>
      </w:r>
      <w:proofErr w:type="spellEnd"/>
      <w:r>
        <w:t xml:space="preserve"> &amp; Van Reenen </w:t>
      </w:r>
      <w:sdt>
        <w:sdtPr>
          <w:id w:val="1504393520"/>
          <w:citation/>
        </w:sdtPr>
        <w:sdtContent>
          <w:r>
            <w:fldChar w:fldCharType="begin"/>
          </w:r>
          <w:r>
            <w:instrText xml:space="preserve">CITATION Tei21 \n  \t  \l 2057 </w:instrText>
          </w:r>
          <w:r>
            <w:fldChar w:fldCharType="separate"/>
          </w:r>
          <w:r w:rsidR="007D5421" w:rsidRPr="007D5421">
            <w:rPr>
              <w:noProof/>
            </w:rPr>
            <w:t>(2021)</w:t>
          </w:r>
          <w:r>
            <w:fldChar w:fldCharType="end"/>
          </w:r>
        </w:sdtContent>
      </w:sdt>
      <w:r>
        <w:t xml:space="preserve"> point out, however, non-wage benefits are themselves likelier to accrue to high earners.</w:t>
      </w:r>
      <w:r w:rsidR="00A436A2">
        <w:br/>
      </w:r>
      <w:r>
        <w:t xml:space="preserve">My main criticism of both studies </w:t>
      </w:r>
      <w:r w:rsidR="0018174E">
        <w:t xml:space="preserve">and others like them </w:t>
      </w:r>
      <w:sdt>
        <w:sdtPr>
          <w:id w:val="-1647969895"/>
          <w:citation/>
        </w:sdtPr>
        <w:sdtContent>
          <w:r w:rsidR="0018174E">
            <w:fldChar w:fldCharType="begin"/>
          </w:r>
          <w:r w:rsidR="0018174E">
            <w:instrText xml:space="preserve"> CITATION Biv15 \l 2057  \m Tuc17</w:instrText>
          </w:r>
          <w:r w:rsidR="0018174E">
            <w:fldChar w:fldCharType="separate"/>
          </w:r>
          <w:r w:rsidR="007D5421" w:rsidRPr="007D5421">
            <w:rPr>
              <w:noProof/>
            </w:rPr>
            <w:t>(Bivens &amp; Mishel, 2015; Tuckett, 2017)</w:t>
          </w:r>
          <w:r w:rsidR="0018174E">
            <w:fldChar w:fldCharType="end"/>
          </w:r>
        </w:sdtContent>
      </w:sdt>
      <w:r w:rsidR="0018174E">
        <w:t xml:space="preserve"> </w:t>
      </w:r>
      <w:r>
        <w:t>is the methodology which is used to make certain claims. For example, Van Reenen states that the findings of T&amp;VR (2021) reinforces the idea the UK needs to “tackle this productivity [growth] challenge if we want to get back to sustainable earnings growth.”</w:t>
      </w:r>
      <w:r w:rsidRPr="00C463B8">
        <w:t xml:space="preserve"> </w:t>
      </w:r>
      <w:sdt>
        <w:sdtPr>
          <w:id w:val="1182321395"/>
          <w:citation/>
        </w:sdtPr>
        <w:sdtContent>
          <w:r>
            <w:fldChar w:fldCharType="begin"/>
          </w:r>
          <w:r>
            <w:instrText xml:space="preserve"> CITATION LSE25 \l 2057 </w:instrText>
          </w:r>
          <w:r>
            <w:fldChar w:fldCharType="separate"/>
          </w:r>
          <w:r w:rsidR="007D5421" w:rsidRPr="007D5421">
            <w:rPr>
              <w:noProof/>
            </w:rPr>
            <w:t>(LSE News, 2021)</w:t>
          </w:r>
          <w:r>
            <w:fldChar w:fldCharType="end"/>
          </w:r>
        </w:sdtContent>
      </w:sdt>
      <w:r>
        <w:t xml:space="preserve"> However, if that is the main message of the study, </w:t>
      </w:r>
      <w:r w:rsidR="00C13483">
        <w:t>it doesn’t seem to be getting through</w:t>
      </w:r>
      <w:r>
        <w:t xml:space="preserve"> – on the same website, it is claimed the study shows “the typical worker may not feel much benefit [from productivity growth]”. This apparent contradiction owes itself to the lack of quantitative backing </w:t>
      </w:r>
      <w:r w:rsidR="0018174E">
        <w:t>possessed by graphical</w:t>
      </w:r>
      <w:r>
        <w:t xml:space="preserve"> </w:t>
      </w:r>
      <w:r w:rsidR="0018174E">
        <w:t xml:space="preserve">depictions of </w:t>
      </w:r>
      <w:r>
        <w:t>the productivity-pay divergence</w:t>
      </w:r>
      <w:r w:rsidR="0018174E">
        <w:t xml:space="preserve">. </w:t>
      </w:r>
      <w:r w:rsidR="00BF2538">
        <w:t>Readers are left to guess whether the productivity-</w:t>
      </w:r>
      <w:r w:rsidR="004C3AEB">
        <w:t xml:space="preserve">pay </w:t>
      </w:r>
      <w:r w:rsidR="00BF2538">
        <w:t xml:space="preserve">causal link is broken, or binding but visually diverging due to orthogonal factors </w:t>
      </w:r>
      <w:sdt>
        <w:sdtPr>
          <w:id w:val="-1491872464"/>
          <w:citation/>
        </w:sdtPr>
        <w:sdtContent>
          <w:r w:rsidR="00BF2538">
            <w:fldChar w:fldCharType="begin"/>
          </w:r>
          <w:r w:rsidR="00BF2538">
            <w:instrText xml:space="preserve">CITATION Sta18 \p 4 \l 2057 </w:instrText>
          </w:r>
          <w:r w:rsidR="00BF2538">
            <w:fldChar w:fldCharType="separate"/>
          </w:r>
          <w:r w:rsidR="007D5421" w:rsidRPr="007D5421">
            <w:rPr>
              <w:noProof/>
            </w:rPr>
            <w:t>(Stansbury &amp; Summers, 2018, p. 4)</w:t>
          </w:r>
          <w:r w:rsidR="00BF2538">
            <w:fldChar w:fldCharType="end"/>
          </w:r>
        </w:sdtContent>
      </w:sdt>
      <w:r w:rsidR="00BF2538">
        <w:t>.</w:t>
      </w:r>
    </w:p>
    <w:p w14:paraId="5F341B4D" w14:textId="4EC162F9" w:rsidR="00BF2538" w:rsidRDefault="00BF2538" w:rsidP="00147CE7">
      <w:pPr>
        <w:jc w:val="both"/>
      </w:pPr>
    </w:p>
    <w:p w14:paraId="0D5E1C17" w14:textId="5748E818" w:rsidR="00156524" w:rsidRDefault="00156524" w:rsidP="00DF64C4">
      <w:pPr>
        <w:pStyle w:val="Heading2"/>
      </w:pPr>
      <w:bookmarkStart w:id="3" w:name="_Toc198794466"/>
      <w:r>
        <w:t>Section 2.2: Evidence of Productivity-pay Decorrelation</w:t>
      </w:r>
      <w:bookmarkEnd w:id="3"/>
    </w:p>
    <w:p w14:paraId="06F1A8BD" w14:textId="3365AA2D" w:rsidR="00156524" w:rsidRPr="00E5726A" w:rsidRDefault="00156524" w:rsidP="00147CE7">
      <w:pPr>
        <w:jc w:val="both"/>
      </w:pPr>
      <w:proofErr w:type="spellStart"/>
      <w:r>
        <w:t>Ciarli</w:t>
      </w:r>
      <w:proofErr w:type="spellEnd"/>
      <w:r w:rsidR="00114BF0">
        <w:t xml:space="preserve"> et al.</w:t>
      </w:r>
      <w:r>
        <w:t xml:space="preserve"> (2018) use matched employer-employee combinations to investigate how low-wage workers benefit from productivity growth in the UK</w:t>
      </w:r>
      <w:r w:rsidR="00114BF0">
        <w:t xml:space="preserve"> from 2011-15</w:t>
      </w:r>
      <w:r>
        <w:t>. Their methodology allows the study of effects at the firm, industry, and local labour market level. Their work builds on</w:t>
      </w:r>
      <w:r w:rsidR="00BF2538">
        <w:t xml:space="preserve"> a similar methodology by</w:t>
      </w:r>
      <w:r>
        <w:t xml:space="preserve"> Carlsson </w:t>
      </w:r>
      <w:sdt>
        <w:sdtPr>
          <w:id w:val="544186920"/>
          <w:citation/>
        </w:sdtPr>
        <w:sdtContent>
          <w:r>
            <w:fldChar w:fldCharType="begin"/>
          </w:r>
          <w:r>
            <w:instrText xml:space="preserve">CITATION Car16 \n  \t  \l 2057 </w:instrText>
          </w:r>
          <w:r>
            <w:fldChar w:fldCharType="separate"/>
          </w:r>
          <w:r w:rsidR="007D5421" w:rsidRPr="007D5421">
            <w:rPr>
              <w:noProof/>
            </w:rPr>
            <w:t>(2016)</w:t>
          </w:r>
          <w:r>
            <w:fldChar w:fldCharType="end"/>
          </w:r>
        </w:sdtContent>
      </w:sdt>
      <w:r>
        <w:t xml:space="preserve"> </w:t>
      </w:r>
      <w:r w:rsidR="00E5726A">
        <w:t xml:space="preserve">who found that Swedish workers in 1990-96 gained greater benefit at the </w:t>
      </w:r>
      <w:r w:rsidR="00E5726A">
        <w:rPr>
          <w:i/>
          <w:iCs/>
        </w:rPr>
        <w:t>industry level</w:t>
      </w:r>
      <w:r w:rsidR="00E5726A">
        <w:t xml:space="preserve"> from productivity improvements than at the </w:t>
      </w:r>
      <w:r w:rsidR="00E5726A">
        <w:rPr>
          <w:i/>
          <w:iCs/>
        </w:rPr>
        <w:t>firm level</w:t>
      </w:r>
      <w:r w:rsidR="00E5726A">
        <w:t xml:space="preserve">, meaning that productivity improvements in the firm employing them raised </w:t>
      </w:r>
      <w:r w:rsidR="0018174E">
        <w:t xml:space="preserve">their </w:t>
      </w:r>
      <w:r w:rsidR="00E5726A">
        <w:t xml:space="preserve">wages less than productivity improvements in rival firms. </w:t>
      </w:r>
      <w:proofErr w:type="spellStart"/>
      <w:r w:rsidR="00E5726A">
        <w:t>Ciarli</w:t>
      </w:r>
      <w:proofErr w:type="spellEnd"/>
      <w:r w:rsidR="00E5726A">
        <w:t xml:space="preserve"> et al. (2018, p. 16) </w:t>
      </w:r>
      <w:r w:rsidR="0018174E">
        <w:t>similarly</w:t>
      </w:r>
      <w:r w:rsidR="00E5726A">
        <w:t xml:space="preserve"> report stronger effects at broader </w:t>
      </w:r>
      <w:r w:rsidR="0018174E">
        <w:t>compared to</w:t>
      </w:r>
      <w:r w:rsidR="00E5726A">
        <w:t xml:space="preserve"> narrower levels. Productivity growth effects on median wages were insignificant at the firm level, </w:t>
      </w:r>
      <w:r w:rsidR="00114BF0">
        <w:t>-0.040%</w:t>
      </w:r>
      <w:r w:rsidR="00E5726A">
        <w:t xml:space="preserve"> at the industry </w:t>
      </w:r>
      <w:r w:rsidR="00114BF0">
        <w:t xml:space="preserve">level, </w:t>
      </w:r>
      <w:r w:rsidR="00E5726A">
        <w:t xml:space="preserve">and </w:t>
      </w:r>
      <w:r w:rsidR="00114BF0">
        <w:t xml:space="preserve">insignificant at the </w:t>
      </w:r>
      <w:r w:rsidR="00E5726A">
        <w:t>local labour market (LLM) level</w:t>
      </w:r>
      <w:r w:rsidR="00114BF0">
        <w:t xml:space="preserve">. Furthermore, most income quintiles experience insignificant wage growth due to productivity growth. </w:t>
      </w:r>
    </w:p>
    <w:p w14:paraId="70B92954" w14:textId="53F1C92C" w:rsidR="00114BF0" w:rsidRDefault="00156524" w:rsidP="00147CE7">
      <w:pPr>
        <w:jc w:val="both"/>
      </w:pPr>
      <w:r>
        <w:t xml:space="preserve">These findings are mirrored by </w:t>
      </w:r>
      <w:proofErr w:type="spellStart"/>
      <w:r>
        <w:t>Ciarli</w:t>
      </w:r>
      <w:proofErr w:type="spellEnd"/>
      <w:r w:rsidR="00114BF0">
        <w:t xml:space="preserve"> et al.</w:t>
      </w:r>
      <w:r>
        <w:t xml:space="preserve"> (2021) who investigate the productivity-compensation nexus in London, Slough &amp; Heathrow, and the rest of Great Britain at the </w:t>
      </w:r>
      <w:r w:rsidR="00114BF0">
        <w:t>LLM</w:t>
      </w:r>
      <w:r>
        <w:t xml:space="preserve"> level in the period 2004-2014</w:t>
      </w:r>
      <w:r w:rsidR="00114BF0">
        <w:t xml:space="preserve">. The researchers employ a 2SLS regression, as endogeneity problems may arise between wages and productivity – for example, minimum wage increases may spur firms to increase productivity. They instrument </w:t>
      </w:r>
      <w:r w:rsidR="005A6A68">
        <w:t>using firms’ technical productivity, as capital investment is less likely</w:t>
      </w:r>
      <w:r w:rsidR="00114BF0">
        <w:t xml:space="preserve"> </w:t>
      </w:r>
      <w:r w:rsidR="005A6A68">
        <w:t xml:space="preserve">to be influenced by changes to minimum wages, and control for matched employer-employee fixed effects, and year fixed effects. They find </w:t>
      </w:r>
      <w:r w:rsidR="0018174E">
        <w:t xml:space="preserve">statistically </w:t>
      </w:r>
      <w:r w:rsidR="005A6A68">
        <w:t>significant</w:t>
      </w:r>
      <w:r w:rsidR="0018174E" w:rsidRPr="0018174E">
        <w:t xml:space="preserve"> </w:t>
      </w:r>
      <w:r w:rsidR="0018174E">
        <w:t>productivity elasticities of median wages of</w:t>
      </w:r>
      <w:r w:rsidR="005A6A68">
        <w:t xml:space="preserve"> 0.35% and 0.26%</w:t>
      </w:r>
      <w:r w:rsidR="0018174E">
        <w:t>,</w:t>
      </w:r>
      <w:r w:rsidR="005A6A68">
        <w:t xml:space="preserve"> at the 5-year and 10-year time horizons, respectively.</w:t>
      </w:r>
    </w:p>
    <w:p w14:paraId="597207A0" w14:textId="0C870C51" w:rsidR="00156524" w:rsidRDefault="0018174E" w:rsidP="00147CE7">
      <w:pPr>
        <w:jc w:val="both"/>
      </w:pPr>
      <w:r>
        <w:t>These two</w:t>
      </w:r>
      <w:r w:rsidR="00156524">
        <w:t xml:space="preserve"> papers </w:t>
      </w:r>
      <w:r w:rsidR="005A6A68">
        <w:t>suggest strong productivity-pay decorrelation</w:t>
      </w:r>
      <w:r w:rsidR="00156524">
        <w:t xml:space="preserve"> in the UK</w:t>
      </w:r>
      <w:r w:rsidR="005A6A68">
        <w:t xml:space="preserve">; however, I believe there are significant potential </w:t>
      </w:r>
      <w:r w:rsidR="00156524">
        <w:t>methodological improvements</w:t>
      </w:r>
      <w:r>
        <w:t>; for example,</w:t>
      </w:r>
      <w:r w:rsidR="00156524">
        <w:t xml:space="preserve"> </w:t>
      </w:r>
      <w:proofErr w:type="spellStart"/>
      <w:r w:rsidR="00156524">
        <w:t>Ciarli</w:t>
      </w:r>
      <w:proofErr w:type="spellEnd"/>
      <w:r w:rsidR="005A6A68">
        <w:t xml:space="preserve"> et al. </w:t>
      </w:r>
      <w:r w:rsidR="00156524">
        <w:t>(2018, p. 15) point out</w:t>
      </w:r>
      <w:r w:rsidR="005A6A68">
        <w:t xml:space="preserve"> that </w:t>
      </w:r>
      <w:r w:rsidR="00156524">
        <w:t xml:space="preserve">their findings </w:t>
      </w:r>
      <w:r w:rsidR="005A6A68">
        <w:t>do not</w:t>
      </w:r>
      <w:r w:rsidR="00156524">
        <w:t xml:space="preserve"> capture lagged effects of productivity</w:t>
      </w:r>
      <w:r>
        <w:t>, which are likely biasing results</w:t>
      </w:r>
      <w:r w:rsidR="005A6A68">
        <w:t>. T</w:t>
      </w:r>
      <w:r w:rsidR="00156524">
        <w:t>he authors themselves state that firms may postpone wage increase</w:t>
      </w:r>
      <w:r w:rsidR="001E463F">
        <w:t>s</w:t>
      </w:r>
      <w:r w:rsidR="00156524">
        <w:t xml:space="preserve"> to gain a competitive advantage or to recover from losses, and </w:t>
      </w:r>
      <w:r w:rsidR="005A6A68">
        <w:t xml:space="preserve">Carlsson (2016) – one of their seminal papers – does include lagged effects in his model. It is also likely that firms deliberate to discern the extent to which increases in output are due to labour productivity </w:t>
      </w:r>
      <w:sdt>
        <w:sdtPr>
          <w:id w:val="1063684297"/>
          <w:citation/>
        </w:sdtPr>
        <w:sdtContent>
          <w:r w:rsidR="005A6A68">
            <w:fldChar w:fldCharType="begin"/>
          </w:r>
          <w:r w:rsidR="005A6A68">
            <w:instrText xml:space="preserve"> CITATION Sta18 \l 2057 </w:instrText>
          </w:r>
          <w:r w:rsidR="005A6A68">
            <w:fldChar w:fldCharType="separate"/>
          </w:r>
          <w:r w:rsidR="007D5421" w:rsidRPr="007D5421">
            <w:rPr>
              <w:noProof/>
            </w:rPr>
            <w:t>(Stansbury &amp; Summers, 2018)</w:t>
          </w:r>
          <w:r w:rsidR="005A6A68">
            <w:fldChar w:fldCharType="end"/>
          </w:r>
        </w:sdtContent>
      </w:sdt>
      <w:r w:rsidR="005A6A68">
        <w:t xml:space="preserve">. </w:t>
      </w:r>
      <w:r w:rsidR="00156524">
        <w:t xml:space="preserve">This problem remains unaddressed in </w:t>
      </w:r>
      <w:proofErr w:type="spellStart"/>
      <w:r w:rsidR="00156524">
        <w:t>Ciarli</w:t>
      </w:r>
      <w:proofErr w:type="spellEnd"/>
      <w:r w:rsidR="005A6A68">
        <w:t xml:space="preserve"> et al. </w:t>
      </w:r>
      <w:r w:rsidR="00156524">
        <w:t>(2021).</w:t>
      </w:r>
    </w:p>
    <w:p w14:paraId="4E4F99C9" w14:textId="0A1C409B" w:rsidR="00156524" w:rsidRDefault="005A6A68" w:rsidP="00DF64C4">
      <w:pPr>
        <w:pStyle w:val="Heading2"/>
        <w:jc w:val="left"/>
      </w:pPr>
      <w:bookmarkStart w:id="4" w:name="_Toc198794467"/>
      <w:r>
        <w:t>Section 2.3: Evidence of Productivity-pay Correlation</w:t>
      </w:r>
      <w:bookmarkEnd w:id="4"/>
    </w:p>
    <w:p w14:paraId="5561A5E2" w14:textId="66BC33D9" w:rsidR="005A6A68" w:rsidRDefault="005A6A68" w:rsidP="00147CE7">
      <w:pPr>
        <w:jc w:val="both"/>
      </w:pPr>
      <w:proofErr w:type="spellStart"/>
      <w:r>
        <w:t>Brocek</w:t>
      </w:r>
      <w:proofErr w:type="spellEnd"/>
      <w:r>
        <w:t xml:space="preserve"> (2019) is the only work, to my knowledge, which analyses productivity elasticities </w:t>
      </w:r>
      <w:r w:rsidR="00463854">
        <w:t xml:space="preserve">across the income distribution </w:t>
      </w:r>
      <w:r w:rsidR="000448AB">
        <w:t xml:space="preserve">with lagged effects. </w:t>
      </w:r>
      <w:proofErr w:type="spellStart"/>
      <w:r w:rsidR="000448AB">
        <w:t>Brocek</w:t>
      </w:r>
      <w:proofErr w:type="spellEnd"/>
      <w:r w:rsidR="000448AB">
        <w:t xml:space="preserve"> (2019) runs separate OLS regressions for each decile of the wage distribution on productivity. Current and lagged unemployment is controlled for</w:t>
      </w:r>
      <w:r w:rsidR="00463854">
        <w:t>, as</w:t>
      </w:r>
      <w:r w:rsidR="000448AB">
        <w:t xml:space="preserve"> economic downturns are likely correlated with reduced wages in the short-term </w:t>
      </w:r>
      <w:sdt>
        <w:sdtPr>
          <w:id w:val="1220023381"/>
          <w:citation/>
        </w:sdtPr>
        <w:sdtContent>
          <w:r w:rsidR="000448AB">
            <w:fldChar w:fldCharType="begin"/>
          </w:r>
          <w:r w:rsidR="000448AB">
            <w:instrText xml:space="preserve">CITATION Sta18 \p 15 \l 2057 </w:instrText>
          </w:r>
          <w:r w:rsidR="000448AB">
            <w:fldChar w:fldCharType="separate"/>
          </w:r>
          <w:r w:rsidR="007D5421" w:rsidRPr="007D5421">
            <w:rPr>
              <w:noProof/>
            </w:rPr>
            <w:t>(Stansbury &amp; Summers, 2018, p. 15)</w:t>
          </w:r>
          <w:r w:rsidR="000448AB">
            <w:fldChar w:fldCharType="end"/>
          </w:r>
        </w:sdtContent>
      </w:sdt>
      <w:r w:rsidR="000448AB">
        <w:t xml:space="preserve"> and increased productivity</w:t>
      </w:r>
      <w:r w:rsidR="00626BC0">
        <w:t>, given that</w:t>
      </w:r>
      <w:r w:rsidR="000448AB">
        <w:t xml:space="preserve"> unproductive workers are </w:t>
      </w:r>
      <w:r w:rsidR="00626BC0">
        <w:t xml:space="preserve">likely </w:t>
      </w:r>
      <w:r w:rsidR="000448AB">
        <w:t xml:space="preserve">laid off first, and firms must make-do with less </w:t>
      </w:r>
      <w:sdt>
        <w:sdtPr>
          <w:id w:val="-988935490"/>
          <w:citation/>
        </w:sdtPr>
        <w:sdtContent>
          <w:r w:rsidR="000448AB">
            <w:fldChar w:fldCharType="begin"/>
          </w:r>
          <w:r w:rsidR="000448AB">
            <w:instrText xml:space="preserve"> CITATION Laz16 \l 2057 </w:instrText>
          </w:r>
          <w:r w:rsidR="000448AB">
            <w:fldChar w:fldCharType="separate"/>
          </w:r>
          <w:r w:rsidR="007D5421" w:rsidRPr="007D5421">
            <w:rPr>
              <w:noProof/>
            </w:rPr>
            <w:t>(Lazear, et al., 2016)</w:t>
          </w:r>
          <w:r w:rsidR="000448AB">
            <w:fldChar w:fldCharType="end"/>
          </w:r>
        </w:sdtContent>
      </w:sdt>
      <w:r w:rsidR="000448AB">
        <w:t xml:space="preserve">. All variables are taken in their 3-year moving average (MA) forms to analyse lagged effects </w:t>
      </w:r>
      <w:sdt>
        <w:sdtPr>
          <w:id w:val="-414702960"/>
          <w:citation/>
        </w:sdtPr>
        <w:sdtContent>
          <w:r w:rsidR="000448AB">
            <w:fldChar w:fldCharType="begin"/>
          </w:r>
          <w:r w:rsidR="000448AB">
            <w:instrText xml:space="preserve"> CITATION Sta18 \l 2057  \m Bro19</w:instrText>
          </w:r>
          <w:r w:rsidR="00626BC0">
            <w:instrText xml:space="preserve"> \m Pas18</w:instrText>
          </w:r>
          <w:r w:rsidR="000448AB">
            <w:fldChar w:fldCharType="separate"/>
          </w:r>
          <w:r w:rsidR="007D5421" w:rsidRPr="007D5421">
            <w:rPr>
              <w:noProof/>
            </w:rPr>
            <w:t>(Stansbury &amp; Summers, 2018; Brocek, 2019; Pasimeni, 2018)</w:t>
          </w:r>
          <w:r w:rsidR="000448AB">
            <w:fldChar w:fldCharType="end"/>
          </w:r>
        </w:sdtContent>
      </w:sdt>
      <w:r w:rsidR="000448AB">
        <w:t>.</w:t>
      </w:r>
      <w:r w:rsidR="00F50BC8">
        <w:t xml:space="preserve"> </w:t>
      </w:r>
      <w:proofErr w:type="spellStart"/>
      <w:r w:rsidR="00F50BC8">
        <w:t>Brocek’s</w:t>
      </w:r>
      <w:proofErr w:type="spellEnd"/>
      <w:r w:rsidR="00F50BC8">
        <w:t xml:space="preserve"> (2019) results are presented in figure G.</w:t>
      </w:r>
    </w:p>
    <w:p w14:paraId="42EB33E2" w14:textId="41F3F25F" w:rsidR="00F50BC8" w:rsidRDefault="00F50BC8" w:rsidP="00147CE7">
      <w:pPr>
        <w:jc w:val="center"/>
      </w:pPr>
      <w:r>
        <w:rPr>
          <w:noProof/>
        </w:rPr>
        <w:drawing>
          <wp:inline distT="0" distB="0" distL="0" distR="0" wp14:anchorId="1D5DB442" wp14:editId="041A34B7">
            <wp:extent cx="4710023" cy="3429456"/>
            <wp:effectExtent l="0" t="0" r="0" b="0"/>
            <wp:docPr id="919289414" name="Picture 2"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5583" cy="3433505"/>
                    </a:xfrm>
                    <a:prstGeom prst="rect">
                      <a:avLst/>
                    </a:prstGeom>
                    <a:noFill/>
                    <a:ln>
                      <a:noFill/>
                    </a:ln>
                  </pic:spPr>
                </pic:pic>
              </a:graphicData>
            </a:graphic>
          </wp:inline>
        </w:drawing>
      </w:r>
    </w:p>
    <w:p w14:paraId="4E1680D0" w14:textId="305BA732" w:rsidR="00F50BC8" w:rsidRDefault="00F50BC8" w:rsidP="00147CE7">
      <w:pPr>
        <w:pStyle w:val="Subtitle"/>
      </w:pPr>
      <w:r>
        <w:t xml:space="preserve">Figure G – “Estimates of [productivity elasticities] across the wage distribution” </w:t>
      </w:r>
      <w:proofErr w:type="spellStart"/>
      <w:r>
        <w:t>Brocek</w:t>
      </w:r>
      <w:proofErr w:type="spellEnd"/>
      <w:r>
        <w:t xml:space="preserve"> (2019, Figure 2)</w:t>
      </w:r>
    </w:p>
    <w:p w14:paraId="2F102E13" w14:textId="47F0C7B9" w:rsidR="00F50BC8" w:rsidRDefault="00F50BC8" w:rsidP="00147CE7">
      <w:pPr>
        <w:jc w:val="both"/>
      </w:pPr>
      <w:proofErr w:type="spellStart"/>
      <w:r>
        <w:t>Brocek</w:t>
      </w:r>
      <w:proofErr w:type="spellEnd"/>
      <w:r>
        <w:t xml:space="preserve"> (2019) finds strong productivity elasticities at the median level; none of the estimated coefficients are significantly different from 1 and are all significantly different from 0.</w:t>
      </w:r>
      <w:r w:rsidR="00626BC0">
        <w:t xml:space="preserve"> However, I contend</w:t>
      </w:r>
      <w:r w:rsidR="000A0B98">
        <w:t xml:space="preserve"> </w:t>
      </w:r>
      <w:proofErr w:type="spellStart"/>
      <w:r w:rsidR="000A0B98">
        <w:t>Brocek’s</w:t>
      </w:r>
      <w:proofErr w:type="spellEnd"/>
      <w:r w:rsidR="000A0B98">
        <w:t xml:space="preserve"> (2019) study is hindered by</w:t>
      </w:r>
      <w:r w:rsidR="00626BC0">
        <w:t>:</w:t>
      </w:r>
      <w:r w:rsidR="000A0B98">
        <w:t xml:space="preserve"> lack of testing, opaqueness of techniques, and data handling</w:t>
      </w:r>
      <w:r w:rsidR="00626BC0">
        <w:t>, as well as potentially omitted variable bias (OVB) and smallness of scope. I explore next.</w:t>
      </w:r>
    </w:p>
    <w:p w14:paraId="44D23C1E" w14:textId="0993E8F3" w:rsidR="003D2A3D" w:rsidRDefault="003D2A3D" w:rsidP="00147CE7">
      <w:pPr>
        <w:jc w:val="both"/>
      </w:pPr>
      <w:r>
        <w:t xml:space="preserve">Nasir et al. (2022) regress </w:t>
      </w:r>
      <w:r w:rsidR="00626BC0">
        <w:t>us</w:t>
      </w:r>
      <w:r w:rsidR="00691063">
        <w:t>ing</w:t>
      </w:r>
      <w:r w:rsidR="00626BC0">
        <w:t xml:space="preserve"> a NARDL multiplier analysis</w:t>
      </w:r>
      <w:r>
        <w:t xml:space="preserve"> </w:t>
      </w:r>
      <w:r w:rsidR="00626BC0">
        <w:t xml:space="preserve">to investigate </w:t>
      </w:r>
      <w:r>
        <w:t xml:space="preserve">mean weekly earnings with respect to productivity and GDP growth, controlling for inflation and unemployment; </w:t>
      </w:r>
      <w:r w:rsidR="00463854">
        <w:t>controlling for inflation is</w:t>
      </w:r>
      <w:r>
        <w:t xml:space="preserve"> a novel contribution to the </w:t>
      </w:r>
      <w:r w:rsidR="004C3AEB">
        <w:t xml:space="preserve">productivity-pay </w:t>
      </w:r>
      <w:r>
        <w:t>literature and takes into account</w:t>
      </w:r>
      <w:r w:rsidR="00626BC0">
        <w:t xml:space="preserve"> its potential confounding effect given</w:t>
      </w:r>
      <w:r>
        <w:t xml:space="preserve"> </w:t>
      </w:r>
      <w:r w:rsidR="00626BC0">
        <w:t xml:space="preserve">its negative relationship with real wages </w:t>
      </w:r>
      <w:sdt>
        <w:sdtPr>
          <w:id w:val="-2000963261"/>
          <w:citation/>
        </w:sdtPr>
        <w:sdtContent>
          <w:r w:rsidR="00626BC0">
            <w:fldChar w:fldCharType="begin"/>
          </w:r>
          <w:r w:rsidR="00626BC0">
            <w:instrText xml:space="preserve"> CITATION Bra01 \l 2057 </w:instrText>
          </w:r>
          <w:r w:rsidR="00626BC0">
            <w:fldChar w:fldCharType="separate"/>
          </w:r>
          <w:r w:rsidR="007D5421" w:rsidRPr="007D5421">
            <w:rPr>
              <w:noProof/>
            </w:rPr>
            <w:t>(Braumann, 2001)</w:t>
          </w:r>
          <w:r w:rsidR="00626BC0">
            <w:fldChar w:fldCharType="end"/>
          </w:r>
        </w:sdtContent>
      </w:sdt>
      <w:r w:rsidR="00626BC0">
        <w:t xml:space="preserve"> and its detrimental effects on productivity – high inflation tends to shift output from the productive to financial sector </w:t>
      </w:r>
      <w:sdt>
        <w:sdtPr>
          <w:id w:val="-1975971435"/>
          <w:citation/>
        </w:sdtPr>
        <w:sdtContent>
          <w:r w:rsidR="00626BC0">
            <w:fldChar w:fldCharType="begin"/>
          </w:r>
          <w:r w:rsidR="00626BC0">
            <w:instrText xml:space="preserve">CITATION Mis97 \p 4 \l 2057 </w:instrText>
          </w:r>
          <w:r w:rsidR="00626BC0">
            <w:fldChar w:fldCharType="separate"/>
          </w:r>
          <w:r w:rsidR="007D5421" w:rsidRPr="007D5421">
            <w:rPr>
              <w:noProof/>
            </w:rPr>
            <w:t>(Mishkin &amp; Posen, 1997, p. 4)</w:t>
          </w:r>
          <w:r w:rsidR="00626BC0">
            <w:fldChar w:fldCharType="end"/>
          </w:r>
        </w:sdtContent>
      </w:sdt>
      <w:r w:rsidR="00626BC0">
        <w:t xml:space="preserve">.  It is also important when determining wages due to </w:t>
      </w:r>
      <w:r>
        <w:t>conflict-theories of inflation which lay the foundations for a</w:t>
      </w:r>
      <w:r w:rsidR="00463854">
        <w:t xml:space="preserve">n </w:t>
      </w:r>
      <w:r>
        <w:t xml:space="preserve">understanding of price-wage and wage-price spirals, as well as the </w:t>
      </w:r>
      <w:r w:rsidR="00463854">
        <w:t>mechanism</w:t>
      </w:r>
      <w:r>
        <w:t xml:space="preserve"> of inflationary expectations </w:t>
      </w:r>
      <w:sdt>
        <w:sdtPr>
          <w:id w:val="525604022"/>
          <w:citation/>
        </w:sdtPr>
        <w:sdtContent>
          <w:r>
            <w:fldChar w:fldCharType="begin"/>
          </w:r>
          <w:r>
            <w:instrText xml:space="preserve"> CITATION Bla04 \l 2057  \m Bla22 \m Row24</w:instrText>
          </w:r>
          <w:r>
            <w:fldChar w:fldCharType="separate"/>
          </w:r>
          <w:r w:rsidR="007D5421" w:rsidRPr="007D5421">
            <w:rPr>
              <w:noProof/>
            </w:rPr>
            <w:t>(Blanchard, 2004; Blanchard, 2022; Rowthorn, 2024)</w:t>
          </w:r>
          <w:r>
            <w:fldChar w:fldCharType="end"/>
          </w:r>
        </w:sdtContent>
      </w:sdt>
      <w:r>
        <w:t>. Nasir et al.</w:t>
      </w:r>
      <w:r w:rsidR="008D58B2">
        <w:t>’s</w:t>
      </w:r>
      <w:r>
        <w:t xml:space="preserve"> (2022) </w:t>
      </w:r>
      <w:r w:rsidR="008D58B2">
        <w:t xml:space="preserve">NARDL </w:t>
      </w:r>
      <w:r w:rsidR="00626BC0">
        <w:t>multiplier analysis finds that wages are very sticky downward, with the long-run difference between a positive and negative shock of 1% being roughly equal to 1%.</w:t>
      </w:r>
    </w:p>
    <w:p w14:paraId="0E37511B" w14:textId="43B21922" w:rsidR="00F50BC8" w:rsidRDefault="00F50BC8" w:rsidP="00DF64C4">
      <w:pPr>
        <w:pStyle w:val="Heading2"/>
      </w:pPr>
      <w:bookmarkStart w:id="5" w:name="_Toc198794468"/>
      <w:r>
        <w:t>Section 2.4: Non-UK Productivity-pay Analyses</w:t>
      </w:r>
      <w:bookmarkEnd w:id="5"/>
    </w:p>
    <w:p w14:paraId="65794CD7" w14:textId="200B4FB1" w:rsidR="00F50BC8" w:rsidRDefault="00F50BC8" w:rsidP="00147CE7">
      <w:pPr>
        <w:jc w:val="both"/>
      </w:pPr>
      <w:r>
        <w:t xml:space="preserve">Stansbury &amp; Summers (2018) calculate productivity elasticities for median and mean compensation, as well as production/non-supervisory average compensation, which is a dataset unavailable in the UK but which </w:t>
      </w:r>
      <w:r w:rsidR="007E1CE5">
        <w:t>closely</w:t>
      </w:r>
      <w:r>
        <w:t xml:space="preserve"> tracks the median compensation figure while providing an improved time</w:t>
      </w:r>
      <w:r w:rsidR="00004C7A">
        <w:t xml:space="preserve"> </w:t>
      </w:r>
      <w:r>
        <w:t xml:space="preserve">horizon </w:t>
      </w:r>
      <w:sdt>
        <w:sdtPr>
          <w:id w:val="1498310503"/>
          <w:citation/>
        </w:sdtPr>
        <w:sdtContent>
          <w:r>
            <w:fldChar w:fldCharType="begin"/>
          </w:r>
          <w:r>
            <w:instrText xml:space="preserve">CITATION Sta18 \p 12 \l 2057 </w:instrText>
          </w:r>
          <w:r>
            <w:fldChar w:fldCharType="separate"/>
          </w:r>
          <w:r w:rsidR="007D5421" w:rsidRPr="007D5421">
            <w:rPr>
              <w:noProof/>
            </w:rPr>
            <w:t>(Stansbury &amp; Summers, 2018, p. 12)</w:t>
          </w:r>
          <w:r>
            <w:fldChar w:fldCharType="end"/>
          </w:r>
        </w:sdtContent>
      </w:sdt>
      <w:r>
        <w:t>. Like Brocek (2019), Stansbury &amp; Summers (2019) control for lagged and current unemployment, and use 3-year MAs to capture delayed effects of productivity</w:t>
      </w:r>
      <w:r>
        <w:rPr>
          <w:rStyle w:val="FootnoteReference"/>
        </w:rPr>
        <w:footnoteReference w:id="4"/>
      </w:r>
      <w:r w:rsidR="005651A6">
        <w:t>. Productivity elasticities are estimated as 0.7-1% for median and mean compensation growth and 0.4-0.7% for production/non-supervisory compensation growth.</w:t>
      </w:r>
    </w:p>
    <w:p w14:paraId="51F6E6C2" w14:textId="32A6D65A" w:rsidR="005651A6" w:rsidRDefault="005651A6" w:rsidP="00147CE7">
      <w:pPr>
        <w:jc w:val="both"/>
      </w:pPr>
      <w:proofErr w:type="spellStart"/>
      <w:r>
        <w:t>Pasimeni</w:t>
      </w:r>
      <w:proofErr w:type="spellEnd"/>
      <w:r>
        <w:t xml:space="preserve"> (2018) </w:t>
      </w:r>
      <w:r w:rsidR="00B30800">
        <w:t xml:space="preserve">is inspired by the Stansbury &amp; Summers (2018) methodology and performs a panel-data fixed effects regression on 34 advanced economies. Again, unemployment is controlled for, although this time it is the </w:t>
      </w:r>
      <w:r w:rsidR="00387877">
        <w:t>in levels</w:t>
      </w:r>
      <w:r w:rsidR="00A77C04">
        <w:rPr>
          <w:rStyle w:val="FootnoteReference"/>
        </w:rPr>
        <w:footnoteReference w:id="5"/>
      </w:r>
      <w:r w:rsidR="00B30800">
        <w:t xml:space="preserve"> and differenced rate</w:t>
      </w:r>
      <w:r w:rsidR="00A77C04">
        <w:t xml:space="preserve">, and variables are taken as 3-year MAs and estimates are tested for robustness by substituting with distributed lag models. </w:t>
      </w:r>
      <w:proofErr w:type="spellStart"/>
      <w:r w:rsidR="00A77C04">
        <w:t>Pasimeni</w:t>
      </w:r>
      <w:proofErr w:type="spellEnd"/>
      <w:r w:rsidR="00A77C04">
        <w:t xml:space="preserve"> (2018, p. 12) reports weaker correlations than Stansbury &amp; Summers (2018) with no coefficients crossing the 1% line at a 95% confidence level, however all productivity elasticities across specifications are significant.</w:t>
      </w:r>
    </w:p>
    <w:p w14:paraId="02D5B9BA" w14:textId="02AFF845" w:rsidR="00AB50C4" w:rsidRDefault="00AB50C4" w:rsidP="00DF64C4">
      <w:pPr>
        <w:pStyle w:val="Heading1"/>
      </w:pPr>
      <w:bookmarkStart w:id="6" w:name="_Toc198794469"/>
      <w:r>
        <w:t>Chapter 3: Empirical Strategy</w:t>
      </w:r>
      <w:bookmarkEnd w:id="6"/>
    </w:p>
    <w:p w14:paraId="45B23CC8" w14:textId="21F26FA1" w:rsidR="00432ABF" w:rsidRDefault="00463854" w:rsidP="00147CE7">
      <w:pPr>
        <w:jc w:val="both"/>
      </w:pPr>
      <w:r>
        <w:t xml:space="preserve">This paper’s empirical strategy mainly follows Stansbury &amp; Summers (2018), </w:t>
      </w:r>
      <w:proofErr w:type="spellStart"/>
      <w:r>
        <w:t>Pasimeni</w:t>
      </w:r>
      <w:proofErr w:type="spellEnd"/>
      <w:r>
        <w:t xml:space="preserve"> (2018) and </w:t>
      </w:r>
      <w:proofErr w:type="spellStart"/>
      <w:r>
        <w:t>Brocek</w:t>
      </w:r>
      <w:proofErr w:type="spellEnd"/>
      <w:r>
        <w:t xml:space="preserve"> (2019), </w:t>
      </w:r>
      <w:r w:rsidR="00A126FA">
        <w:t>controlling for employment and one-period lagged unemploymen</w:t>
      </w:r>
      <w:r w:rsidR="006D2104">
        <w:t>t</w:t>
      </w:r>
      <w:r w:rsidR="00A126FA">
        <w:t xml:space="preserve"> and </w:t>
      </w:r>
      <w:r>
        <w:t xml:space="preserve">incorporating </w:t>
      </w:r>
      <w:r w:rsidR="008B24FD">
        <w:t xml:space="preserve">inflation as a </w:t>
      </w:r>
      <w:r>
        <w:t xml:space="preserve">novel control variable from Nasir et al. (2021) to </w:t>
      </w:r>
      <w:r w:rsidR="008B24FD">
        <w:t>reduce omitted-variable bias.</w:t>
      </w:r>
      <w:r w:rsidR="00596F86">
        <w:t xml:space="preserve"> </w:t>
      </w:r>
      <w:r w:rsidR="008D4FB6">
        <w:t>As in the literature, a</w:t>
      </w:r>
      <w:r w:rsidR="006E1753">
        <w:t>n</w:t>
      </w:r>
      <w:r w:rsidR="00432ABF">
        <w:t xml:space="preserve"> </w:t>
      </w:r>
      <w:r w:rsidR="006E1753">
        <w:t xml:space="preserve">OLS </w:t>
      </w:r>
      <w:r w:rsidR="00432ABF">
        <w:t xml:space="preserve">model </w:t>
      </w:r>
      <w:r w:rsidR="008D4FB6">
        <w:t xml:space="preserve">is </w:t>
      </w:r>
      <w:r w:rsidR="00432ABF">
        <w:t xml:space="preserve">used to </w:t>
      </w:r>
      <w:r w:rsidR="006D2104">
        <w:t>regress</w:t>
      </w:r>
      <w:r w:rsidR="00432ABF">
        <w:t xml:space="preserve"> productivity and earnings growth across the income distribution</w:t>
      </w:r>
      <w:r w:rsidR="007C0726">
        <w:t xml:space="preserve"> and the growth of mean compensation. Three-year moving averages are used to capture lagged effects, although a</w:t>
      </w:r>
      <w:r w:rsidR="00502F51">
        <w:t xml:space="preserve"> distributed-lags </w:t>
      </w:r>
      <w:r w:rsidR="007C0726">
        <w:t>model will be introduced in Section 3.2 to double-check estimates.</w:t>
      </w:r>
    </w:p>
    <w:p w14:paraId="77572B0C" w14:textId="586EE763" w:rsidR="00432ABF" w:rsidRDefault="00A126FA" w:rsidP="00DF64C4">
      <w:pPr>
        <w:pStyle w:val="Heading2"/>
      </w:pPr>
      <w:bookmarkStart w:id="7" w:name="_Toc198794470"/>
      <w:r>
        <w:t>Section 3.1: Baseline Specification</w:t>
      </w:r>
      <w:bookmarkEnd w:id="7"/>
    </w:p>
    <w:p w14:paraId="37B04F92" w14:textId="193989F1" w:rsidR="00A126FA" w:rsidRDefault="00A126FA" w:rsidP="00147CE7">
      <w:pPr>
        <w:jc w:val="both"/>
      </w:pPr>
      <w:r>
        <w:t>Equation (1) shows our baseline specification.</w:t>
      </w:r>
    </w:p>
    <w:p w14:paraId="6DB7E4AC" w14:textId="71FE49EF" w:rsidR="00A126FA" w:rsidRPr="00B051A7" w:rsidRDefault="00A126FA" w:rsidP="00147CE7">
      <w:pPr>
        <w:jc w:val="both"/>
        <w:rPr>
          <w:sz w:val="18"/>
          <w:szCs w:val="18"/>
        </w:rPr>
      </w:pPr>
      <m:oMathPara>
        <m:oMathParaPr>
          <m:jc m:val="center"/>
        </m:oMathParaPr>
        <m:oMath>
          <m:eqArr>
            <m:eqArrPr>
              <m:maxDist m:val="1"/>
              <m:ctrlPr>
                <w:rPr>
                  <w:rFonts w:ascii="Cambria Math" w:hAnsi="Cambria Math"/>
                  <w:i/>
                  <w:sz w:val="16"/>
                  <w:szCs w:val="16"/>
                </w:rPr>
              </m:ctrlPr>
            </m:eqArr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m:t>
                  </m:r>
                </m:den>
              </m:f>
              <m:nary>
                <m:naryPr>
                  <m:chr m:val="∑"/>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2</m:t>
                  </m:r>
                </m:sup>
                <m:e>
                  <m:r>
                    <m:rPr>
                      <m:sty m:val="p"/>
                    </m:rPr>
                    <w:rPr>
                      <w:rFonts w:ascii="Cambria Math" w:hAnsi="Cambria Math"/>
                      <w:sz w:val="16"/>
                      <w:szCs w:val="16"/>
                    </w:rPr>
                    <m:t>Δ</m:t>
                  </m:r>
                  <m:func>
                    <m:funcPr>
                      <m:ctrlPr>
                        <w:rPr>
                          <w:rFonts w:ascii="Cambria Math" w:hAnsi="Cambria Math"/>
                          <w:i/>
                          <w:sz w:val="16"/>
                          <w:szCs w:val="16"/>
                        </w:rPr>
                      </m:ctrlPr>
                    </m:funcPr>
                    <m:fName>
                      <m:r>
                        <m:rPr>
                          <m:sty m:val="p"/>
                        </m:rPr>
                        <w:rPr>
                          <w:rFonts w:ascii="Cambria Math" w:hAnsi="Cambria Math"/>
                          <w:sz w:val="16"/>
                          <w:szCs w:val="16"/>
                        </w:rPr>
                        <m:t>log</m:t>
                      </m:r>
                    </m:fName>
                    <m:e>
                      <m:r>
                        <w:rPr>
                          <w:rFonts w:ascii="Cambria Math" w:hAnsi="Cambria Math"/>
                          <w:sz w:val="16"/>
                          <w:szCs w:val="16"/>
                        </w:rPr>
                        <m:t>wage</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n,t-i</m:t>
                          </m:r>
                        </m:sub>
                      </m:sSub>
                    </m:e>
                  </m:func>
                </m:e>
              </m:nary>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m:t>
                  </m:r>
                </m:den>
              </m:f>
              <m:nary>
                <m:naryPr>
                  <m:chr m:val="∑"/>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2</m:t>
                  </m:r>
                </m:sup>
                <m:e>
                  <m:func>
                    <m:funcPr>
                      <m:ctrlPr>
                        <w:rPr>
                          <w:rFonts w:ascii="Cambria Math" w:hAnsi="Cambria Math"/>
                          <w:i/>
                          <w:sz w:val="16"/>
                          <w:szCs w:val="16"/>
                        </w:rPr>
                      </m:ctrlPr>
                    </m:funcPr>
                    <m:fName>
                      <m:r>
                        <m:rPr>
                          <m:sty m:val="p"/>
                        </m:rPr>
                        <w:rPr>
                          <w:rFonts w:ascii="Cambria Math" w:hAnsi="Cambria Math"/>
                          <w:sz w:val="16"/>
                          <w:szCs w:val="16"/>
                        </w:rPr>
                        <m:t>Δlog</m:t>
                      </m:r>
                    </m:fName>
                    <m:e>
                      <m:r>
                        <w:rPr>
                          <w:rFonts w:ascii="Cambria Math" w:hAnsi="Cambria Math"/>
                          <w:sz w:val="16"/>
                          <w:szCs w:val="16"/>
                        </w:rPr>
                        <m:t>pro</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t-i</m:t>
                          </m:r>
                        </m:sub>
                      </m:sSub>
                    </m:e>
                  </m:func>
                </m:e>
              </m:nary>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2</m:t>
                  </m:r>
                </m:sub>
              </m:sSub>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m:t>
                  </m:r>
                </m:den>
              </m:f>
              <m:nary>
                <m:naryPr>
                  <m:chr m:val="∑"/>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2</m:t>
                  </m:r>
                </m:sup>
                <m:e>
                  <m:r>
                    <w:rPr>
                      <w:rFonts w:ascii="Cambria Math" w:hAnsi="Cambria Math"/>
                      <w:sz w:val="16"/>
                      <w:szCs w:val="16"/>
                    </w:rPr>
                    <m:t>unem</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t-i</m:t>
                      </m:r>
                    </m:sub>
                  </m:sSub>
                </m:e>
              </m:nary>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3</m:t>
                  </m:r>
                </m:sub>
              </m:sSub>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m:t>
                  </m:r>
                </m:den>
              </m:f>
              <m:nary>
                <m:naryPr>
                  <m:chr m:val="∑"/>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2</m:t>
                  </m:r>
                </m:sup>
                <m:e>
                  <m:r>
                    <w:rPr>
                      <w:rFonts w:ascii="Cambria Math" w:hAnsi="Cambria Math"/>
                      <w:sz w:val="16"/>
                      <w:szCs w:val="16"/>
                    </w:rPr>
                    <m:t>unem</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t-i-1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4</m:t>
                      </m:r>
                    </m:sub>
                  </m:sSub>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m:t>
                      </m:r>
                    </m:den>
                  </m:f>
                  <m:nary>
                    <m:naryPr>
                      <m:chr m:val="∑"/>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2</m:t>
                      </m:r>
                    </m:sup>
                    <m:e>
                      <m:r>
                        <w:rPr>
                          <w:rFonts w:ascii="Cambria Math" w:hAnsi="Cambria Math"/>
                          <w:sz w:val="16"/>
                          <w:szCs w:val="16"/>
                        </w:rPr>
                        <m:t>in</m:t>
                      </m:r>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t-i</m:t>
                          </m:r>
                        </m:sub>
                      </m:sSub>
                    </m:e>
                  </m:nary>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ϵ</m:t>
                      </m:r>
                    </m:e>
                    <m:sub>
                      <m:r>
                        <w:rPr>
                          <w:rFonts w:ascii="Cambria Math" w:hAnsi="Cambria Math"/>
                          <w:sz w:val="16"/>
                          <w:szCs w:val="16"/>
                        </w:rPr>
                        <m:t>t</m:t>
                      </m:r>
                    </m:sub>
                  </m:sSub>
                </m:e>
              </m:nary>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1</m:t>
                  </m:r>
                </m:e>
              </m:d>
            </m:e>
          </m:eqArr>
        </m:oMath>
      </m:oMathPara>
    </w:p>
    <w:p w14:paraId="21E69E6F" w14:textId="5D018554" w:rsidR="00A126FA" w:rsidRDefault="00A126FA" w:rsidP="00147CE7">
      <w:pPr>
        <w:jc w:val="both"/>
      </w:pPr>
      <w:r>
        <w:t>Where</w:t>
      </w:r>
      <w:r w:rsidR="00B051A7">
        <w:t xml:space="preserve"> </w:t>
      </w:r>
      <m:oMath>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rPr>
              <m:t>,t</m:t>
            </m:r>
          </m:sub>
        </m:sSub>
      </m:oMath>
      <w:r>
        <w:t xml:space="preserve"> is the </w:t>
      </w:r>
      <m:oMath>
        <m:r>
          <w:rPr>
            <w:rFonts w:ascii="Cambria Math" w:hAnsi="Cambria Math"/>
          </w:rPr>
          <m:t>n</m:t>
        </m:r>
      </m:oMath>
      <w:r>
        <w:t>th decile,</w:t>
      </w:r>
      <w:r w:rsidR="00B051A7">
        <w:t xml:space="preserve"> </w:t>
      </w:r>
      <m:oMath>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labour productivity,</w:t>
      </w:r>
      <w:r w:rsidR="00B051A7">
        <w:t xml:space="preserve"> </w:t>
      </w:r>
      <m:oMath>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is unemployment,</w:t>
      </w:r>
      <w:r w:rsidR="00B051A7">
        <w:t xml:space="preserve"> </w:t>
      </w:r>
      <m:oMath>
        <m:r>
          <w:rPr>
            <w:rFonts w:ascii="Cambria Math" w:hAnsi="Cambria Math"/>
          </w:rPr>
          <m:t>in</m:t>
        </m:r>
        <m:sSub>
          <m:sSubPr>
            <m:ctrlPr>
              <w:rPr>
                <w:rFonts w:ascii="Cambria Math" w:hAnsi="Cambria Math"/>
                <w:i/>
              </w:rPr>
            </m:ctrlPr>
          </m:sSubPr>
          <m:e>
            <m:r>
              <w:rPr>
                <w:rFonts w:ascii="Cambria Math" w:hAnsi="Cambria Math"/>
              </w:rPr>
              <m:t>f</m:t>
            </m:r>
          </m:e>
          <m:sub>
            <m:r>
              <w:rPr>
                <w:rFonts w:ascii="Cambria Math" w:hAnsi="Cambria Math"/>
              </w:rPr>
              <m:t>t</m:t>
            </m:r>
          </m:sub>
        </m:sSub>
      </m:oMath>
      <w:r w:rsidR="00B63F18">
        <w:t xml:space="preserve"> is inflation</w:t>
      </w:r>
      <w:r w:rsidR="00B051A7">
        <w:t xml:space="preserve"> and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B051A7">
        <w:t xml:space="preserve"> is the error term – all variables are expressed at a given year </w:t>
      </w:r>
      <m:oMath>
        <m:r>
          <w:rPr>
            <w:rFonts w:ascii="Cambria Math" w:hAnsi="Cambria Math"/>
          </w:rPr>
          <m:t>t</m:t>
        </m:r>
      </m:oMath>
      <w:r w:rsidR="00B051A7">
        <w:t>.</w:t>
      </w:r>
    </w:p>
    <w:p w14:paraId="0AA9ED33" w14:textId="6414188A" w:rsidR="00B63F18" w:rsidRDefault="0043753F" w:rsidP="00147CE7">
      <w:pPr>
        <w:jc w:val="both"/>
      </w:pPr>
      <w:r>
        <w:t xml:space="preserve">Wages and productivity are logged to calculate elasticities and reduce variability. </w:t>
      </w:r>
      <w:r w:rsidR="00B63F18">
        <w:t>Following unit-root tests, wages</w:t>
      </w:r>
      <w:r w:rsidR="003246AA">
        <w:t xml:space="preserve"> and productivity</w:t>
      </w:r>
      <w:r w:rsidR="00B63F18">
        <w:t xml:space="preserve"> were differenced to ensure stationarity – see </w:t>
      </w:r>
      <w:r w:rsidR="00B63F18" w:rsidRPr="003246AA">
        <w:t>Appendix I</w:t>
      </w:r>
      <w:r w:rsidR="007C0726" w:rsidRPr="003246AA">
        <w:t xml:space="preserve"> –</w:t>
      </w:r>
      <w:r w:rsidR="00B63F18" w:rsidRPr="003246AA">
        <w:t xml:space="preserve"> </w:t>
      </w:r>
      <w:r w:rsidR="003246AA">
        <w:t>meaning</w:t>
      </w:r>
      <w:r w:rsidR="007C0726">
        <w:t xml:space="preserve"> estimates are </w:t>
      </w:r>
      <w:r w:rsidR="003246AA">
        <w:t xml:space="preserve">less </w:t>
      </w:r>
      <w:r w:rsidR="007C0726">
        <w:t xml:space="preserve">biased and </w:t>
      </w:r>
      <w:r w:rsidR="003246AA">
        <w:t>more efficient</w:t>
      </w:r>
      <w:r w:rsidR="007C0726">
        <w:t>.</w:t>
      </w:r>
    </w:p>
    <w:p w14:paraId="3B8E4A17" w14:textId="407C1AFF" w:rsidR="00B63F18" w:rsidRDefault="00B63F18" w:rsidP="00147CE7">
      <w:pPr>
        <w:jc w:val="both"/>
      </w:pPr>
      <w:r>
        <w:t xml:space="preserve">Our baseline regression will use net labour productivity to discount the value of depreciated capital from total output to better reflect the income available for workers </w:t>
      </w:r>
      <w:sdt>
        <w:sdtPr>
          <w:id w:val="2137976163"/>
          <w:citation/>
        </w:sdtPr>
        <w:sdtContent>
          <w:r>
            <w:fldChar w:fldCharType="begin"/>
          </w:r>
          <w:r>
            <w:instrText xml:space="preserve">CITATION Biv15 \m Sta18 \p 11 \l 2057 </w:instrText>
          </w:r>
          <w:r>
            <w:fldChar w:fldCharType="separate"/>
          </w:r>
          <w:r w:rsidR="007D5421" w:rsidRPr="007D5421">
            <w:rPr>
              <w:noProof/>
            </w:rPr>
            <w:t>(Bivens &amp; Mishel, 2015; Stansbury &amp; Summers, 2018, p. 11)</w:t>
          </w:r>
          <w:r>
            <w:fldChar w:fldCharType="end"/>
          </w:r>
        </w:sdtContent>
      </w:sdt>
      <w:r>
        <w:t xml:space="preserve"> The 25-49yr-old unemployment rate is also preferred to avoid capturing broader effects of demographic shift which may bias results </w:t>
      </w:r>
      <w:sdt>
        <w:sdtPr>
          <w:id w:val="-1221824652"/>
          <w:citation/>
        </w:sdtPr>
        <w:sdtContent>
          <w:r>
            <w:fldChar w:fldCharType="begin"/>
          </w:r>
          <w:r>
            <w:instrText xml:space="preserve">CITATION Sta18 \p 15 \l 2057 </w:instrText>
          </w:r>
          <w:r>
            <w:fldChar w:fldCharType="separate"/>
          </w:r>
          <w:r w:rsidR="007D5421" w:rsidRPr="007D5421">
            <w:rPr>
              <w:noProof/>
            </w:rPr>
            <w:t>(Stansbury &amp; Summers, 2018, p. 15)</w:t>
          </w:r>
          <w:r>
            <w:fldChar w:fldCharType="end"/>
          </w:r>
        </w:sdtContent>
      </w:sdt>
      <w:r>
        <w:t xml:space="preserve">. </w:t>
      </w:r>
      <w:r w:rsidR="00DB72C2">
        <w:t>The</w:t>
      </w:r>
      <w:r>
        <w:t xml:space="preserve"> consumer price index (CPI) is preferred to CPI plus housing (CPIH) </w:t>
      </w:r>
      <w:r w:rsidR="00E42CA0">
        <w:t xml:space="preserve">because </w:t>
      </w:r>
      <w:r w:rsidR="0097499A">
        <w:t>CPI</w:t>
      </w:r>
      <w:r w:rsidR="00E42CA0">
        <w:t xml:space="preserve"> is the headline rate targeted by the Bank of England (BoE) </w:t>
      </w:r>
      <w:sdt>
        <w:sdtPr>
          <w:id w:val="1953202730"/>
          <w:citation/>
        </w:sdtPr>
        <w:sdtContent>
          <w:r w:rsidR="00E42CA0">
            <w:fldChar w:fldCharType="begin"/>
          </w:r>
          <w:r w:rsidR="00E42CA0">
            <w:instrText xml:space="preserve"> CITATION Nas22 \l 2057 </w:instrText>
          </w:r>
          <w:r w:rsidR="00E42CA0">
            <w:fldChar w:fldCharType="separate"/>
          </w:r>
          <w:r w:rsidR="007D5421" w:rsidRPr="007D5421">
            <w:rPr>
              <w:noProof/>
            </w:rPr>
            <w:t>(Nasir, et al., 2022)</w:t>
          </w:r>
          <w:r w:rsidR="00E42CA0">
            <w:fldChar w:fldCharType="end"/>
          </w:r>
        </w:sdtContent>
      </w:sdt>
      <w:r w:rsidR="00E42CA0">
        <w:t>.</w:t>
      </w:r>
      <w:r w:rsidR="00830B09">
        <w:t xml:space="preserve"> Finally, all models are regressed using robust standard errors.</w:t>
      </w:r>
    </w:p>
    <w:p w14:paraId="351D1C49" w14:textId="3F5C26FB" w:rsidR="00E42CA0" w:rsidRDefault="00E42CA0" w:rsidP="00DF64C4">
      <w:pPr>
        <w:pStyle w:val="Heading2"/>
      </w:pPr>
      <w:bookmarkStart w:id="8" w:name="_Toc198794471"/>
      <w:r>
        <w:t>Section 3.2: Alternative Specifications</w:t>
      </w:r>
      <w:bookmarkEnd w:id="8"/>
    </w:p>
    <w:p w14:paraId="0629602C" w14:textId="010D1835" w:rsidR="00800866" w:rsidRDefault="00E42CA0" w:rsidP="00800866">
      <w:pPr>
        <w:jc w:val="both"/>
      </w:pPr>
      <w:r>
        <w:t xml:space="preserve">Following </w:t>
      </w:r>
      <w:proofErr w:type="spellStart"/>
      <w:r>
        <w:t>Pasimeni</w:t>
      </w:r>
      <w:proofErr w:type="spellEnd"/>
      <w:r>
        <w:t xml:space="preserve"> (2018) and Stansbury &amp; Summers (2018)</w:t>
      </w:r>
      <w:r w:rsidR="000A0B98">
        <w:t xml:space="preserve">, and improving on </w:t>
      </w:r>
      <w:proofErr w:type="spellStart"/>
      <w:r w:rsidR="000A0B98">
        <w:t>Brocek</w:t>
      </w:r>
      <w:proofErr w:type="spellEnd"/>
      <w:r w:rsidR="000A0B98">
        <w:t xml:space="preserve"> (2019),</w:t>
      </w:r>
      <w:r>
        <w:t xml:space="preserve"> </w:t>
      </w:r>
      <w:r w:rsidR="006C0111">
        <w:t xml:space="preserve">this study </w:t>
      </w:r>
      <w:r>
        <w:t>us</w:t>
      </w:r>
      <w:r w:rsidR="006C0111">
        <w:t>es</w:t>
      </w:r>
      <w:r>
        <w:t xml:space="preserve"> alternative specifications to check for the robustness of estimates.</w:t>
      </w:r>
      <w:r w:rsidR="00800866">
        <w:t xml:space="preserve"> The main robustness check is the </w:t>
      </w:r>
      <w:r w:rsidR="006C0111">
        <w:t xml:space="preserve">choice </w:t>
      </w:r>
      <w:r w:rsidR="00800866">
        <w:t xml:space="preserve">removal and addition of different variables from the baseline specification model to check that our core variable, productivity, has </w:t>
      </w:r>
      <w:r w:rsidR="006C0111">
        <w:t xml:space="preserve">an </w:t>
      </w:r>
      <w:r w:rsidR="00800866">
        <w:t xml:space="preserve">insensitive relationship to earnings and compensation. As Lu &amp; White </w:t>
      </w:r>
      <w:sdt>
        <w:sdtPr>
          <w:id w:val="82573269"/>
          <w:citation/>
        </w:sdtPr>
        <w:sdtContent>
          <w:r w:rsidR="00800866">
            <w:fldChar w:fldCharType="begin"/>
          </w:r>
          <w:r w:rsidR="00800866">
            <w:instrText xml:space="preserve">CITATION LuX14 \n  \t  \l 2057 </w:instrText>
          </w:r>
          <w:r w:rsidR="00800866">
            <w:fldChar w:fldCharType="separate"/>
          </w:r>
          <w:r w:rsidR="007D5421" w:rsidRPr="007D5421">
            <w:rPr>
              <w:noProof/>
            </w:rPr>
            <w:t>(2014)</w:t>
          </w:r>
          <w:r w:rsidR="00800866">
            <w:fldChar w:fldCharType="end"/>
          </w:r>
        </w:sdtContent>
      </w:sdt>
      <w:r w:rsidR="00800866">
        <w:t xml:space="preserve"> make clear, this kind of robustness is necessary for valid causal inference, however lack of experience can lead to a false </w:t>
      </w:r>
      <w:r w:rsidR="00155A48">
        <w:t>belief</w:t>
      </w:r>
      <w:r w:rsidR="00800866">
        <w:t xml:space="preserve"> </w:t>
      </w:r>
      <w:r w:rsidR="00155A48">
        <w:t>in having done due diligence</w:t>
      </w:r>
      <w:r w:rsidR="00800866">
        <w:t xml:space="preserve">. </w:t>
      </w:r>
      <w:r w:rsidR="006C0111">
        <w:t xml:space="preserve">For this reason, I will borrow heavily from </w:t>
      </w:r>
      <w:r w:rsidR="00155A48">
        <w:t>existing</w:t>
      </w:r>
      <w:r w:rsidR="006C0111">
        <w:t xml:space="preserve"> literature. The clearest robustness test is Stansbury &amp; Summers (2018) page 23, Table 2. They check:</w:t>
      </w:r>
    </w:p>
    <w:p w14:paraId="45A61F2C" w14:textId="2FED38FB" w:rsidR="006C0111" w:rsidRDefault="006C0111" w:rsidP="006C0111">
      <w:pPr>
        <w:pStyle w:val="ListParagraph"/>
        <w:numPr>
          <w:ilvl w:val="0"/>
          <w:numId w:val="4"/>
        </w:numPr>
        <w:jc w:val="both"/>
      </w:pPr>
      <w:r>
        <w:t>Unemployment,</w:t>
      </w:r>
    </w:p>
    <w:p w14:paraId="05750D0E" w14:textId="5AD7A067" w:rsidR="006C0111" w:rsidRDefault="006C0111" w:rsidP="006C0111">
      <w:pPr>
        <w:pStyle w:val="ListParagraph"/>
        <w:numPr>
          <w:ilvl w:val="0"/>
          <w:numId w:val="4"/>
        </w:numPr>
        <w:jc w:val="both"/>
      </w:pPr>
      <w:r>
        <w:t>Time trends,</w:t>
      </w:r>
    </w:p>
    <w:p w14:paraId="105FC3F2" w14:textId="776B10A2" w:rsidR="006C0111" w:rsidRDefault="006C0111" w:rsidP="006C0111">
      <w:pPr>
        <w:pStyle w:val="ListParagraph"/>
        <w:numPr>
          <w:ilvl w:val="0"/>
          <w:numId w:val="4"/>
        </w:numPr>
        <w:jc w:val="both"/>
      </w:pPr>
      <w:r>
        <w:t>Decade dummy variables,</w:t>
      </w:r>
    </w:p>
    <w:p w14:paraId="39F87464" w14:textId="18E4B2DC" w:rsidR="006C0111" w:rsidRDefault="006C0111" w:rsidP="006C0111">
      <w:pPr>
        <w:pStyle w:val="ListParagraph"/>
        <w:numPr>
          <w:ilvl w:val="0"/>
          <w:numId w:val="4"/>
        </w:numPr>
        <w:jc w:val="both"/>
      </w:pPr>
      <w:r>
        <w:t>Contemporaneous time,</w:t>
      </w:r>
    </w:p>
    <w:p w14:paraId="02D6CC22" w14:textId="26629720" w:rsidR="006C0111" w:rsidRDefault="006C0111" w:rsidP="006C0111">
      <w:pPr>
        <w:pStyle w:val="ListParagraph"/>
        <w:numPr>
          <w:ilvl w:val="0"/>
          <w:numId w:val="4"/>
        </w:numPr>
        <w:jc w:val="both"/>
      </w:pPr>
      <w:r>
        <w:t>2-to-4-to-5 year moving averages.</w:t>
      </w:r>
    </w:p>
    <w:p w14:paraId="339D1E04" w14:textId="2BED5B5D" w:rsidR="004D6BFD" w:rsidRDefault="00E51BC3" w:rsidP="006C0111">
      <w:pPr>
        <w:jc w:val="both"/>
      </w:pPr>
      <w:r>
        <w:t xml:space="preserve">While closely mirroring this, I decided not to include time trends or decade dummy variables because of </w:t>
      </w:r>
      <w:r w:rsidR="001E463F">
        <w:t>these</w:t>
      </w:r>
      <w:r>
        <w:t xml:space="preserve"> studies focus on a different time</w:t>
      </w:r>
      <w:r w:rsidR="00004C7A">
        <w:t xml:space="preserve"> </w:t>
      </w:r>
      <w:r>
        <w:t>horizon. I</w:t>
      </w:r>
      <w:r w:rsidR="006C0111">
        <w:t xml:space="preserve">nstead, borrowing from </w:t>
      </w:r>
      <w:proofErr w:type="spellStart"/>
      <w:r w:rsidR="006C0111">
        <w:t>Brocek</w:t>
      </w:r>
      <w:proofErr w:type="spellEnd"/>
      <w:r w:rsidR="006C0111">
        <w:t xml:space="preserve"> (2019) and Nasir et al., (2021), </w:t>
      </w:r>
      <w:r w:rsidR="004D6BFD">
        <w:t>a dummy variable</w:t>
      </w:r>
      <w:r w:rsidR="00155A48">
        <w:t xml:space="preserve"> will be used to examine a </w:t>
      </w:r>
      <w:r w:rsidR="006C0111">
        <w:t>structural break in</w:t>
      </w:r>
      <w:r w:rsidR="00155A48">
        <w:t xml:space="preserve"> the time series. </w:t>
      </w:r>
      <w:r w:rsidR="003336A3">
        <w:t xml:space="preserve">The </w:t>
      </w:r>
      <w:r w:rsidR="003336A3" w:rsidRPr="003616E1">
        <w:t>Clemente-</w:t>
      </w:r>
      <w:proofErr w:type="spellStart"/>
      <w:r w:rsidR="003336A3" w:rsidRPr="003616E1">
        <w:t>Montañés</w:t>
      </w:r>
      <w:proofErr w:type="spellEnd"/>
      <w:r w:rsidR="003336A3" w:rsidRPr="003616E1">
        <w:t>-Reyes</w:t>
      </w:r>
      <w:r w:rsidR="003336A3">
        <w:t xml:space="preserve"> unit-root test noted </w:t>
      </w:r>
      <w:r w:rsidR="00155A48">
        <w:t xml:space="preserve">a statistically significant breakpoint around 2007-8 – </w:t>
      </w:r>
      <w:r w:rsidR="00155A48" w:rsidRPr="00562959">
        <w:t>see Appendix I.</w:t>
      </w:r>
      <w:r w:rsidR="004D6BFD" w:rsidRPr="00562959">
        <w:t xml:space="preserve"> </w:t>
      </w:r>
      <w:r w:rsidR="004D6BFD">
        <w:t>The dummy will be set equal to 1 prior to 2008, and 0 during and afterward</w:t>
      </w:r>
      <w:r w:rsidR="00040FAB">
        <w:t>; see equation (2).</w:t>
      </w:r>
    </w:p>
    <w:p w14:paraId="0F80D6AC" w14:textId="3C22B51B" w:rsidR="004D6BFD" w:rsidRPr="004D6BFD" w:rsidRDefault="004D6BFD" w:rsidP="006C0111">
      <w:pPr>
        <w:jc w:val="both"/>
        <w:rPr>
          <w:sz w:val="16"/>
          <w:szCs w:val="16"/>
        </w:rPr>
      </w:pPr>
    </w:p>
    <w:p w14:paraId="1EB6ADD9" w14:textId="1EAE2D88" w:rsidR="00040FAB" w:rsidRPr="00040FAB" w:rsidRDefault="00040FAB" w:rsidP="006C0111">
      <w:pPr>
        <w:jc w:val="both"/>
      </w:pPr>
      <w:r>
        <w:rPr>
          <w:noProof/>
        </w:rPr>
        <w:drawing>
          <wp:anchor distT="0" distB="0" distL="114300" distR="114300" simplePos="0" relativeHeight="251658240" behindDoc="0" locked="0" layoutInCell="1" allowOverlap="1" wp14:anchorId="1B156FAF" wp14:editId="7153EEC5">
            <wp:simplePos x="0" y="0"/>
            <wp:positionH relativeFrom="margin">
              <wp:align>center</wp:align>
            </wp:positionH>
            <wp:positionV relativeFrom="paragraph">
              <wp:posOffset>158115</wp:posOffset>
            </wp:positionV>
            <wp:extent cx="7147056" cy="381662"/>
            <wp:effectExtent l="0" t="0" r="0" b="0"/>
            <wp:wrapTopAndBottom/>
            <wp:docPr id="28696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62490" name=""/>
                    <pic:cNvPicPr/>
                  </pic:nvPicPr>
                  <pic:blipFill>
                    <a:blip r:embed="rId18">
                      <a:extLst>
                        <a:ext uri="{28A0092B-C50C-407E-A947-70E740481C1C}">
                          <a14:useLocalDpi xmlns:a14="http://schemas.microsoft.com/office/drawing/2010/main" val="0"/>
                        </a:ext>
                      </a:extLst>
                    </a:blip>
                    <a:stretch>
                      <a:fillRect/>
                    </a:stretch>
                  </pic:blipFill>
                  <pic:spPr>
                    <a:xfrm>
                      <a:off x="0" y="0"/>
                      <a:ext cx="7147056" cy="381662"/>
                    </a:xfrm>
                    <a:prstGeom prst="rect">
                      <a:avLst/>
                    </a:prstGeom>
                  </pic:spPr>
                </pic:pic>
              </a:graphicData>
            </a:graphic>
            <wp14:sizeRelH relativeFrom="margin">
              <wp14:pctWidth>0</wp14:pctWidth>
            </wp14:sizeRelH>
            <wp14:sizeRelV relativeFrom="margin">
              <wp14:pctHeight>0</wp14:pctHeight>
            </wp14:sizeRelV>
          </wp:anchor>
        </w:drawing>
      </w:r>
    </w:p>
    <w:p w14:paraId="038BF802" w14:textId="77777777" w:rsidR="00E51BC3" w:rsidRDefault="004D6BFD" w:rsidP="00040FAB">
      <w:pPr>
        <w:spacing w:before="240"/>
        <w:jc w:val="both"/>
      </w:pPr>
      <w:r>
        <w:t xml:space="preserve">By using dummies, the effect of the 2008 financial crisis on the pay-productivity link </w:t>
      </w:r>
      <w:r w:rsidR="00E51BC3">
        <w:t xml:space="preserve">can </w:t>
      </w:r>
      <w:r>
        <w:t xml:space="preserve">be analysed. </w:t>
      </w:r>
    </w:p>
    <w:p w14:paraId="7B64DACD" w14:textId="3AE9C121" w:rsidR="006C0111" w:rsidRDefault="00E51BC3" w:rsidP="00040FAB">
      <w:pPr>
        <w:spacing w:before="240"/>
        <w:jc w:val="both"/>
      </w:pPr>
      <w:r>
        <w:t xml:space="preserve">Additional specifications will focus on </w:t>
      </w:r>
      <w:r w:rsidR="00155A48">
        <w:t>substitut</w:t>
      </w:r>
      <w:r>
        <w:t>ing variable data</w:t>
      </w:r>
      <w:r w:rsidR="00155A48">
        <w:t xml:space="preserve"> for less theoretically appealing kinds, e.g., </w:t>
      </w:r>
      <w:r w:rsidR="00562959">
        <w:t>G</w:t>
      </w:r>
      <w:r w:rsidR="00155A48">
        <w:t xml:space="preserve">DP substituted for </w:t>
      </w:r>
      <w:r w:rsidR="00562959">
        <w:t>N</w:t>
      </w:r>
      <w:r w:rsidR="00155A48">
        <w:t>DP</w:t>
      </w:r>
      <w:r>
        <w:t>; this helps to assess the sensitivity of the productivity-pay relationship.</w:t>
      </w:r>
    </w:p>
    <w:p w14:paraId="0BE1D9A1" w14:textId="0561DB3F" w:rsidR="000A0B98" w:rsidRDefault="000A0B98" w:rsidP="006C0111">
      <w:pPr>
        <w:pStyle w:val="Heading1"/>
      </w:pPr>
      <w:bookmarkStart w:id="9" w:name="_Toc198794472"/>
      <w:r>
        <w:t>Chapter 4: Data</w:t>
      </w:r>
      <w:bookmarkEnd w:id="9"/>
    </w:p>
    <w:p w14:paraId="5F90F652" w14:textId="36D308F7" w:rsidR="0020662F" w:rsidRPr="00625528" w:rsidRDefault="00CC531E" w:rsidP="00147CE7">
      <w:pPr>
        <w:jc w:val="both"/>
      </w:pPr>
      <w:r>
        <w:t>The data analysed in this study is primarily provided by the Office for National Statistics (ONS)</w:t>
      </w:r>
      <w:r w:rsidR="00D82127">
        <w:t xml:space="preserve"> and is analysed over the timeframe 1997-2019</w:t>
      </w:r>
      <w:r>
        <w:t xml:space="preserve">. Earnings distribution data is taken directly from the Annual Survey of Hours and Earnings (ASHE) </w:t>
      </w:r>
      <w:sdt>
        <w:sdtPr>
          <w:id w:val="-985310414"/>
          <w:citation/>
        </w:sdtPr>
        <w:sdtContent>
          <w:r>
            <w:fldChar w:fldCharType="begin"/>
          </w:r>
          <w:r>
            <w:instrText xml:space="preserve"> CITATION ONS241 \l 2057 </w:instrText>
          </w:r>
          <w:r>
            <w:fldChar w:fldCharType="separate"/>
          </w:r>
          <w:r w:rsidR="007D5421" w:rsidRPr="007D5421">
            <w:rPr>
              <w:noProof/>
            </w:rPr>
            <w:t>(ONS, 2024)</w:t>
          </w:r>
          <w:r>
            <w:fldChar w:fldCharType="end"/>
          </w:r>
        </w:sdtContent>
      </w:sdt>
      <w:r>
        <w:t xml:space="preserve"> and deflated using CPI </w:t>
      </w:r>
      <w:sdt>
        <w:sdtPr>
          <w:id w:val="1679534514"/>
          <w:citation/>
        </w:sdtPr>
        <w:sdtContent>
          <w:r>
            <w:fldChar w:fldCharType="begin"/>
          </w:r>
          <w:r>
            <w:instrText xml:space="preserve"> CITATION ONS254 \l 2057 </w:instrText>
          </w:r>
          <w:r>
            <w:fldChar w:fldCharType="separate"/>
          </w:r>
          <w:r w:rsidR="007D5421" w:rsidRPr="007D5421">
            <w:rPr>
              <w:noProof/>
            </w:rPr>
            <w:t>(ONS, 2025)</w:t>
          </w:r>
          <w:r>
            <w:fldChar w:fldCharType="end"/>
          </w:r>
        </w:sdtContent>
      </w:sdt>
      <w:r>
        <w:t xml:space="preserve">. Different productivity specifications are calculated by aggregating various ONS sources </w:t>
      </w:r>
      <w:r w:rsidR="00DF64C4">
        <w:t xml:space="preserve">and can be found in Table B </w:t>
      </w:r>
      <w:r>
        <w:t xml:space="preserve">– see </w:t>
      </w:r>
      <w:r w:rsidRPr="00625528">
        <w:t>Appendix II</w:t>
      </w:r>
      <w:r w:rsidR="00DF64C4">
        <w:t xml:space="preserve"> for aggregation methodology</w:t>
      </w:r>
      <w:r w:rsidRPr="00625528">
        <w:t xml:space="preserve">. </w:t>
      </w:r>
      <w:r w:rsidR="00DF64C4">
        <w:t xml:space="preserve">The </w:t>
      </w:r>
      <w:r w:rsidR="0020662F" w:rsidRPr="00625528">
        <w:t xml:space="preserve">restricted unemployment figure was calculated using the UNEM01 ONS (2025) dataset – see Appendix III. </w:t>
      </w:r>
    </w:p>
    <w:p w14:paraId="0F04EE53" w14:textId="6627C945" w:rsidR="00CC531E" w:rsidRPr="00CC531E" w:rsidRDefault="0020662F" w:rsidP="00147CE7">
      <w:pPr>
        <w:spacing w:line="259" w:lineRule="auto"/>
        <w:jc w:val="both"/>
      </w:pPr>
      <w:r>
        <w:br w:type="page"/>
      </w:r>
    </w:p>
    <w:p w14:paraId="71D803A1" w14:textId="3477BA7D" w:rsidR="00CC531E" w:rsidRPr="0020662F" w:rsidRDefault="00CC531E" w:rsidP="00DF64C4">
      <w:pPr>
        <w:pStyle w:val="Heading2"/>
      </w:pPr>
      <w:bookmarkStart w:id="10" w:name="_Toc198794473"/>
      <w:r w:rsidRPr="0020662F">
        <w:t xml:space="preserve">Section 4.1: </w:t>
      </w:r>
      <w:r w:rsidR="00603EF4">
        <w:t>Summary Tables</w:t>
      </w:r>
      <w:bookmarkEnd w:id="10"/>
    </w:p>
    <w:p w14:paraId="144B11EC" w14:textId="0EF0F3B6" w:rsidR="00510082" w:rsidRPr="0020662F" w:rsidRDefault="00510082" w:rsidP="00DF64C4">
      <w:pPr>
        <w:spacing w:after="0"/>
        <w:jc w:val="center"/>
        <w:rPr>
          <w:b/>
          <w:bCs/>
        </w:rPr>
      </w:pPr>
      <w:r w:rsidRPr="0020662F">
        <w:rPr>
          <w:b/>
          <w:bCs/>
        </w:rPr>
        <w:t>Table A: Dependent Variables</w:t>
      </w:r>
    </w:p>
    <w:tbl>
      <w:tblPr>
        <w:tblStyle w:val="ListTable2"/>
        <w:tblW w:w="0" w:type="auto"/>
        <w:jc w:val="center"/>
        <w:tblBorders>
          <w:top w:val="single" w:sz="4" w:space="0" w:color="auto"/>
          <w:bottom w:val="single" w:sz="4" w:space="0" w:color="auto"/>
          <w:insideH w:val="none" w:sz="0" w:space="0" w:color="auto"/>
        </w:tblBorders>
        <w:tblLayout w:type="fixed"/>
        <w:tblLook w:val="04A0" w:firstRow="1" w:lastRow="0" w:firstColumn="1" w:lastColumn="0" w:noHBand="0" w:noVBand="1"/>
      </w:tblPr>
      <w:tblGrid>
        <w:gridCol w:w="2977"/>
        <w:gridCol w:w="1008"/>
        <w:gridCol w:w="1008"/>
        <w:gridCol w:w="1008"/>
        <w:gridCol w:w="1008"/>
        <w:gridCol w:w="1008"/>
        <w:gridCol w:w="1009"/>
      </w:tblGrid>
      <w:tr w:rsidR="000C2AA4" w:rsidRPr="000C2AA4" w14:paraId="67DCEB60" w14:textId="1D3807CE" w:rsidTr="004C3A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shd w:val="clear" w:color="auto" w:fill="auto"/>
          </w:tcPr>
          <w:p w14:paraId="64E95CBD" w14:textId="283CD960" w:rsidR="00D26EBD" w:rsidRPr="000C2AA4" w:rsidRDefault="00FC008C" w:rsidP="00896E65">
            <w:pPr>
              <w:spacing w:line="240" w:lineRule="auto"/>
              <w:rPr>
                <w:sz w:val="22"/>
                <w:szCs w:val="22"/>
              </w:rPr>
            </w:pPr>
            <w:r w:rsidRPr="000C2AA4">
              <w:rPr>
                <w:sz w:val="22"/>
                <w:szCs w:val="22"/>
              </w:rPr>
              <w:t>Income</w:t>
            </w:r>
            <w:r w:rsidR="00510082" w:rsidRPr="000C2AA4">
              <w:rPr>
                <w:sz w:val="22"/>
                <w:szCs w:val="22"/>
              </w:rPr>
              <w:t xml:space="preserve"> </w:t>
            </w:r>
            <w:r w:rsidRPr="000C2AA4">
              <w:rPr>
                <w:sz w:val="22"/>
                <w:szCs w:val="22"/>
              </w:rPr>
              <w:t>variable</w:t>
            </w:r>
            <w:r w:rsidR="0020662F">
              <w:rPr>
                <w:rStyle w:val="FootnoteReference"/>
                <w:sz w:val="22"/>
                <w:szCs w:val="22"/>
              </w:rPr>
              <w:footnoteReference w:id="6"/>
            </w:r>
          </w:p>
        </w:tc>
        <w:tc>
          <w:tcPr>
            <w:tcW w:w="1008" w:type="dxa"/>
            <w:tcBorders>
              <w:top w:val="single" w:sz="4" w:space="0" w:color="auto"/>
              <w:bottom w:val="single" w:sz="4" w:space="0" w:color="auto"/>
            </w:tcBorders>
            <w:shd w:val="clear" w:color="auto" w:fill="auto"/>
          </w:tcPr>
          <w:p w14:paraId="6797B6D8" w14:textId="295A621B" w:rsidR="00D26EBD" w:rsidRPr="000C2AA4" w:rsidRDefault="00D26EBD"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C2AA4">
              <w:rPr>
                <w:sz w:val="22"/>
                <w:szCs w:val="22"/>
              </w:rPr>
              <w:t>Obs.</w:t>
            </w:r>
          </w:p>
        </w:tc>
        <w:tc>
          <w:tcPr>
            <w:tcW w:w="1008" w:type="dxa"/>
            <w:tcBorders>
              <w:top w:val="single" w:sz="4" w:space="0" w:color="auto"/>
              <w:bottom w:val="single" w:sz="4" w:space="0" w:color="auto"/>
            </w:tcBorders>
            <w:shd w:val="clear" w:color="auto" w:fill="auto"/>
          </w:tcPr>
          <w:p w14:paraId="424E63CC" w14:textId="72F12D0E" w:rsidR="00D26EBD" w:rsidRPr="000C2AA4" w:rsidRDefault="00D26EBD"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C2AA4">
              <w:rPr>
                <w:sz w:val="22"/>
                <w:szCs w:val="22"/>
              </w:rPr>
              <w:t>Mean</w:t>
            </w:r>
          </w:p>
        </w:tc>
        <w:tc>
          <w:tcPr>
            <w:tcW w:w="1008" w:type="dxa"/>
            <w:tcBorders>
              <w:top w:val="single" w:sz="4" w:space="0" w:color="auto"/>
              <w:bottom w:val="single" w:sz="4" w:space="0" w:color="auto"/>
            </w:tcBorders>
            <w:shd w:val="clear" w:color="auto" w:fill="auto"/>
          </w:tcPr>
          <w:p w14:paraId="54574F17" w14:textId="614A2591" w:rsidR="00D26EBD" w:rsidRPr="000C2AA4" w:rsidRDefault="00D26EBD"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C2AA4">
              <w:rPr>
                <w:sz w:val="22"/>
                <w:szCs w:val="22"/>
              </w:rPr>
              <w:t>Std. Dev.</w:t>
            </w:r>
          </w:p>
        </w:tc>
        <w:tc>
          <w:tcPr>
            <w:tcW w:w="1008" w:type="dxa"/>
            <w:tcBorders>
              <w:top w:val="single" w:sz="4" w:space="0" w:color="auto"/>
              <w:bottom w:val="single" w:sz="4" w:space="0" w:color="auto"/>
            </w:tcBorders>
            <w:shd w:val="clear" w:color="auto" w:fill="auto"/>
          </w:tcPr>
          <w:p w14:paraId="34821839" w14:textId="38565B95" w:rsidR="00D26EBD" w:rsidRPr="000C2AA4" w:rsidRDefault="00D26EBD"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C2AA4">
              <w:rPr>
                <w:sz w:val="22"/>
                <w:szCs w:val="22"/>
              </w:rPr>
              <w:t>Median</w:t>
            </w:r>
          </w:p>
        </w:tc>
        <w:tc>
          <w:tcPr>
            <w:tcW w:w="1008" w:type="dxa"/>
            <w:tcBorders>
              <w:top w:val="single" w:sz="4" w:space="0" w:color="auto"/>
              <w:bottom w:val="single" w:sz="4" w:space="0" w:color="auto"/>
            </w:tcBorders>
            <w:shd w:val="clear" w:color="auto" w:fill="auto"/>
          </w:tcPr>
          <w:p w14:paraId="7DE807A3" w14:textId="49349AD8" w:rsidR="00D26EBD" w:rsidRPr="000C2AA4" w:rsidRDefault="00D26EBD"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C2AA4">
              <w:rPr>
                <w:sz w:val="22"/>
                <w:szCs w:val="22"/>
              </w:rPr>
              <w:t>Min</w:t>
            </w:r>
          </w:p>
        </w:tc>
        <w:tc>
          <w:tcPr>
            <w:tcW w:w="1009" w:type="dxa"/>
            <w:tcBorders>
              <w:top w:val="single" w:sz="4" w:space="0" w:color="auto"/>
              <w:bottom w:val="single" w:sz="4" w:space="0" w:color="auto"/>
            </w:tcBorders>
            <w:shd w:val="clear" w:color="auto" w:fill="auto"/>
          </w:tcPr>
          <w:p w14:paraId="4979FC9D" w14:textId="1A936F1E" w:rsidR="00D26EBD" w:rsidRPr="000C2AA4" w:rsidRDefault="00D26EBD"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0C2AA4">
              <w:rPr>
                <w:sz w:val="22"/>
                <w:szCs w:val="22"/>
              </w:rPr>
              <w:t>Max</w:t>
            </w:r>
          </w:p>
        </w:tc>
      </w:tr>
      <w:tr w:rsidR="0020662F" w:rsidRPr="000C2AA4" w14:paraId="3DC8D94A" w14:textId="7A3706EB" w:rsidTr="009100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shd w:val="clear" w:color="auto" w:fill="auto"/>
          </w:tcPr>
          <w:p w14:paraId="213EA1A3" w14:textId="6DE17702" w:rsidR="00FC008C" w:rsidRPr="000C2AA4" w:rsidRDefault="0020662F" w:rsidP="00147CE7">
            <w:pPr>
              <w:spacing w:line="240" w:lineRule="auto"/>
              <w:jc w:val="both"/>
              <w:rPr>
                <w:sz w:val="22"/>
                <w:szCs w:val="22"/>
              </w:rPr>
            </w:pPr>
            <w:r>
              <w:rPr>
                <w:sz w:val="22"/>
                <w:szCs w:val="22"/>
              </w:rPr>
              <w:t>Hourly Earnings</w:t>
            </w:r>
            <w:r w:rsidRPr="000C2AA4">
              <w:rPr>
                <w:sz w:val="22"/>
                <w:szCs w:val="22"/>
              </w:rPr>
              <w:t xml:space="preserve"> </w:t>
            </w:r>
            <w:r w:rsidR="00FC008C" w:rsidRPr="000C2AA4">
              <w:rPr>
                <w:sz w:val="22"/>
                <w:szCs w:val="22"/>
              </w:rPr>
              <w:t>1</w:t>
            </w:r>
            <w:r w:rsidRPr="0020662F">
              <w:rPr>
                <w:sz w:val="22"/>
                <w:szCs w:val="22"/>
                <w:vertAlign w:val="superscript"/>
              </w:rPr>
              <w:t>st</w:t>
            </w:r>
          </w:p>
        </w:tc>
        <w:tc>
          <w:tcPr>
            <w:tcW w:w="1008" w:type="dxa"/>
            <w:tcBorders>
              <w:top w:val="single" w:sz="4" w:space="0" w:color="auto"/>
            </w:tcBorders>
            <w:shd w:val="clear" w:color="auto" w:fill="auto"/>
          </w:tcPr>
          <w:p w14:paraId="7ACBA2EF" w14:textId="36AA88FA"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23</w:t>
            </w:r>
          </w:p>
        </w:tc>
        <w:tc>
          <w:tcPr>
            <w:tcW w:w="1008" w:type="dxa"/>
            <w:tcBorders>
              <w:top w:val="single" w:sz="4" w:space="0" w:color="auto"/>
            </w:tcBorders>
            <w:shd w:val="clear" w:color="auto" w:fill="auto"/>
          </w:tcPr>
          <w:p w14:paraId="713697EB" w14:textId="4D40F553"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6.72</w:t>
            </w:r>
          </w:p>
        </w:tc>
        <w:tc>
          <w:tcPr>
            <w:tcW w:w="1008" w:type="dxa"/>
            <w:tcBorders>
              <w:top w:val="single" w:sz="4" w:space="0" w:color="auto"/>
            </w:tcBorders>
            <w:shd w:val="clear" w:color="auto" w:fill="auto"/>
          </w:tcPr>
          <w:p w14:paraId="566EFE31" w14:textId="39AE86D5"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0.59</w:t>
            </w:r>
          </w:p>
        </w:tc>
        <w:tc>
          <w:tcPr>
            <w:tcW w:w="1008" w:type="dxa"/>
            <w:tcBorders>
              <w:top w:val="single" w:sz="4" w:space="0" w:color="auto"/>
            </w:tcBorders>
            <w:shd w:val="clear" w:color="auto" w:fill="auto"/>
          </w:tcPr>
          <w:p w14:paraId="7B1A8653" w14:textId="053133BE"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6.77</w:t>
            </w:r>
          </w:p>
        </w:tc>
        <w:tc>
          <w:tcPr>
            <w:tcW w:w="1008" w:type="dxa"/>
            <w:tcBorders>
              <w:top w:val="single" w:sz="4" w:space="0" w:color="auto"/>
            </w:tcBorders>
            <w:shd w:val="clear" w:color="auto" w:fill="auto"/>
          </w:tcPr>
          <w:p w14:paraId="43A006E7" w14:textId="59D80A76"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5.44</w:t>
            </w:r>
          </w:p>
        </w:tc>
        <w:tc>
          <w:tcPr>
            <w:tcW w:w="1009" w:type="dxa"/>
            <w:tcBorders>
              <w:top w:val="single" w:sz="4" w:space="0" w:color="auto"/>
            </w:tcBorders>
            <w:shd w:val="clear" w:color="auto" w:fill="auto"/>
          </w:tcPr>
          <w:p w14:paraId="6D35A35B" w14:textId="579C271C"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7.75</w:t>
            </w:r>
          </w:p>
        </w:tc>
      </w:tr>
      <w:tr w:rsidR="000C2AA4" w:rsidRPr="000C2AA4" w14:paraId="19373F1D" w14:textId="32950899" w:rsidTr="009100B5">
        <w:trPr>
          <w:trHeight w:val="318"/>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5D44AFD7" w14:textId="7E59A615" w:rsidR="00FC008C" w:rsidRPr="000C2AA4" w:rsidRDefault="0020662F" w:rsidP="00147CE7">
            <w:pPr>
              <w:spacing w:line="240" w:lineRule="auto"/>
              <w:jc w:val="both"/>
              <w:rPr>
                <w:sz w:val="22"/>
                <w:szCs w:val="22"/>
              </w:rPr>
            </w:pPr>
            <w:r>
              <w:rPr>
                <w:sz w:val="22"/>
                <w:szCs w:val="22"/>
              </w:rPr>
              <w:t>Hourly Earnings</w:t>
            </w:r>
            <w:r w:rsidRPr="000C2AA4">
              <w:rPr>
                <w:sz w:val="22"/>
                <w:szCs w:val="22"/>
              </w:rPr>
              <w:t xml:space="preserve"> </w:t>
            </w:r>
            <w:r w:rsidR="00FC008C" w:rsidRPr="000C2AA4">
              <w:rPr>
                <w:sz w:val="22"/>
                <w:szCs w:val="22"/>
              </w:rPr>
              <w:t>2</w:t>
            </w:r>
            <w:r w:rsidRPr="0020662F">
              <w:rPr>
                <w:sz w:val="22"/>
                <w:szCs w:val="22"/>
                <w:vertAlign w:val="superscript"/>
              </w:rPr>
              <w:t>nd</w:t>
            </w:r>
          </w:p>
        </w:tc>
        <w:tc>
          <w:tcPr>
            <w:tcW w:w="1008" w:type="dxa"/>
            <w:shd w:val="clear" w:color="auto" w:fill="auto"/>
          </w:tcPr>
          <w:p w14:paraId="2F1AC1A5" w14:textId="2533C66D"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23</w:t>
            </w:r>
          </w:p>
        </w:tc>
        <w:tc>
          <w:tcPr>
            <w:tcW w:w="1008" w:type="dxa"/>
            <w:shd w:val="clear" w:color="auto" w:fill="auto"/>
          </w:tcPr>
          <w:p w14:paraId="3083980E" w14:textId="501061C5"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7.74</w:t>
            </w:r>
          </w:p>
        </w:tc>
        <w:tc>
          <w:tcPr>
            <w:tcW w:w="1008" w:type="dxa"/>
            <w:shd w:val="clear" w:color="auto" w:fill="auto"/>
          </w:tcPr>
          <w:p w14:paraId="436D2501" w14:textId="77775B76"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0.54</w:t>
            </w:r>
          </w:p>
        </w:tc>
        <w:tc>
          <w:tcPr>
            <w:tcW w:w="1008" w:type="dxa"/>
            <w:shd w:val="clear" w:color="auto" w:fill="auto"/>
          </w:tcPr>
          <w:p w14:paraId="4D3181FC" w14:textId="4B9AB812"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7.81</w:t>
            </w:r>
          </w:p>
        </w:tc>
        <w:tc>
          <w:tcPr>
            <w:tcW w:w="1008" w:type="dxa"/>
            <w:shd w:val="clear" w:color="auto" w:fill="auto"/>
          </w:tcPr>
          <w:p w14:paraId="7F548C97" w14:textId="01C3E1A4"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6.53</w:t>
            </w:r>
          </w:p>
        </w:tc>
        <w:tc>
          <w:tcPr>
            <w:tcW w:w="1009" w:type="dxa"/>
            <w:shd w:val="clear" w:color="auto" w:fill="auto"/>
          </w:tcPr>
          <w:p w14:paraId="69A27A35" w14:textId="1C953870"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8.52</w:t>
            </w:r>
          </w:p>
        </w:tc>
      </w:tr>
      <w:tr w:rsidR="0020662F" w:rsidRPr="000C2AA4" w14:paraId="4CBE1BB7" w14:textId="7BE23BCB" w:rsidTr="009100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777CF8AC" w14:textId="1F63A9CA" w:rsidR="00FC008C" w:rsidRPr="000C2AA4" w:rsidRDefault="0020662F" w:rsidP="00147CE7">
            <w:pPr>
              <w:spacing w:line="240" w:lineRule="auto"/>
              <w:jc w:val="both"/>
              <w:rPr>
                <w:sz w:val="22"/>
                <w:szCs w:val="22"/>
              </w:rPr>
            </w:pPr>
            <w:r>
              <w:rPr>
                <w:sz w:val="22"/>
                <w:szCs w:val="22"/>
              </w:rPr>
              <w:t>Hourly Earnings</w:t>
            </w:r>
            <w:r w:rsidRPr="000C2AA4">
              <w:rPr>
                <w:sz w:val="22"/>
                <w:szCs w:val="22"/>
              </w:rPr>
              <w:t xml:space="preserve"> </w:t>
            </w:r>
            <w:r w:rsidR="00FC008C" w:rsidRPr="000C2AA4">
              <w:rPr>
                <w:sz w:val="22"/>
                <w:szCs w:val="22"/>
              </w:rPr>
              <w:t>3</w:t>
            </w:r>
            <w:r w:rsidRPr="0020662F">
              <w:rPr>
                <w:sz w:val="22"/>
                <w:szCs w:val="22"/>
                <w:vertAlign w:val="superscript"/>
              </w:rPr>
              <w:t>rd</w:t>
            </w:r>
          </w:p>
        </w:tc>
        <w:tc>
          <w:tcPr>
            <w:tcW w:w="1008" w:type="dxa"/>
            <w:shd w:val="clear" w:color="auto" w:fill="auto"/>
          </w:tcPr>
          <w:p w14:paraId="105CE715" w14:textId="4E501A5D"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23</w:t>
            </w:r>
          </w:p>
        </w:tc>
        <w:tc>
          <w:tcPr>
            <w:tcW w:w="1008" w:type="dxa"/>
            <w:shd w:val="clear" w:color="auto" w:fill="auto"/>
          </w:tcPr>
          <w:p w14:paraId="5719C933" w14:textId="1F839CA2"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8.91</w:t>
            </w:r>
          </w:p>
        </w:tc>
        <w:tc>
          <w:tcPr>
            <w:tcW w:w="1008" w:type="dxa"/>
            <w:shd w:val="clear" w:color="auto" w:fill="auto"/>
          </w:tcPr>
          <w:p w14:paraId="134888B0" w14:textId="38FCC603"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0.55</w:t>
            </w:r>
          </w:p>
        </w:tc>
        <w:tc>
          <w:tcPr>
            <w:tcW w:w="1008" w:type="dxa"/>
            <w:shd w:val="clear" w:color="auto" w:fill="auto"/>
          </w:tcPr>
          <w:p w14:paraId="60B095A3" w14:textId="09945F49"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8.99</w:t>
            </w:r>
          </w:p>
        </w:tc>
        <w:tc>
          <w:tcPr>
            <w:tcW w:w="1008" w:type="dxa"/>
            <w:shd w:val="clear" w:color="auto" w:fill="auto"/>
          </w:tcPr>
          <w:p w14:paraId="716975EA" w14:textId="5CED1734"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7.62</w:t>
            </w:r>
          </w:p>
        </w:tc>
        <w:tc>
          <w:tcPr>
            <w:tcW w:w="1009" w:type="dxa"/>
            <w:shd w:val="clear" w:color="auto" w:fill="auto"/>
          </w:tcPr>
          <w:p w14:paraId="75DD7AD4" w14:textId="23A2DD4E"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9.58</w:t>
            </w:r>
          </w:p>
        </w:tc>
      </w:tr>
      <w:tr w:rsidR="000C2AA4" w:rsidRPr="000C2AA4" w14:paraId="707C330C" w14:textId="3864EC57" w:rsidTr="009100B5">
        <w:trPr>
          <w:trHeight w:val="318"/>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343A0955" w14:textId="471E3B9B" w:rsidR="00FC008C" w:rsidRPr="000C2AA4" w:rsidRDefault="0020662F" w:rsidP="00147CE7">
            <w:pPr>
              <w:spacing w:line="240" w:lineRule="auto"/>
              <w:jc w:val="both"/>
              <w:rPr>
                <w:sz w:val="22"/>
                <w:szCs w:val="22"/>
              </w:rPr>
            </w:pPr>
            <w:r>
              <w:rPr>
                <w:sz w:val="22"/>
                <w:szCs w:val="22"/>
              </w:rPr>
              <w:t>Hourly Earnings</w:t>
            </w:r>
            <w:r w:rsidRPr="000C2AA4">
              <w:rPr>
                <w:sz w:val="22"/>
                <w:szCs w:val="22"/>
              </w:rPr>
              <w:t xml:space="preserve"> </w:t>
            </w:r>
            <w:r w:rsidR="00FC008C" w:rsidRPr="000C2AA4">
              <w:rPr>
                <w:sz w:val="22"/>
                <w:szCs w:val="22"/>
              </w:rPr>
              <w:t>4</w:t>
            </w:r>
            <w:r w:rsidRPr="0020662F">
              <w:rPr>
                <w:sz w:val="22"/>
                <w:szCs w:val="22"/>
                <w:vertAlign w:val="superscript"/>
              </w:rPr>
              <w:t>th</w:t>
            </w:r>
          </w:p>
        </w:tc>
        <w:tc>
          <w:tcPr>
            <w:tcW w:w="1008" w:type="dxa"/>
            <w:shd w:val="clear" w:color="auto" w:fill="auto"/>
          </w:tcPr>
          <w:p w14:paraId="3184D127" w14:textId="721048A9"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23</w:t>
            </w:r>
          </w:p>
        </w:tc>
        <w:tc>
          <w:tcPr>
            <w:tcW w:w="1008" w:type="dxa"/>
            <w:shd w:val="clear" w:color="auto" w:fill="auto"/>
          </w:tcPr>
          <w:p w14:paraId="4F58A5C0" w14:textId="171CB311"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10.20</w:t>
            </w:r>
          </w:p>
        </w:tc>
        <w:tc>
          <w:tcPr>
            <w:tcW w:w="1008" w:type="dxa"/>
            <w:shd w:val="clear" w:color="auto" w:fill="auto"/>
          </w:tcPr>
          <w:p w14:paraId="16DB95C3" w14:textId="54453C94"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0.61</w:t>
            </w:r>
          </w:p>
        </w:tc>
        <w:tc>
          <w:tcPr>
            <w:tcW w:w="1008" w:type="dxa"/>
            <w:shd w:val="clear" w:color="auto" w:fill="auto"/>
          </w:tcPr>
          <w:p w14:paraId="010D199C" w14:textId="1C1837B5"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10.30</w:t>
            </w:r>
          </w:p>
        </w:tc>
        <w:tc>
          <w:tcPr>
            <w:tcW w:w="1008" w:type="dxa"/>
            <w:shd w:val="clear" w:color="auto" w:fill="auto"/>
          </w:tcPr>
          <w:p w14:paraId="6E9C18E3" w14:textId="2A8181D9"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8.76</w:t>
            </w:r>
          </w:p>
        </w:tc>
        <w:tc>
          <w:tcPr>
            <w:tcW w:w="1009" w:type="dxa"/>
            <w:shd w:val="clear" w:color="auto" w:fill="auto"/>
          </w:tcPr>
          <w:p w14:paraId="7573A48A" w14:textId="3A10D127"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10.98</w:t>
            </w:r>
          </w:p>
        </w:tc>
      </w:tr>
      <w:tr w:rsidR="0020662F" w:rsidRPr="000C2AA4" w14:paraId="5A2C5AD4" w14:textId="2A06BAB3" w:rsidTr="009100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67BF495F" w14:textId="3904E765" w:rsidR="00FC008C" w:rsidRPr="00DF64C4" w:rsidRDefault="00146698" w:rsidP="00147CE7">
            <w:pPr>
              <w:spacing w:line="240" w:lineRule="auto"/>
              <w:jc w:val="both"/>
              <w:rPr>
                <w:sz w:val="22"/>
                <w:szCs w:val="22"/>
              </w:rPr>
            </w:pPr>
            <w:r>
              <w:rPr>
                <w:sz w:val="22"/>
                <w:szCs w:val="22"/>
              </w:rPr>
              <w:t xml:space="preserve">Median </w:t>
            </w:r>
            <w:r w:rsidR="0020662F">
              <w:rPr>
                <w:sz w:val="22"/>
                <w:szCs w:val="22"/>
              </w:rPr>
              <w:t>Hourly Earnings</w:t>
            </w:r>
          </w:p>
        </w:tc>
        <w:tc>
          <w:tcPr>
            <w:tcW w:w="1008" w:type="dxa"/>
            <w:shd w:val="clear" w:color="auto" w:fill="auto"/>
          </w:tcPr>
          <w:p w14:paraId="306E9EA6" w14:textId="75C0644B"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23</w:t>
            </w:r>
          </w:p>
        </w:tc>
        <w:tc>
          <w:tcPr>
            <w:tcW w:w="1008" w:type="dxa"/>
            <w:shd w:val="clear" w:color="auto" w:fill="auto"/>
          </w:tcPr>
          <w:p w14:paraId="1EC917AE" w14:textId="430E6034"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11.78</w:t>
            </w:r>
          </w:p>
        </w:tc>
        <w:tc>
          <w:tcPr>
            <w:tcW w:w="1008" w:type="dxa"/>
            <w:shd w:val="clear" w:color="auto" w:fill="auto"/>
          </w:tcPr>
          <w:p w14:paraId="239E2BBB" w14:textId="7F31CB49"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0.71</w:t>
            </w:r>
          </w:p>
        </w:tc>
        <w:tc>
          <w:tcPr>
            <w:tcW w:w="1008" w:type="dxa"/>
            <w:shd w:val="clear" w:color="auto" w:fill="auto"/>
          </w:tcPr>
          <w:p w14:paraId="06005D49" w14:textId="681DD977"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11.92</w:t>
            </w:r>
          </w:p>
        </w:tc>
        <w:tc>
          <w:tcPr>
            <w:tcW w:w="1008" w:type="dxa"/>
            <w:shd w:val="clear" w:color="auto" w:fill="auto"/>
          </w:tcPr>
          <w:p w14:paraId="57075D69" w14:textId="7186C6E5"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10.09</w:t>
            </w:r>
          </w:p>
        </w:tc>
        <w:tc>
          <w:tcPr>
            <w:tcW w:w="1009" w:type="dxa"/>
            <w:shd w:val="clear" w:color="auto" w:fill="auto"/>
          </w:tcPr>
          <w:p w14:paraId="50975F35" w14:textId="32349A83"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12.73</w:t>
            </w:r>
          </w:p>
        </w:tc>
      </w:tr>
      <w:tr w:rsidR="000C2AA4" w:rsidRPr="000C2AA4" w14:paraId="1F560965" w14:textId="77777777" w:rsidTr="009100B5">
        <w:trPr>
          <w:trHeight w:val="318"/>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4330285B" w14:textId="3BA94730" w:rsidR="00FC008C" w:rsidRPr="000C2AA4" w:rsidRDefault="0020662F" w:rsidP="00147CE7">
            <w:pPr>
              <w:spacing w:line="240" w:lineRule="auto"/>
              <w:jc w:val="both"/>
              <w:rPr>
                <w:sz w:val="22"/>
                <w:szCs w:val="22"/>
              </w:rPr>
            </w:pPr>
            <w:r>
              <w:rPr>
                <w:sz w:val="22"/>
                <w:szCs w:val="22"/>
              </w:rPr>
              <w:t>Hourly Earnings</w:t>
            </w:r>
            <w:r w:rsidRPr="000C2AA4">
              <w:rPr>
                <w:sz w:val="22"/>
                <w:szCs w:val="22"/>
              </w:rPr>
              <w:t xml:space="preserve"> </w:t>
            </w:r>
            <w:r>
              <w:rPr>
                <w:sz w:val="22"/>
                <w:szCs w:val="22"/>
              </w:rPr>
              <w:t>6</w:t>
            </w:r>
            <w:r w:rsidRPr="0020662F">
              <w:rPr>
                <w:sz w:val="22"/>
                <w:szCs w:val="22"/>
                <w:vertAlign w:val="superscript"/>
              </w:rPr>
              <w:t>th</w:t>
            </w:r>
          </w:p>
        </w:tc>
        <w:tc>
          <w:tcPr>
            <w:tcW w:w="1008" w:type="dxa"/>
            <w:shd w:val="clear" w:color="auto" w:fill="auto"/>
          </w:tcPr>
          <w:p w14:paraId="29890340" w14:textId="70D47679"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23</w:t>
            </w:r>
          </w:p>
        </w:tc>
        <w:tc>
          <w:tcPr>
            <w:tcW w:w="1008" w:type="dxa"/>
            <w:shd w:val="clear" w:color="auto" w:fill="auto"/>
          </w:tcPr>
          <w:p w14:paraId="084E8013" w14:textId="198D7A3E"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13.79</w:t>
            </w:r>
          </w:p>
        </w:tc>
        <w:tc>
          <w:tcPr>
            <w:tcW w:w="1008" w:type="dxa"/>
            <w:shd w:val="clear" w:color="auto" w:fill="auto"/>
          </w:tcPr>
          <w:p w14:paraId="469419DD" w14:textId="3450A156"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0.85</w:t>
            </w:r>
          </w:p>
        </w:tc>
        <w:tc>
          <w:tcPr>
            <w:tcW w:w="1008" w:type="dxa"/>
            <w:shd w:val="clear" w:color="auto" w:fill="auto"/>
          </w:tcPr>
          <w:p w14:paraId="3AB11FA2" w14:textId="5C2CABB5"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14.00</w:t>
            </w:r>
          </w:p>
        </w:tc>
        <w:tc>
          <w:tcPr>
            <w:tcW w:w="1008" w:type="dxa"/>
            <w:shd w:val="clear" w:color="auto" w:fill="auto"/>
          </w:tcPr>
          <w:p w14:paraId="3817565B" w14:textId="5D046670"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11.75</w:t>
            </w:r>
          </w:p>
        </w:tc>
        <w:tc>
          <w:tcPr>
            <w:tcW w:w="1009" w:type="dxa"/>
            <w:shd w:val="clear" w:color="auto" w:fill="auto"/>
          </w:tcPr>
          <w:p w14:paraId="7258A5FD" w14:textId="27186929"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14.95</w:t>
            </w:r>
          </w:p>
        </w:tc>
      </w:tr>
      <w:tr w:rsidR="0020662F" w:rsidRPr="000C2AA4" w14:paraId="1C8CADB8" w14:textId="77777777" w:rsidTr="009100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02481A50" w14:textId="5669093D" w:rsidR="00FC008C" w:rsidRPr="000C2AA4" w:rsidRDefault="0020662F" w:rsidP="00147CE7">
            <w:pPr>
              <w:spacing w:line="240" w:lineRule="auto"/>
              <w:jc w:val="both"/>
              <w:rPr>
                <w:sz w:val="22"/>
                <w:szCs w:val="22"/>
              </w:rPr>
            </w:pPr>
            <w:r>
              <w:rPr>
                <w:sz w:val="22"/>
                <w:szCs w:val="22"/>
              </w:rPr>
              <w:t>Hourly Earnings 7</w:t>
            </w:r>
            <w:r w:rsidRPr="0020662F">
              <w:rPr>
                <w:sz w:val="22"/>
                <w:szCs w:val="22"/>
                <w:vertAlign w:val="superscript"/>
              </w:rPr>
              <w:t>th</w:t>
            </w:r>
          </w:p>
        </w:tc>
        <w:tc>
          <w:tcPr>
            <w:tcW w:w="1008" w:type="dxa"/>
            <w:shd w:val="clear" w:color="auto" w:fill="auto"/>
          </w:tcPr>
          <w:p w14:paraId="23261B33" w14:textId="21D1E915"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23</w:t>
            </w:r>
          </w:p>
        </w:tc>
        <w:tc>
          <w:tcPr>
            <w:tcW w:w="1008" w:type="dxa"/>
            <w:shd w:val="clear" w:color="auto" w:fill="auto"/>
          </w:tcPr>
          <w:p w14:paraId="07EE267C" w14:textId="63975DB6"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16.37</w:t>
            </w:r>
          </w:p>
        </w:tc>
        <w:tc>
          <w:tcPr>
            <w:tcW w:w="1008" w:type="dxa"/>
            <w:shd w:val="clear" w:color="auto" w:fill="auto"/>
          </w:tcPr>
          <w:p w14:paraId="56471AF1" w14:textId="144A36CA"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1.04</w:t>
            </w:r>
          </w:p>
        </w:tc>
        <w:tc>
          <w:tcPr>
            <w:tcW w:w="1008" w:type="dxa"/>
            <w:shd w:val="clear" w:color="auto" w:fill="auto"/>
          </w:tcPr>
          <w:p w14:paraId="00E17CBA" w14:textId="38C413CC"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16.64</w:t>
            </w:r>
          </w:p>
        </w:tc>
        <w:tc>
          <w:tcPr>
            <w:tcW w:w="1008" w:type="dxa"/>
            <w:shd w:val="clear" w:color="auto" w:fill="auto"/>
          </w:tcPr>
          <w:p w14:paraId="657A91A2" w14:textId="405372F1"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13.85</w:t>
            </w:r>
          </w:p>
        </w:tc>
        <w:tc>
          <w:tcPr>
            <w:tcW w:w="1009" w:type="dxa"/>
            <w:shd w:val="clear" w:color="auto" w:fill="auto"/>
          </w:tcPr>
          <w:p w14:paraId="2A31D82F" w14:textId="6E870E00"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17.74</w:t>
            </w:r>
          </w:p>
        </w:tc>
      </w:tr>
      <w:tr w:rsidR="000C2AA4" w:rsidRPr="000C2AA4" w14:paraId="68169E24" w14:textId="77777777" w:rsidTr="009100B5">
        <w:trPr>
          <w:trHeight w:val="318"/>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741BD7C6" w14:textId="52DD2AD2" w:rsidR="00FC008C" w:rsidRPr="000C2AA4" w:rsidRDefault="0020662F" w:rsidP="00147CE7">
            <w:pPr>
              <w:spacing w:line="240" w:lineRule="auto"/>
              <w:jc w:val="both"/>
              <w:rPr>
                <w:sz w:val="22"/>
                <w:szCs w:val="22"/>
              </w:rPr>
            </w:pPr>
            <w:r>
              <w:rPr>
                <w:sz w:val="22"/>
                <w:szCs w:val="22"/>
              </w:rPr>
              <w:t>Hourly Earnings 8</w:t>
            </w:r>
            <w:r w:rsidRPr="0020662F">
              <w:rPr>
                <w:sz w:val="22"/>
                <w:szCs w:val="22"/>
                <w:vertAlign w:val="superscript"/>
              </w:rPr>
              <w:t>th</w:t>
            </w:r>
          </w:p>
        </w:tc>
        <w:tc>
          <w:tcPr>
            <w:tcW w:w="1008" w:type="dxa"/>
            <w:shd w:val="clear" w:color="auto" w:fill="auto"/>
          </w:tcPr>
          <w:p w14:paraId="6B31B2F9" w14:textId="0CE79E7A"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23</w:t>
            </w:r>
          </w:p>
        </w:tc>
        <w:tc>
          <w:tcPr>
            <w:tcW w:w="1008" w:type="dxa"/>
            <w:shd w:val="clear" w:color="auto" w:fill="auto"/>
          </w:tcPr>
          <w:p w14:paraId="6CABF7F6" w14:textId="40F2EA01"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19.88</w:t>
            </w:r>
          </w:p>
        </w:tc>
        <w:tc>
          <w:tcPr>
            <w:tcW w:w="1008" w:type="dxa"/>
            <w:shd w:val="clear" w:color="auto" w:fill="auto"/>
          </w:tcPr>
          <w:p w14:paraId="1C547BCD" w14:textId="7E248EFD"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1.29</w:t>
            </w:r>
          </w:p>
        </w:tc>
        <w:tc>
          <w:tcPr>
            <w:tcW w:w="1008" w:type="dxa"/>
            <w:shd w:val="clear" w:color="auto" w:fill="auto"/>
          </w:tcPr>
          <w:p w14:paraId="701E1C72" w14:textId="5538592B"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20.13</w:t>
            </w:r>
          </w:p>
        </w:tc>
        <w:tc>
          <w:tcPr>
            <w:tcW w:w="1008" w:type="dxa"/>
            <w:shd w:val="clear" w:color="auto" w:fill="auto"/>
          </w:tcPr>
          <w:p w14:paraId="4E362B5D" w14:textId="6CEA57BA"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16.80</w:t>
            </w:r>
          </w:p>
        </w:tc>
        <w:tc>
          <w:tcPr>
            <w:tcW w:w="1009" w:type="dxa"/>
            <w:shd w:val="clear" w:color="auto" w:fill="auto"/>
          </w:tcPr>
          <w:p w14:paraId="0F2A62A2" w14:textId="4E311A79"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21.63</w:t>
            </w:r>
          </w:p>
        </w:tc>
      </w:tr>
      <w:tr w:rsidR="0020662F" w:rsidRPr="000C2AA4" w14:paraId="3D9E7019" w14:textId="77777777" w:rsidTr="009100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auto"/>
            </w:tcBorders>
            <w:shd w:val="clear" w:color="auto" w:fill="auto"/>
          </w:tcPr>
          <w:p w14:paraId="5F6BC310" w14:textId="5F9DE31A" w:rsidR="00FC008C" w:rsidRPr="000C2AA4" w:rsidRDefault="0020662F" w:rsidP="00147CE7">
            <w:pPr>
              <w:spacing w:line="240" w:lineRule="auto"/>
              <w:jc w:val="both"/>
              <w:rPr>
                <w:sz w:val="22"/>
                <w:szCs w:val="22"/>
              </w:rPr>
            </w:pPr>
            <w:r>
              <w:rPr>
                <w:sz w:val="22"/>
                <w:szCs w:val="22"/>
              </w:rPr>
              <w:t>Hourly Earnings 9</w:t>
            </w:r>
            <w:r w:rsidRPr="0020662F">
              <w:rPr>
                <w:sz w:val="22"/>
                <w:szCs w:val="22"/>
                <w:vertAlign w:val="superscript"/>
              </w:rPr>
              <w:t>th</w:t>
            </w:r>
          </w:p>
        </w:tc>
        <w:tc>
          <w:tcPr>
            <w:tcW w:w="1008" w:type="dxa"/>
            <w:tcBorders>
              <w:bottom w:val="single" w:sz="4" w:space="0" w:color="auto"/>
            </w:tcBorders>
            <w:shd w:val="clear" w:color="auto" w:fill="auto"/>
          </w:tcPr>
          <w:p w14:paraId="44271767" w14:textId="2CB76B9D"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23</w:t>
            </w:r>
          </w:p>
        </w:tc>
        <w:tc>
          <w:tcPr>
            <w:tcW w:w="1008" w:type="dxa"/>
            <w:tcBorders>
              <w:bottom w:val="single" w:sz="4" w:space="0" w:color="auto"/>
            </w:tcBorders>
            <w:shd w:val="clear" w:color="auto" w:fill="auto"/>
          </w:tcPr>
          <w:p w14:paraId="2AB9950C" w14:textId="4A2F20B5"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25.99</w:t>
            </w:r>
          </w:p>
        </w:tc>
        <w:tc>
          <w:tcPr>
            <w:tcW w:w="1008" w:type="dxa"/>
            <w:tcBorders>
              <w:bottom w:val="single" w:sz="4" w:space="0" w:color="auto"/>
            </w:tcBorders>
            <w:shd w:val="clear" w:color="auto" w:fill="auto"/>
          </w:tcPr>
          <w:p w14:paraId="2C97C3E7" w14:textId="5B8E752C"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1.78</w:t>
            </w:r>
          </w:p>
        </w:tc>
        <w:tc>
          <w:tcPr>
            <w:tcW w:w="1008" w:type="dxa"/>
            <w:tcBorders>
              <w:bottom w:val="single" w:sz="4" w:space="0" w:color="auto"/>
            </w:tcBorders>
            <w:shd w:val="clear" w:color="auto" w:fill="auto"/>
          </w:tcPr>
          <w:p w14:paraId="554346E3" w14:textId="6DC19B36"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26.30</w:t>
            </w:r>
          </w:p>
        </w:tc>
        <w:tc>
          <w:tcPr>
            <w:tcW w:w="1008" w:type="dxa"/>
            <w:tcBorders>
              <w:bottom w:val="single" w:sz="4" w:space="0" w:color="auto"/>
            </w:tcBorders>
            <w:shd w:val="clear" w:color="auto" w:fill="auto"/>
          </w:tcPr>
          <w:p w14:paraId="110367BB" w14:textId="793CF0EA"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21.81</w:t>
            </w:r>
          </w:p>
        </w:tc>
        <w:tc>
          <w:tcPr>
            <w:tcW w:w="1009" w:type="dxa"/>
            <w:tcBorders>
              <w:bottom w:val="single" w:sz="4" w:space="0" w:color="auto"/>
            </w:tcBorders>
            <w:shd w:val="clear" w:color="auto" w:fill="auto"/>
          </w:tcPr>
          <w:p w14:paraId="4AAF2EAD" w14:textId="4CD17331"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28.31</w:t>
            </w:r>
          </w:p>
        </w:tc>
      </w:tr>
      <w:tr w:rsidR="00FC008C" w:rsidRPr="000C2AA4" w14:paraId="6EAAA889" w14:textId="77777777" w:rsidTr="009100B5">
        <w:trPr>
          <w:trHeight w:val="318"/>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nil"/>
            </w:tcBorders>
            <w:shd w:val="clear" w:color="auto" w:fill="auto"/>
          </w:tcPr>
          <w:p w14:paraId="2BABF442" w14:textId="04BD0F14" w:rsidR="00FC008C" w:rsidRPr="000C2AA4" w:rsidRDefault="00FC008C" w:rsidP="00147CE7">
            <w:pPr>
              <w:spacing w:line="240" w:lineRule="auto"/>
              <w:jc w:val="both"/>
              <w:rPr>
                <w:sz w:val="22"/>
                <w:szCs w:val="22"/>
              </w:rPr>
            </w:pPr>
            <w:r w:rsidRPr="000C2AA4">
              <w:rPr>
                <w:sz w:val="22"/>
                <w:szCs w:val="22"/>
              </w:rPr>
              <w:t xml:space="preserve">Mean </w:t>
            </w:r>
            <w:r w:rsidR="0020662F">
              <w:rPr>
                <w:sz w:val="22"/>
                <w:szCs w:val="22"/>
              </w:rPr>
              <w:t xml:space="preserve">Hourly </w:t>
            </w:r>
            <w:r w:rsidRPr="000C2AA4">
              <w:rPr>
                <w:sz w:val="22"/>
                <w:szCs w:val="22"/>
              </w:rPr>
              <w:t>Earnings</w:t>
            </w:r>
          </w:p>
        </w:tc>
        <w:tc>
          <w:tcPr>
            <w:tcW w:w="1008" w:type="dxa"/>
            <w:tcBorders>
              <w:top w:val="single" w:sz="4" w:space="0" w:color="auto"/>
              <w:bottom w:val="nil"/>
            </w:tcBorders>
            <w:shd w:val="clear" w:color="auto" w:fill="auto"/>
          </w:tcPr>
          <w:p w14:paraId="7EC642F1" w14:textId="6A7D0C48"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23</w:t>
            </w:r>
          </w:p>
        </w:tc>
        <w:tc>
          <w:tcPr>
            <w:tcW w:w="1008" w:type="dxa"/>
            <w:tcBorders>
              <w:top w:val="single" w:sz="4" w:space="0" w:color="auto"/>
              <w:bottom w:val="nil"/>
            </w:tcBorders>
            <w:shd w:val="clear" w:color="auto" w:fill="auto"/>
          </w:tcPr>
          <w:p w14:paraId="170315E2" w14:textId="78F2BA32"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15.33</w:t>
            </w:r>
          </w:p>
        </w:tc>
        <w:tc>
          <w:tcPr>
            <w:tcW w:w="1008" w:type="dxa"/>
            <w:tcBorders>
              <w:top w:val="single" w:sz="4" w:space="0" w:color="auto"/>
              <w:bottom w:val="nil"/>
            </w:tcBorders>
            <w:shd w:val="clear" w:color="auto" w:fill="auto"/>
          </w:tcPr>
          <w:p w14:paraId="6C6B3C2A" w14:textId="220E33E5"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1.05</w:t>
            </w:r>
          </w:p>
        </w:tc>
        <w:tc>
          <w:tcPr>
            <w:tcW w:w="1008" w:type="dxa"/>
            <w:tcBorders>
              <w:top w:val="single" w:sz="4" w:space="0" w:color="auto"/>
              <w:bottom w:val="nil"/>
            </w:tcBorders>
            <w:shd w:val="clear" w:color="auto" w:fill="auto"/>
          </w:tcPr>
          <w:p w14:paraId="68F018E2" w14:textId="289D8DFA"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15.62</w:t>
            </w:r>
          </w:p>
        </w:tc>
        <w:tc>
          <w:tcPr>
            <w:tcW w:w="1008" w:type="dxa"/>
            <w:tcBorders>
              <w:top w:val="single" w:sz="4" w:space="0" w:color="auto"/>
              <w:bottom w:val="nil"/>
            </w:tcBorders>
            <w:shd w:val="clear" w:color="auto" w:fill="auto"/>
          </w:tcPr>
          <w:p w14:paraId="5DF7793B" w14:textId="20760F8D"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12.70</w:t>
            </w:r>
          </w:p>
        </w:tc>
        <w:tc>
          <w:tcPr>
            <w:tcW w:w="1009" w:type="dxa"/>
            <w:tcBorders>
              <w:top w:val="single" w:sz="4" w:space="0" w:color="auto"/>
              <w:bottom w:val="nil"/>
            </w:tcBorders>
            <w:shd w:val="clear" w:color="auto" w:fill="auto"/>
          </w:tcPr>
          <w:p w14:paraId="79F2B22F" w14:textId="6C3F5389" w:rsidR="00FC008C" w:rsidRPr="000C2AA4" w:rsidRDefault="00FC008C"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0C2AA4">
              <w:rPr>
                <w:sz w:val="22"/>
                <w:szCs w:val="22"/>
              </w:rPr>
              <w:t>16.62</w:t>
            </w:r>
          </w:p>
        </w:tc>
      </w:tr>
      <w:tr w:rsidR="00FC008C" w:rsidRPr="000C2AA4" w14:paraId="3602B3EB" w14:textId="77777777" w:rsidTr="009100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977" w:type="dxa"/>
            <w:tcBorders>
              <w:top w:val="nil"/>
            </w:tcBorders>
            <w:shd w:val="clear" w:color="auto" w:fill="auto"/>
          </w:tcPr>
          <w:p w14:paraId="477D8187" w14:textId="52747DF3" w:rsidR="00FC008C" w:rsidRPr="000C2AA4" w:rsidRDefault="00FC008C" w:rsidP="00147CE7">
            <w:pPr>
              <w:spacing w:line="240" w:lineRule="auto"/>
              <w:jc w:val="both"/>
              <w:rPr>
                <w:sz w:val="22"/>
                <w:szCs w:val="22"/>
              </w:rPr>
            </w:pPr>
            <w:r w:rsidRPr="000C2AA4">
              <w:rPr>
                <w:sz w:val="22"/>
                <w:szCs w:val="22"/>
              </w:rPr>
              <w:t xml:space="preserve">Mean </w:t>
            </w:r>
            <w:r w:rsidR="0020662F">
              <w:rPr>
                <w:sz w:val="22"/>
                <w:szCs w:val="22"/>
              </w:rPr>
              <w:t xml:space="preserve">Hourly </w:t>
            </w:r>
            <w:r w:rsidRPr="000C2AA4">
              <w:rPr>
                <w:sz w:val="22"/>
                <w:szCs w:val="22"/>
              </w:rPr>
              <w:t>Compensation</w:t>
            </w:r>
          </w:p>
        </w:tc>
        <w:tc>
          <w:tcPr>
            <w:tcW w:w="1008" w:type="dxa"/>
            <w:tcBorders>
              <w:top w:val="nil"/>
            </w:tcBorders>
            <w:shd w:val="clear" w:color="auto" w:fill="auto"/>
          </w:tcPr>
          <w:p w14:paraId="34DEE13D" w14:textId="5A4D277B"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23</w:t>
            </w:r>
          </w:p>
        </w:tc>
        <w:tc>
          <w:tcPr>
            <w:tcW w:w="1008" w:type="dxa"/>
            <w:tcBorders>
              <w:top w:val="nil"/>
            </w:tcBorders>
            <w:shd w:val="clear" w:color="auto" w:fill="auto"/>
          </w:tcPr>
          <w:p w14:paraId="6573BD78" w14:textId="28E3BE67"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18.63</w:t>
            </w:r>
          </w:p>
        </w:tc>
        <w:tc>
          <w:tcPr>
            <w:tcW w:w="1008" w:type="dxa"/>
            <w:tcBorders>
              <w:top w:val="nil"/>
            </w:tcBorders>
            <w:shd w:val="clear" w:color="auto" w:fill="auto"/>
          </w:tcPr>
          <w:p w14:paraId="24389C68" w14:textId="06940F0E"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1.64</w:t>
            </w:r>
          </w:p>
        </w:tc>
        <w:tc>
          <w:tcPr>
            <w:tcW w:w="1008" w:type="dxa"/>
            <w:tcBorders>
              <w:top w:val="nil"/>
            </w:tcBorders>
            <w:shd w:val="clear" w:color="auto" w:fill="auto"/>
          </w:tcPr>
          <w:p w14:paraId="2AD50644" w14:textId="5F6E2404"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19.13</w:t>
            </w:r>
          </w:p>
        </w:tc>
        <w:tc>
          <w:tcPr>
            <w:tcW w:w="1008" w:type="dxa"/>
            <w:tcBorders>
              <w:top w:val="nil"/>
            </w:tcBorders>
            <w:shd w:val="clear" w:color="auto" w:fill="auto"/>
          </w:tcPr>
          <w:p w14:paraId="495E394B" w14:textId="3D7FE482"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14.65</w:t>
            </w:r>
          </w:p>
        </w:tc>
        <w:tc>
          <w:tcPr>
            <w:tcW w:w="1009" w:type="dxa"/>
            <w:tcBorders>
              <w:top w:val="nil"/>
            </w:tcBorders>
            <w:shd w:val="clear" w:color="auto" w:fill="auto"/>
          </w:tcPr>
          <w:p w14:paraId="3EC8BCE0" w14:textId="108C80FC" w:rsidR="00FC008C" w:rsidRPr="000C2AA4" w:rsidRDefault="00FC008C"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0C2AA4">
              <w:rPr>
                <w:sz w:val="22"/>
                <w:szCs w:val="22"/>
              </w:rPr>
              <w:t>20.76</w:t>
            </w:r>
          </w:p>
        </w:tc>
      </w:tr>
    </w:tbl>
    <w:p w14:paraId="70B6C76E" w14:textId="77777777" w:rsidR="0020662F" w:rsidRDefault="0020662F" w:rsidP="00147CE7">
      <w:pPr>
        <w:spacing w:line="259" w:lineRule="auto"/>
        <w:jc w:val="both"/>
      </w:pPr>
    </w:p>
    <w:p w14:paraId="75484E72" w14:textId="77777777" w:rsidR="000D526B" w:rsidRDefault="000D526B" w:rsidP="00DF64C4">
      <w:pPr>
        <w:spacing w:line="259" w:lineRule="auto"/>
        <w:jc w:val="center"/>
      </w:pPr>
    </w:p>
    <w:p w14:paraId="0909AF30" w14:textId="138D12A1" w:rsidR="00FC008C" w:rsidRPr="0020662F" w:rsidRDefault="00FC008C" w:rsidP="00DF64C4">
      <w:pPr>
        <w:spacing w:after="0"/>
        <w:jc w:val="center"/>
        <w:rPr>
          <w:b/>
          <w:bCs/>
        </w:rPr>
      </w:pPr>
      <w:r w:rsidRPr="0020662F">
        <w:rPr>
          <w:b/>
          <w:bCs/>
        </w:rPr>
        <w:t>Table B: Independent Variables</w:t>
      </w:r>
    </w:p>
    <w:tbl>
      <w:tblPr>
        <w:tblStyle w:val="ListTable2"/>
        <w:tblW w:w="0" w:type="auto"/>
        <w:jc w:val="center"/>
        <w:tblBorders>
          <w:top w:val="single" w:sz="4" w:space="0" w:color="auto"/>
          <w:bottom w:val="single" w:sz="4" w:space="0" w:color="auto"/>
          <w:insideH w:val="none" w:sz="0" w:space="0" w:color="auto"/>
        </w:tblBorders>
        <w:tblLayout w:type="fixed"/>
        <w:tblLook w:val="04A0" w:firstRow="1" w:lastRow="0" w:firstColumn="1" w:lastColumn="0" w:noHBand="0" w:noVBand="1"/>
      </w:tblPr>
      <w:tblGrid>
        <w:gridCol w:w="2977"/>
        <w:gridCol w:w="1124"/>
        <w:gridCol w:w="983"/>
        <w:gridCol w:w="983"/>
        <w:gridCol w:w="983"/>
        <w:gridCol w:w="983"/>
        <w:gridCol w:w="983"/>
      </w:tblGrid>
      <w:tr w:rsidR="000C2AA4" w:rsidRPr="000C2AA4" w14:paraId="7F979561" w14:textId="77777777" w:rsidTr="004C3A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shd w:val="clear" w:color="auto" w:fill="auto"/>
          </w:tcPr>
          <w:p w14:paraId="356AB8BB" w14:textId="4F96DA0C" w:rsidR="00FC008C" w:rsidRPr="000C2AA4" w:rsidRDefault="00FC008C" w:rsidP="00147CE7">
            <w:pPr>
              <w:spacing w:line="240" w:lineRule="auto"/>
              <w:jc w:val="both"/>
              <w:rPr>
                <w:sz w:val="22"/>
                <w:szCs w:val="22"/>
              </w:rPr>
            </w:pPr>
            <w:r w:rsidRPr="000C2AA4">
              <w:rPr>
                <w:sz w:val="22"/>
                <w:szCs w:val="22"/>
              </w:rPr>
              <w:t>Variable Name</w:t>
            </w:r>
          </w:p>
        </w:tc>
        <w:tc>
          <w:tcPr>
            <w:tcW w:w="1124" w:type="dxa"/>
            <w:tcBorders>
              <w:top w:val="single" w:sz="4" w:space="0" w:color="auto"/>
              <w:bottom w:val="single" w:sz="4" w:space="0" w:color="auto"/>
            </w:tcBorders>
            <w:shd w:val="clear" w:color="auto" w:fill="auto"/>
          </w:tcPr>
          <w:p w14:paraId="5A3DA5CA" w14:textId="77777777" w:rsidR="00FC008C" w:rsidRPr="004C3AEB" w:rsidRDefault="00FC008C"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4C3AEB">
              <w:rPr>
                <w:sz w:val="22"/>
                <w:szCs w:val="22"/>
              </w:rPr>
              <w:t>Obs.</w:t>
            </w:r>
          </w:p>
        </w:tc>
        <w:tc>
          <w:tcPr>
            <w:tcW w:w="983" w:type="dxa"/>
            <w:tcBorders>
              <w:top w:val="single" w:sz="4" w:space="0" w:color="auto"/>
              <w:bottom w:val="single" w:sz="4" w:space="0" w:color="auto"/>
            </w:tcBorders>
            <w:shd w:val="clear" w:color="auto" w:fill="auto"/>
          </w:tcPr>
          <w:p w14:paraId="0A0E17A5" w14:textId="77777777" w:rsidR="00FC008C" w:rsidRPr="004C3AEB" w:rsidRDefault="00FC008C"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4C3AEB">
              <w:rPr>
                <w:sz w:val="22"/>
                <w:szCs w:val="22"/>
              </w:rPr>
              <w:t>Mean</w:t>
            </w:r>
          </w:p>
        </w:tc>
        <w:tc>
          <w:tcPr>
            <w:tcW w:w="983" w:type="dxa"/>
            <w:tcBorders>
              <w:top w:val="single" w:sz="4" w:space="0" w:color="auto"/>
              <w:bottom w:val="single" w:sz="4" w:space="0" w:color="auto"/>
            </w:tcBorders>
            <w:shd w:val="clear" w:color="auto" w:fill="auto"/>
          </w:tcPr>
          <w:p w14:paraId="59ADBF93" w14:textId="77777777" w:rsidR="00FC008C" w:rsidRPr="004C3AEB" w:rsidRDefault="00FC008C"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4C3AEB">
              <w:rPr>
                <w:sz w:val="22"/>
                <w:szCs w:val="22"/>
              </w:rPr>
              <w:t>Std. Dev.</w:t>
            </w:r>
          </w:p>
        </w:tc>
        <w:tc>
          <w:tcPr>
            <w:tcW w:w="983" w:type="dxa"/>
            <w:tcBorders>
              <w:top w:val="single" w:sz="4" w:space="0" w:color="auto"/>
              <w:bottom w:val="single" w:sz="4" w:space="0" w:color="auto"/>
            </w:tcBorders>
            <w:shd w:val="clear" w:color="auto" w:fill="auto"/>
          </w:tcPr>
          <w:p w14:paraId="799B51CD" w14:textId="77777777" w:rsidR="00FC008C" w:rsidRPr="004C3AEB" w:rsidRDefault="00FC008C"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4C3AEB">
              <w:rPr>
                <w:sz w:val="22"/>
                <w:szCs w:val="22"/>
              </w:rPr>
              <w:t>Median</w:t>
            </w:r>
          </w:p>
        </w:tc>
        <w:tc>
          <w:tcPr>
            <w:tcW w:w="983" w:type="dxa"/>
            <w:tcBorders>
              <w:top w:val="single" w:sz="4" w:space="0" w:color="auto"/>
              <w:bottom w:val="single" w:sz="4" w:space="0" w:color="auto"/>
            </w:tcBorders>
            <w:shd w:val="clear" w:color="auto" w:fill="auto"/>
          </w:tcPr>
          <w:p w14:paraId="569E18C9" w14:textId="77777777" w:rsidR="00FC008C" w:rsidRPr="004C3AEB" w:rsidRDefault="00FC008C"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4C3AEB">
              <w:rPr>
                <w:sz w:val="22"/>
                <w:szCs w:val="22"/>
              </w:rPr>
              <w:t>Min</w:t>
            </w:r>
          </w:p>
        </w:tc>
        <w:tc>
          <w:tcPr>
            <w:tcW w:w="983" w:type="dxa"/>
            <w:tcBorders>
              <w:top w:val="single" w:sz="4" w:space="0" w:color="auto"/>
              <w:bottom w:val="single" w:sz="4" w:space="0" w:color="auto"/>
            </w:tcBorders>
            <w:shd w:val="clear" w:color="auto" w:fill="auto"/>
          </w:tcPr>
          <w:p w14:paraId="0A29C5D8" w14:textId="77777777" w:rsidR="00FC008C" w:rsidRPr="004C3AEB" w:rsidRDefault="00FC008C" w:rsidP="00896E65">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4C3AEB">
              <w:rPr>
                <w:sz w:val="22"/>
                <w:szCs w:val="22"/>
              </w:rPr>
              <w:t>Max</w:t>
            </w:r>
          </w:p>
        </w:tc>
      </w:tr>
      <w:tr w:rsidR="000C2AA4" w:rsidRPr="000C2AA4" w14:paraId="4624FCE2" w14:textId="77777777" w:rsidTr="004C3AE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shd w:val="clear" w:color="auto" w:fill="auto"/>
          </w:tcPr>
          <w:p w14:paraId="078B6FDF" w14:textId="73AEAC71" w:rsidR="000C2AA4" w:rsidRPr="000C2AA4" w:rsidRDefault="000C2AA4" w:rsidP="00147CE7">
            <w:pPr>
              <w:spacing w:line="240" w:lineRule="auto"/>
              <w:jc w:val="both"/>
              <w:rPr>
                <w:sz w:val="22"/>
                <w:szCs w:val="22"/>
              </w:rPr>
            </w:pPr>
            <w:r w:rsidRPr="000C2AA4">
              <w:rPr>
                <w:sz w:val="22"/>
                <w:szCs w:val="22"/>
              </w:rPr>
              <w:t>Net Productivity</w:t>
            </w:r>
            <w:r>
              <w:rPr>
                <w:sz w:val="22"/>
                <w:szCs w:val="22"/>
              </w:rPr>
              <w:t xml:space="preserve">, </w:t>
            </w:r>
            <w:r w:rsidRPr="000C2AA4">
              <w:rPr>
                <w:sz w:val="22"/>
                <w:szCs w:val="22"/>
              </w:rPr>
              <w:t>NDP</w:t>
            </w:r>
          </w:p>
        </w:tc>
        <w:tc>
          <w:tcPr>
            <w:tcW w:w="1124" w:type="dxa"/>
            <w:tcBorders>
              <w:top w:val="single" w:sz="4" w:space="0" w:color="auto"/>
            </w:tcBorders>
            <w:shd w:val="clear" w:color="auto" w:fill="auto"/>
          </w:tcPr>
          <w:p w14:paraId="0B4F7AB5" w14:textId="36F8A61D"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23</w:t>
            </w:r>
          </w:p>
        </w:tc>
        <w:tc>
          <w:tcPr>
            <w:tcW w:w="983" w:type="dxa"/>
            <w:tcBorders>
              <w:top w:val="single" w:sz="4" w:space="0" w:color="auto"/>
            </w:tcBorders>
            <w:shd w:val="clear" w:color="auto" w:fill="auto"/>
          </w:tcPr>
          <w:p w14:paraId="03232A2E" w14:textId="5996C512"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28.77</w:t>
            </w:r>
          </w:p>
        </w:tc>
        <w:tc>
          <w:tcPr>
            <w:tcW w:w="983" w:type="dxa"/>
            <w:tcBorders>
              <w:top w:val="single" w:sz="4" w:space="0" w:color="auto"/>
            </w:tcBorders>
            <w:shd w:val="clear" w:color="auto" w:fill="auto"/>
          </w:tcPr>
          <w:p w14:paraId="7715D191" w14:textId="09B61C18"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1.65</w:t>
            </w:r>
          </w:p>
        </w:tc>
        <w:tc>
          <w:tcPr>
            <w:tcW w:w="983" w:type="dxa"/>
            <w:tcBorders>
              <w:top w:val="single" w:sz="4" w:space="0" w:color="auto"/>
            </w:tcBorders>
            <w:shd w:val="clear" w:color="auto" w:fill="auto"/>
          </w:tcPr>
          <w:p w14:paraId="1B15A3FD" w14:textId="007BB087"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29.40</w:t>
            </w:r>
          </w:p>
        </w:tc>
        <w:tc>
          <w:tcPr>
            <w:tcW w:w="983" w:type="dxa"/>
            <w:tcBorders>
              <w:top w:val="single" w:sz="4" w:space="0" w:color="auto"/>
            </w:tcBorders>
            <w:shd w:val="clear" w:color="auto" w:fill="auto"/>
          </w:tcPr>
          <w:p w14:paraId="2840D224" w14:textId="43AD6729"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24.85</w:t>
            </w:r>
          </w:p>
        </w:tc>
        <w:tc>
          <w:tcPr>
            <w:tcW w:w="983" w:type="dxa"/>
            <w:tcBorders>
              <w:top w:val="single" w:sz="4" w:space="0" w:color="auto"/>
            </w:tcBorders>
            <w:shd w:val="clear" w:color="auto" w:fill="auto"/>
          </w:tcPr>
          <w:p w14:paraId="59CA6F84" w14:textId="6E5B6AEE"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30.41</w:t>
            </w:r>
          </w:p>
        </w:tc>
      </w:tr>
      <w:tr w:rsidR="000C2AA4" w:rsidRPr="000C2AA4" w14:paraId="3097F242" w14:textId="77777777" w:rsidTr="004C3AEB">
        <w:trPr>
          <w:trHeight w:val="326"/>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14065374" w14:textId="0F1A6BB5" w:rsidR="000C2AA4" w:rsidRPr="000C2AA4" w:rsidRDefault="000C2AA4" w:rsidP="00147CE7">
            <w:pPr>
              <w:spacing w:line="240" w:lineRule="auto"/>
              <w:jc w:val="both"/>
              <w:rPr>
                <w:sz w:val="22"/>
                <w:szCs w:val="22"/>
              </w:rPr>
            </w:pPr>
            <w:r w:rsidRPr="000C2AA4">
              <w:rPr>
                <w:sz w:val="22"/>
                <w:szCs w:val="22"/>
              </w:rPr>
              <w:t>Net Productivity</w:t>
            </w:r>
            <w:r>
              <w:rPr>
                <w:sz w:val="22"/>
                <w:szCs w:val="22"/>
              </w:rPr>
              <w:t xml:space="preserve">, </w:t>
            </w:r>
            <w:r w:rsidRPr="000C2AA4">
              <w:rPr>
                <w:sz w:val="22"/>
                <w:szCs w:val="22"/>
              </w:rPr>
              <w:t>NVA</w:t>
            </w:r>
          </w:p>
        </w:tc>
        <w:tc>
          <w:tcPr>
            <w:tcW w:w="1124" w:type="dxa"/>
            <w:shd w:val="clear" w:color="auto" w:fill="auto"/>
          </w:tcPr>
          <w:p w14:paraId="51BC4B74" w14:textId="7C097EDF"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23</w:t>
            </w:r>
          </w:p>
        </w:tc>
        <w:tc>
          <w:tcPr>
            <w:tcW w:w="983" w:type="dxa"/>
            <w:shd w:val="clear" w:color="auto" w:fill="auto"/>
          </w:tcPr>
          <w:p w14:paraId="3FA77177" w14:textId="5F9D2C72"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32.66</w:t>
            </w:r>
          </w:p>
        </w:tc>
        <w:tc>
          <w:tcPr>
            <w:tcW w:w="983" w:type="dxa"/>
            <w:shd w:val="clear" w:color="auto" w:fill="auto"/>
          </w:tcPr>
          <w:p w14:paraId="15B8B148" w14:textId="4F778449"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1.98</w:t>
            </w:r>
          </w:p>
        </w:tc>
        <w:tc>
          <w:tcPr>
            <w:tcW w:w="983" w:type="dxa"/>
            <w:shd w:val="clear" w:color="auto" w:fill="auto"/>
          </w:tcPr>
          <w:p w14:paraId="6975E2D5" w14:textId="242FD3CE"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33.57</w:t>
            </w:r>
          </w:p>
        </w:tc>
        <w:tc>
          <w:tcPr>
            <w:tcW w:w="983" w:type="dxa"/>
            <w:shd w:val="clear" w:color="auto" w:fill="auto"/>
          </w:tcPr>
          <w:p w14:paraId="6A8BF0C0" w14:textId="442220E6"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27.92</w:t>
            </w:r>
          </w:p>
        </w:tc>
        <w:tc>
          <w:tcPr>
            <w:tcW w:w="983" w:type="dxa"/>
            <w:shd w:val="clear" w:color="auto" w:fill="auto"/>
          </w:tcPr>
          <w:p w14:paraId="159FDAC2" w14:textId="6C54FBE2"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34.76</w:t>
            </w:r>
          </w:p>
        </w:tc>
      </w:tr>
      <w:tr w:rsidR="000C2AA4" w:rsidRPr="000C2AA4" w14:paraId="3B163C1D" w14:textId="77777777" w:rsidTr="004C3AE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5035A724" w14:textId="03A2AD97" w:rsidR="000C2AA4" w:rsidRPr="000C2AA4" w:rsidRDefault="000C2AA4" w:rsidP="00147CE7">
            <w:pPr>
              <w:spacing w:line="240" w:lineRule="auto"/>
              <w:jc w:val="both"/>
              <w:rPr>
                <w:sz w:val="22"/>
                <w:szCs w:val="22"/>
              </w:rPr>
            </w:pPr>
            <w:r w:rsidRPr="000C2AA4">
              <w:rPr>
                <w:sz w:val="22"/>
                <w:szCs w:val="22"/>
              </w:rPr>
              <w:t>Gross Productivit</w:t>
            </w:r>
            <w:r>
              <w:rPr>
                <w:sz w:val="22"/>
                <w:szCs w:val="22"/>
              </w:rPr>
              <w:t xml:space="preserve">y, </w:t>
            </w:r>
            <w:r w:rsidRPr="000C2AA4">
              <w:rPr>
                <w:sz w:val="22"/>
                <w:szCs w:val="22"/>
              </w:rPr>
              <w:t>GDP</w:t>
            </w:r>
          </w:p>
        </w:tc>
        <w:tc>
          <w:tcPr>
            <w:tcW w:w="1124" w:type="dxa"/>
            <w:shd w:val="clear" w:color="auto" w:fill="auto"/>
          </w:tcPr>
          <w:p w14:paraId="3559EFC3" w14:textId="13553723"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23</w:t>
            </w:r>
          </w:p>
        </w:tc>
        <w:tc>
          <w:tcPr>
            <w:tcW w:w="983" w:type="dxa"/>
            <w:shd w:val="clear" w:color="auto" w:fill="auto"/>
          </w:tcPr>
          <w:p w14:paraId="564FE3F4" w14:textId="56C6E91C"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34.10</w:t>
            </w:r>
          </w:p>
        </w:tc>
        <w:tc>
          <w:tcPr>
            <w:tcW w:w="983" w:type="dxa"/>
            <w:shd w:val="clear" w:color="auto" w:fill="auto"/>
          </w:tcPr>
          <w:p w14:paraId="51E8F8DB" w14:textId="1B97B7F8"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2.22</w:t>
            </w:r>
          </w:p>
        </w:tc>
        <w:tc>
          <w:tcPr>
            <w:tcW w:w="983" w:type="dxa"/>
            <w:shd w:val="clear" w:color="auto" w:fill="auto"/>
          </w:tcPr>
          <w:p w14:paraId="719FD501" w14:textId="59DD587B"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35.14</w:t>
            </w:r>
          </w:p>
        </w:tc>
        <w:tc>
          <w:tcPr>
            <w:tcW w:w="983" w:type="dxa"/>
            <w:shd w:val="clear" w:color="auto" w:fill="auto"/>
          </w:tcPr>
          <w:p w14:paraId="1BBB7356" w14:textId="134FEF43"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28.97</w:t>
            </w:r>
          </w:p>
        </w:tc>
        <w:tc>
          <w:tcPr>
            <w:tcW w:w="983" w:type="dxa"/>
            <w:shd w:val="clear" w:color="auto" w:fill="auto"/>
          </w:tcPr>
          <w:p w14:paraId="01447A58" w14:textId="7C9A8F04"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36.48</w:t>
            </w:r>
          </w:p>
        </w:tc>
      </w:tr>
      <w:tr w:rsidR="000C2AA4" w:rsidRPr="000C2AA4" w14:paraId="3E6F4CC2" w14:textId="77777777" w:rsidTr="004C3AEB">
        <w:trPr>
          <w:trHeight w:val="326"/>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5F0CFC93" w14:textId="20A8E17B" w:rsidR="000C2AA4" w:rsidRPr="000C2AA4" w:rsidRDefault="000C2AA4" w:rsidP="00147CE7">
            <w:pPr>
              <w:spacing w:line="240" w:lineRule="auto"/>
              <w:jc w:val="both"/>
              <w:rPr>
                <w:sz w:val="22"/>
                <w:szCs w:val="22"/>
              </w:rPr>
            </w:pPr>
            <w:r w:rsidRPr="000C2AA4">
              <w:rPr>
                <w:sz w:val="22"/>
                <w:szCs w:val="22"/>
              </w:rPr>
              <w:t>Gross Productivity</w:t>
            </w:r>
            <w:r>
              <w:rPr>
                <w:sz w:val="22"/>
                <w:szCs w:val="22"/>
              </w:rPr>
              <w:t xml:space="preserve">, </w:t>
            </w:r>
            <w:r w:rsidRPr="000C2AA4">
              <w:rPr>
                <w:sz w:val="22"/>
                <w:szCs w:val="22"/>
              </w:rPr>
              <w:t>GVA</w:t>
            </w:r>
          </w:p>
        </w:tc>
        <w:tc>
          <w:tcPr>
            <w:tcW w:w="1124" w:type="dxa"/>
            <w:shd w:val="clear" w:color="auto" w:fill="auto"/>
          </w:tcPr>
          <w:p w14:paraId="1042891E" w14:textId="4730F296"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23</w:t>
            </w:r>
          </w:p>
        </w:tc>
        <w:tc>
          <w:tcPr>
            <w:tcW w:w="983" w:type="dxa"/>
            <w:shd w:val="clear" w:color="auto" w:fill="auto"/>
          </w:tcPr>
          <w:p w14:paraId="63930516" w14:textId="4F3223FB"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37.99</w:t>
            </w:r>
          </w:p>
        </w:tc>
        <w:tc>
          <w:tcPr>
            <w:tcW w:w="983" w:type="dxa"/>
            <w:shd w:val="clear" w:color="auto" w:fill="auto"/>
          </w:tcPr>
          <w:p w14:paraId="1A36F7E2" w14:textId="1D0A73E1"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2.56</w:t>
            </w:r>
          </w:p>
        </w:tc>
        <w:tc>
          <w:tcPr>
            <w:tcW w:w="983" w:type="dxa"/>
            <w:shd w:val="clear" w:color="auto" w:fill="auto"/>
          </w:tcPr>
          <w:p w14:paraId="49D0593D" w14:textId="1B985970"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39.25</w:t>
            </w:r>
          </w:p>
        </w:tc>
        <w:tc>
          <w:tcPr>
            <w:tcW w:w="983" w:type="dxa"/>
            <w:shd w:val="clear" w:color="auto" w:fill="auto"/>
          </w:tcPr>
          <w:p w14:paraId="58FC6595" w14:textId="506D76B3"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32.05</w:t>
            </w:r>
          </w:p>
        </w:tc>
        <w:tc>
          <w:tcPr>
            <w:tcW w:w="983" w:type="dxa"/>
            <w:shd w:val="clear" w:color="auto" w:fill="auto"/>
          </w:tcPr>
          <w:p w14:paraId="65D1D899" w14:textId="126FA0C0"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40.83</w:t>
            </w:r>
          </w:p>
        </w:tc>
      </w:tr>
      <w:tr w:rsidR="000C2AA4" w:rsidRPr="000C2AA4" w14:paraId="20A88F5D" w14:textId="77777777" w:rsidTr="004C3AE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4EE08CE3" w14:textId="619FDC6C" w:rsidR="000C2AA4" w:rsidRPr="000C2AA4" w:rsidRDefault="000C2AA4" w:rsidP="00147CE7">
            <w:pPr>
              <w:spacing w:line="240" w:lineRule="auto"/>
              <w:jc w:val="both"/>
              <w:rPr>
                <w:sz w:val="22"/>
                <w:szCs w:val="22"/>
              </w:rPr>
            </w:pPr>
            <w:r w:rsidRPr="000C2AA4">
              <w:rPr>
                <w:sz w:val="22"/>
                <w:szCs w:val="22"/>
              </w:rPr>
              <w:t>Unemployment</w:t>
            </w:r>
            <w:r>
              <w:rPr>
                <w:sz w:val="22"/>
                <w:szCs w:val="22"/>
              </w:rPr>
              <w:t>,</w:t>
            </w:r>
            <w:r w:rsidRPr="000C2AA4">
              <w:rPr>
                <w:sz w:val="22"/>
                <w:szCs w:val="22"/>
              </w:rPr>
              <w:t xml:space="preserve"> 25-49yr</w:t>
            </w:r>
          </w:p>
        </w:tc>
        <w:tc>
          <w:tcPr>
            <w:tcW w:w="1124" w:type="dxa"/>
            <w:shd w:val="clear" w:color="auto" w:fill="auto"/>
          </w:tcPr>
          <w:p w14:paraId="1789B536" w14:textId="3BD73929"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23</w:t>
            </w:r>
          </w:p>
        </w:tc>
        <w:tc>
          <w:tcPr>
            <w:tcW w:w="983" w:type="dxa"/>
            <w:shd w:val="clear" w:color="auto" w:fill="auto"/>
          </w:tcPr>
          <w:p w14:paraId="18F99CCE" w14:textId="4907F070"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4.56%</w:t>
            </w:r>
          </w:p>
        </w:tc>
        <w:tc>
          <w:tcPr>
            <w:tcW w:w="983" w:type="dxa"/>
            <w:shd w:val="clear" w:color="auto" w:fill="auto"/>
          </w:tcPr>
          <w:p w14:paraId="3B01498D" w14:textId="3278DC6D"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1.09%</w:t>
            </w:r>
          </w:p>
        </w:tc>
        <w:tc>
          <w:tcPr>
            <w:tcW w:w="983" w:type="dxa"/>
            <w:shd w:val="clear" w:color="auto" w:fill="auto"/>
          </w:tcPr>
          <w:p w14:paraId="3B6F8156" w14:textId="3EABEB50"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4.16%</w:t>
            </w:r>
          </w:p>
        </w:tc>
        <w:tc>
          <w:tcPr>
            <w:tcW w:w="983" w:type="dxa"/>
            <w:shd w:val="clear" w:color="auto" w:fill="auto"/>
          </w:tcPr>
          <w:p w14:paraId="3FC19549" w14:textId="5F76928E"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2.83%</w:t>
            </w:r>
          </w:p>
        </w:tc>
        <w:tc>
          <w:tcPr>
            <w:tcW w:w="983" w:type="dxa"/>
            <w:shd w:val="clear" w:color="auto" w:fill="auto"/>
          </w:tcPr>
          <w:p w14:paraId="0088F195" w14:textId="62E14340"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6.37%</w:t>
            </w:r>
          </w:p>
        </w:tc>
      </w:tr>
      <w:tr w:rsidR="000C2AA4" w:rsidRPr="000C2AA4" w14:paraId="3479C820" w14:textId="77777777" w:rsidTr="004C3AEB">
        <w:trPr>
          <w:trHeight w:val="326"/>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7D909908" w14:textId="32E6F709" w:rsidR="000C2AA4" w:rsidRPr="000C2AA4" w:rsidRDefault="000C2AA4" w:rsidP="00147CE7">
            <w:pPr>
              <w:spacing w:line="240" w:lineRule="auto"/>
              <w:jc w:val="both"/>
              <w:rPr>
                <w:sz w:val="22"/>
                <w:szCs w:val="22"/>
              </w:rPr>
            </w:pPr>
            <w:r>
              <w:rPr>
                <w:sz w:val="22"/>
                <w:szCs w:val="22"/>
              </w:rPr>
              <w:t>Unemployment, unrestricted</w:t>
            </w:r>
          </w:p>
        </w:tc>
        <w:tc>
          <w:tcPr>
            <w:tcW w:w="1124" w:type="dxa"/>
            <w:shd w:val="clear" w:color="auto" w:fill="auto"/>
          </w:tcPr>
          <w:p w14:paraId="2F4BC0BB" w14:textId="4AB8BD79"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23</w:t>
            </w:r>
          </w:p>
        </w:tc>
        <w:tc>
          <w:tcPr>
            <w:tcW w:w="983" w:type="dxa"/>
            <w:shd w:val="clear" w:color="auto" w:fill="auto"/>
          </w:tcPr>
          <w:p w14:paraId="082D88B3" w14:textId="1F258DAA"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5.81%</w:t>
            </w:r>
          </w:p>
        </w:tc>
        <w:tc>
          <w:tcPr>
            <w:tcW w:w="983" w:type="dxa"/>
            <w:shd w:val="clear" w:color="auto" w:fill="auto"/>
          </w:tcPr>
          <w:p w14:paraId="55E1E86F" w14:textId="4758FC80"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1.28%</w:t>
            </w:r>
          </w:p>
        </w:tc>
        <w:tc>
          <w:tcPr>
            <w:tcW w:w="983" w:type="dxa"/>
            <w:shd w:val="clear" w:color="auto" w:fill="auto"/>
          </w:tcPr>
          <w:p w14:paraId="569EC702" w14:textId="646F3CCB"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5.40%</w:t>
            </w:r>
          </w:p>
        </w:tc>
        <w:tc>
          <w:tcPr>
            <w:tcW w:w="983" w:type="dxa"/>
            <w:shd w:val="clear" w:color="auto" w:fill="auto"/>
          </w:tcPr>
          <w:p w14:paraId="24458C04" w14:textId="76DDDD24"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3.80%</w:t>
            </w:r>
          </w:p>
        </w:tc>
        <w:tc>
          <w:tcPr>
            <w:tcW w:w="983" w:type="dxa"/>
            <w:shd w:val="clear" w:color="auto" w:fill="auto"/>
          </w:tcPr>
          <w:p w14:paraId="1B194BB3" w14:textId="3879A7B0"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8.10%</w:t>
            </w:r>
          </w:p>
        </w:tc>
      </w:tr>
      <w:tr w:rsidR="000C2AA4" w:rsidRPr="000C2AA4" w14:paraId="4AD13D8D" w14:textId="77777777" w:rsidTr="004C3AE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3EFF5302" w14:textId="7E11C40A" w:rsidR="000C2AA4" w:rsidRPr="000C2AA4" w:rsidRDefault="000C2AA4" w:rsidP="00147CE7">
            <w:pPr>
              <w:spacing w:line="240" w:lineRule="auto"/>
              <w:jc w:val="both"/>
              <w:rPr>
                <w:sz w:val="22"/>
                <w:szCs w:val="22"/>
              </w:rPr>
            </w:pPr>
            <w:r w:rsidRPr="000C2AA4">
              <w:rPr>
                <w:sz w:val="22"/>
                <w:szCs w:val="22"/>
              </w:rPr>
              <w:t>Inflation</w:t>
            </w:r>
            <w:r>
              <w:rPr>
                <w:sz w:val="22"/>
                <w:szCs w:val="22"/>
              </w:rPr>
              <w:t>, CPI</w:t>
            </w:r>
          </w:p>
        </w:tc>
        <w:tc>
          <w:tcPr>
            <w:tcW w:w="1124" w:type="dxa"/>
            <w:shd w:val="clear" w:color="auto" w:fill="auto"/>
          </w:tcPr>
          <w:p w14:paraId="64205655" w14:textId="2C49B428" w:rsidR="000C2AA4" w:rsidRPr="004C3AEB" w:rsidRDefault="000C2AA4"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23</w:t>
            </w:r>
          </w:p>
        </w:tc>
        <w:tc>
          <w:tcPr>
            <w:tcW w:w="983" w:type="dxa"/>
            <w:shd w:val="clear" w:color="auto" w:fill="auto"/>
          </w:tcPr>
          <w:p w14:paraId="479CD637" w14:textId="6908CC11" w:rsidR="000C2AA4" w:rsidRPr="004C3AEB" w:rsidRDefault="000D526B"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1.93%</w:t>
            </w:r>
          </w:p>
        </w:tc>
        <w:tc>
          <w:tcPr>
            <w:tcW w:w="983" w:type="dxa"/>
            <w:shd w:val="clear" w:color="auto" w:fill="auto"/>
          </w:tcPr>
          <w:p w14:paraId="66D2E5ED" w14:textId="3EB47135" w:rsidR="000C2AA4" w:rsidRPr="004C3AEB" w:rsidRDefault="00D82127"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0.96%</w:t>
            </w:r>
          </w:p>
        </w:tc>
        <w:tc>
          <w:tcPr>
            <w:tcW w:w="983" w:type="dxa"/>
            <w:shd w:val="clear" w:color="auto" w:fill="auto"/>
          </w:tcPr>
          <w:p w14:paraId="43CBAF28" w14:textId="22DE5179" w:rsidR="000C2AA4" w:rsidRPr="004C3AEB" w:rsidRDefault="00D82127"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1.85%</w:t>
            </w:r>
          </w:p>
        </w:tc>
        <w:tc>
          <w:tcPr>
            <w:tcW w:w="983" w:type="dxa"/>
            <w:shd w:val="clear" w:color="auto" w:fill="auto"/>
          </w:tcPr>
          <w:p w14:paraId="780B673F" w14:textId="4104E9CC" w:rsidR="000C2AA4" w:rsidRPr="004C3AEB" w:rsidRDefault="00D82127"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0.00%</w:t>
            </w:r>
          </w:p>
        </w:tc>
        <w:tc>
          <w:tcPr>
            <w:tcW w:w="983" w:type="dxa"/>
            <w:shd w:val="clear" w:color="auto" w:fill="auto"/>
          </w:tcPr>
          <w:p w14:paraId="6884D44B" w14:textId="10A4699E" w:rsidR="000C2AA4" w:rsidRPr="004C3AEB" w:rsidRDefault="00D82127" w:rsidP="00147CE7">
            <w:pPr>
              <w:spacing w:line="24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4C3AEB">
              <w:rPr>
                <w:sz w:val="22"/>
                <w:szCs w:val="22"/>
              </w:rPr>
              <w:t>4.28%</w:t>
            </w:r>
          </w:p>
        </w:tc>
      </w:tr>
      <w:tr w:rsidR="000C2AA4" w:rsidRPr="000C2AA4" w14:paraId="49469877" w14:textId="77777777" w:rsidTr="004C3AEB">
        <w:trPr>
          <w:trHeight w:val="326"/>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5833312C" w14:textId="7616F696" w:rsidR="000C2AA4" w:rsidRPr="000C2AA4" w:rsidRDefault="000C2AA4" w:rsidP="00147CE7">
            <w:pPr>
              <w:spacing w:line="240" w:lineRule="auto"/>
              <w:jc w:val="both"/>
              <w:rPr>
                <w:sz w:val="22"/>
                <w:szCs w:val="22"/>
              </w:rPr>
            </w:pPr>
            <w:r w:rsidRPr="000C2AA4">
              <w:rPr>
                <w:sz w:val="22"/>
                <w:szCs w:val="22"/>
              </w:rPr>
              <w:t>Inflation</w:t>
            </w:r>
            <w:r>
              <w:rPr>
                <w:sz w:val="22"/>
                <w:szCs w:val="22"/>
              </w:rPr>
              <w:t>, CPIH</w:t>
            </w:r>
          </w:p>
        </w:tc>
        <w:tc>
          <w:tcPr>
            <w:tcW w:w="1124" w:type="dxa"/>
            <w:shd w:val="clear" w:color="auto" w:fill="auto"/>
          </w:tcPr>
          <w:p w14:paraId="3EF254DA" w14:textId="22913D46"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23</w:t>
            </w:r>
          </w:p>
        </w:tc>
        <w:tc>
          <w:tcPr>
            <w:tcW w:w="983" w:type="dxa"/>
            <w:shd w:val="clear" w:color="auto" w:fill="auto"/>
          </w:tcPr>
          <w:p w14:paraId="71AE104D" w14:textId="0AAB0B2E"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2.00%</w:t>
            </w:r>
          </w:p>
        </w:tc>
        <w:tc>
          <w:tcPr>
            <w:tcW w:w="983" w:type="dxa"/>
            <w:shd w:val="clear" w:color="auto" w:fill="auto"/>
          </w:tcPr>
          <w:p w14:paraId="3DB44366" w14:textId="25C5ED9E"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0.77%</w:t>
            </w:r>
          </w:p>
        </w:tc>
        <w:tc>
          <w:tcPr>
            <w:tcW w:w="983" w:type="dxa"/>
            <w:shd w:val="clear" w:color="auto" w:fill="auto"/>
          </w:tcPr>
          <w:p w14:paraId="478A6969" w14:textId="27987830"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2.00%</w:t>
            </w:r>
          </w:p>
        </w:tc>
        <w:tc>
          <w:tcPr>
            <w:tcW w:w="983" w:type="dxa"/>
            <w:shd w:val="clear" w:color="auto" w:fill="auto"/>
          </w:tcPr>
          <w:p w14:paraId="23FAB451" w14:textId="5218BB0E"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0.40%</w:t>
            </w:r>
          </w:p>
        </w:tc>
        <w:tc>
          <w:tcPr>
            <w:tcW w:w="983" w:type="dxa"/>
            <w:shd w:val="clear" w:color="auto" w:fill="auto"/>
          </w:tcPr>
          <w:p w14:paraId="63E452BA" w14:textId="19CCD736" w:rsidR="000C2AA4" w:rsidRPr="004C3AEB" w:rsidRDefault="000C2AA4" w:rsidP="00147CE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4C3AEB">
              <w:rPr>
                <w:sz w:val="22"/>
                <w:szCs w:val="22"/>
              </w:rPr>
              <w:t>3.80%</w:t>
            </w:r>
          </w:p>
        </w:tc>
      </w:tr>
    </w:tbl>
    <w:p w14:paraId="7604E8FA" w14:textId="33EA6A55" w:rsidR="00FC008C" w:rsidRDefault="000D526B" w:rsidP="00147CE7">
      <w:pPr>
        <w:spacing w:before="240"/>
        <w:jc w:val="both"/>
      </w:pPr>
      <w:r>
        <w:t xml:space="preserve">Tables A and B provide summary statistics of the variables used in the regression. </w:t>
      </w:r>
      <w:r w:rsidR="00D82127">
        <w:t xml:space="preserve">We find inflation hovering just below the BoE’s 2% target and a 5.81% unrestricted unemployment rate, indicating a moderately loose labour market over the period. </w:t>
      </w:r>
      <w:r w:rsidR="00DF64C4">
        <w:t>T</w:t>
      </w:r>
      <w:r w:rsidR="00D82127">
        <w:t xml:space="preserve">he relatively </w:t>
      </w:r>
      <w:r w:rsidR="00CA6DF9">
        <w:t>huge</w:t>
      </w:r>
      <w:r w:rsidR="00D82127">
        <w:t xml:space="preserve"> jump of </w:t>
      </w:r>
      <w:r w:rsidR="00CA6DF9">
        <w:t xml:space="preserve">an average extra </w:t>
      </w:r>
      <w:r w:rsidR="00D82127">
        <w:t>£6.11</w:t>
      </w:r>
      <w:r w:rsidR="00CA6DF9">
        <w:t>/hour going from the 8</w:t>
      </w:r>
      <w:r w:rsidR="00CA6DF9" w:rsidRPr="00CA6DF9">
        <w:rPr>
          <w:vertAlign w:val="superscript"/>
        </w:rPr>
        <w:t>th</w:t>
      </w:r>
      <w:r w:rsidR="00CA6DF9">
        <w:t xml:space="preserve"> to 9</w:t>
      </w:r>
      <w:r w:rsidR="00CA6DF9" w:rsidRPr="00CA6DF9">
        <w:rPr>
          <w:vertAlign w:val="superscript"/>
        </w:rPr>
        <w:t>th</w:t>
      </w:r>
      <w:r w:rsidR="00CA6DF9">
        <w:t xml:space="preserve"> decile and the rising standard deviation </w:t>
      </w:r>
      <w:r w:rsidR="00DF64C4">
        <w:t>up</w:t>
      </w:r>
      <w:r w:rsidR="00CA6DF9">
        <w:t xml:space="preserve"> the income distribution</w:t>
      </w:r>
      <w:r w:rsidR="00DF64C4">
        <w:t xml:space="preserve"> indicates strongly that high earners’ earnings have grown </w:t>
      </w:r>
      <w:r w:rsidR="00146698">
        <w:t xml:space="preserve">quickly </w:t>
      </w:r>
      <w:r w:rsidR="00DF64C4">
        <w:t xml:space="preserve">in absolute terms. </w:t>
      </w:r>
      <w:r w:rsidR="00CA6DF9">
        <w:t>On the other hand, lower earners have seen their income grow by the most as a percentage – see figure H.</w:t>
      </w:r>
    </w:p>
    <w:p w14:paraId="35241320" w14:textId="32ABC056" w:rsidR="00CA6DF9" w:rsidRDefault="007C0726" w:rsidP="007C0726">
      <w:pPr>
        <w:spacing w:before="240" w:after="0"/>
        <w:jc w:val="center"/>
      </w:pPr>
      <w:r>
        <w:rPr>
          <w:noProof/>
        </w:rPr>
        <w:drawing>
          <wp:inline distT="0" distB="0" distL="0" distR="0" wp14:anchorId="6CD89703" wp14:editId="5C14EB25">
            <wp:extent cx="4529047" cy="3116911"/>
            <wp:effectExtent l="0" t="0" r="5080" b="7620"/>
            <wp:docPr id="1360535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31346" cy="3118493"/>
                    </a:xfrm>
                    <a:prstGeom prst="rect">
                      <a:avLst/>
                    </a:prstGeom>
                    <a:noFill/>
                  </pic:spPr>
                </pic:pic>
              </a:graphicData>
            </a:graphic>
          </wp:inline>
        </w:drawing>
      </w:r>
    </w:p>
    <w:p w14:paraId="176562E6" w14:textId="267CCD22" w:rsidR="00CA6DF9" w:rsidRDefault="00CA6DF9" w:rsidP="00493B69">
      <w:pPr>
        <w:pStyle w:val="Subtitle"/>
      </w:pPr>
      <w:r>
        <w:t>Figure H – Employees’ earnings over time</w:t>
      </w:r>
      <w:r w:rsidR="00DF64C4">
        <w:t>, 1987=100</w:t>
      </w:r>
      <w:r>
        <w:t>. Own illustration.</w:t>
      </w:r>
      <w:r w:rsidR="00DF64C4">
        <w:t xml:space="preserve"> Source: ASHE </w:t>
      </w:r>
      <w:sdt>
        <w:sdtPr>
          <w:id w:val="-1435353579"/>
          <w:citation/>
        </w:sdtPr>
        <w:sdtContent>
          <w:r w:rsidR="00DF64C4">
            <w:fldChar w:fldCharType="begin"/>
          </w:r>
          <w:r w:rsidR="00DF64C4">
            <w:instrText xml:space="preserve"> CITATION ONS241 \l 2057 </w:instrText>
          </w:r>
          <w:r w:rsidR="00DF64C4">
            <w:fldChar w:fldCharType="separate"/>
          </w:r>
          <w:r w:rsidR="007D5421" w:rsidRPr="007D5421">
            <w:rPr>
              <w:noProof/>
            </w:rPr>
            <w:t>(ONS, 2024)</w:t>
          </w:r>
          <w:r w:rsidR="00DF64C4">
            <w:fldChar w:fldCharType="end"/>
          </w:r>
        </w:sdtContent>
      </w:sdt>
    </w:p>
    <w:p w14:paraId="79F47E7E" w14:textId="4F3248A1" w:rsidR="00010E81" w:rsidRDefault="00010E81" w:rsidP="00147CE7">
      <w:pPr>
        <w:spacing w:line="259" w:lineRule="auto"/>
        <w:jc w:val="both"/>
        <w:rPr>
          <w:rFonts w:eastAsiaTheme="majorEastAsia"/>
          <w:b/>
          <w:bCs/>
          <w:sz w:val="32"/>
          <w:szCs w:val="32"/>
        </w:rPr>
      </w:pPr>
      <w:r>
        <w:br w:type="page"/>
      </w:r>
    </w:p>
    <w:p w14:paraId="79669A5E" w14:textId="045DF4CB" w:rsidR="0055297F" w:rsidRDefault="007E2BAD" w:rsidP="00DF64C4">
      <w:pPr>
        <w:pStyle w:val="Heading1"/>
      </w:pPr>
      <w:bookmarkStart w:id="11" w:name="_Toc198794474"/>
      <w:r>
        <w:t xml:space="preserve">Chapter 5: </w:t>
      </w:r>
      <w:r w:rsidR="00147CE7">
        <w:t>Data Analysis and Discussion</w:t>
      </w:r>
      <w:bookmarkEnd w:id="11"/>
    </w:p>
    <w:p w14:paraId="754622A1" w14:textId="74A8F1DE" w:rsidR="00147CE7" w:rsidRPr="00147CE7" w:rsidRDefault="00493B69" w:rsidP="00DF64C4">
      <w:pPr>
        <w:pStyle w:val="Heading2"/>
      </w:pPr>
      <w:bookmarkStart w:id="12" w:name="_Toc198794475"/>
      <w:r>
        <w:t xml:space="preserve">Section 5.1: </w:t>
      </w:r>
      <w:r w:rsidR="00147CE7">
        <w:t>Results</w:t>
      </w:r>
      <w:bookmarkEnd w:id="12"/>
    </w:p>
    <w:p w14:paraId="3C64EC9C" w14:textId="25AAB59B" w:rsidR="007E2BAD" w:rsidRPr="00010E81" w:rsidRDefault="007E2BAD" w:rsidP="00DF64C4">
      <w:pPr>
        <w:pStyle w:val="Heading3"/>
      </w:pPr>
      <w:bookmarkStart w:id="13" w:name="_Toc198794476"/>
      <w:r w:rsidRPr="00010E81">
        <w:t xml:space="preserve">Table C – </w:t>
      </w:r>
      <w:r w:rsidR="00603EF4" w:rsidRPr="00010E81">
        <w:t>Median, mean, earnings and mean compensation regression results</w:t>
      </w:r>
      <w:bookmarkEnd w:id="13"/>
    </w:p>
    <w:tbl>
      <w:tblPr>
        <w:tblStyle w:val="TableGrid"/>
        <w:tblW w:w="0" w:type="auto"/>
        <w:tblLook w:val="04A0" w:firstRow="1" w:lastRow="0" w:firstColumn="1" w:lastColumn="0" w:noHBand="0" w:noVBand="1"/>
      </w:tblPr>
      <w:tblGrid>
        <w:gridCol w:w="2254"/>
        <w:gridCol w:w="2254"/>
        <w:gridCol w:w="2254"/>
        <w:gridCol w:w="2254"/>
      </w:tblGrid>
      <w:tr w:rsidR="00345F36" w:rsidRPr="00345F36" w14:paraId="16C9FC09" w14:textId="77777777" w:rsidTr="00345F36">
        <w:tc>
          <w:tcPr>
            <w:tcW w:w="2254" w:type="dxa"/>
            <w:tcBorders>
              <w:top w:val="nil"/>
              <w:left w:val="nil"/>
              <w:bottom w:val="single" w:sz="4" w:space="0" w:color="auto"/>
              <w:right w:val="nil"/>
            </w:tcBorders>
          </w:tcPr>
          <w:p w14:paraId="056A6104" w14:textId="77777777" w:rsidR="00345F36" w:rsidRPr="00345F36" w:rsidRDefault="00345F36" w:rsidP="005B7680">
            <w:pPr>
              <w:spacing w:line="240" w:lineRule="auto"/>
              <w:jc w:val="center"/>
              <w:rPr>
                <w:sz w:val="22"/>
                <w:szCs w:val="22"/>
              </w:rPr>
            </w:pPr>
          </w:p>
        </w:tc>
        <w:tc>
          <w:tcPr>
            <w:tcW w:w="2254" w:type="dxa"/>
            <w:tcBorders>
              <w:top w:val="nil"/>
              <w:left w:val="nil"/>
              <w:bottom w:val="single" w:sz="4" w:space="0" w:color="auto"/>
              <w:right w:val="nil"/>
            </w:tcBorders>
          </w:tcPr>
          <w:p w14:paraId="5D18897A" w14:textId="020B2030" w:rsidR="00345F36" w:rsidRPr="00345F36" w:rsidRDefault="00345F36" w:rsidP="005B7680">
            <w:pPr>
              <w:spacing w:line="240" w:lineRule="auto"/>
              <w:jc w:val="center"/>
              <w:rPr>
                <w:sz w:val="22"/>
                <w:szCs w:val="22"/>
              </w:rPr>
            </w:pPr>
            <w:r w:rsidRPr="00345F36">
              <w:rPr>
                <w:sz w:val="22"/>
                <w:szCs w:val="22"/>
              </w:rPr>
              <w:t>(1)</w:t>
            </w:r>
          </w:p>
        </w:tc>
        <w:tc>
          <w:tcPr>
            <w:tcW w:w="2254" w:type="dxa"/>
            <w:tcBorders>
              <w:top w:val="nil"/>
              <w:left w:val="nil"/>
              <w:bottom w:val="single" w:sz="4" w:space="0" w:color="auto"/>
              <w:right w:val="nil"/>
            </w:tcBorders>
          </w:tcPr>
          <w:p w14:paraId="115F01E9" w14:textId="5790E6DF" w:rsidR="00345F36" w:rsidRPr="00345F36" w:rsidRDefault="00345F36" w:rsidP="005B7680">
            <w:pPr>
              <w:spacing w:line="240" w:lineRule="auto"/>
              <w:jc w:val="center"/>
              <w:rPr>
                <w:sz w:val="22"/>
                <w:szCs w:val="22"/>
              </w:rPr>
            </w:pPr>
            <w:r w:rsidRPr="00345F36">
              <w:rPr>
                <w:sz w:val="22"/>
                <w:szCs w:val="22"/>
              </w:rPr>
              <w:t>(2)</w:t>
            </w:r>
          </w:p>
        </w:tc>
        <w:tc>
          <w:tcPr>
            <w:tcW w:w="2254" w:type="dxa"/>
            <w:tcBorders>
              <w:top w:val="nil"/>
              <w:left w:val="nil"/>
              <w:bottom w:val="single" w:sz="4" w:space="0" w:color="auto"/>
              <w:right w:val="nil"/>
            </w:tcBorders>
          </w:tcPr>
          <w:p w14:paraId="04D91367" w14:textId="058A4C13" w:rsidR="00345F36" w:rsidRPr="00345F36" w:rsidRDefault="00345F36" w:rsidP="005B7680">
            <w:pPr>
              <w:spacing w:line="240" w:lineRule="auto"/>
              <w:jc w:val="center"/>
              <w:rPr>
                <w:sz w:val="22"/>
                <w:szCs w:val="22"/>
              </w:rPr>
            </w:pPr>
            <w:r w:rsidRPr="00345F36">
              <w:rPr>
                <w:sz w:val="22"/>
                <w:szCs w:val="22"/>
              </w:rPr>
              <w:t>(3)</w:t>
            </w:r>
          </w:p>
        </w:tc>
      </w:tr>
      <w:tr w:rsidR="007E2BAD" w:rsidRPr="00345F36" w14:paraId="4668EA8C" w14:textId="71BB411A" w:rsidTr="00345F36">
        <w:tc>
          <w:tcPr>
            <w:tcW w:w="2254" w:type="dxa"/>
            <w:tcBorders>
              <w:top w:val="single" w:sz="4" w:space="0" w:color="auto"/>
              <w:left w:val="nil"/>
              <w:bottom w:val="single" w:sz="4" w:space="0" w:color="auto"/>
              <w:right w:val="nil"/>
            </w:tcBorders>
          </w:tcPr>
          <w:p w14:paraId="1FFD9AE2" w14:textId="25953B30" w:rsidR="007E2BAD" w:rsidRPr="00345F36" w:rsidRDefault="00345F36" w:rsidP="00147CE7">
            <w:pPr>
              <w:spacing w:line="240" w:lineRule="auto"/>
              <w:jc w:val="both"/>
              <w:rPr>
                <w:sz w:val="22"/>
                <w:szCs w:val="22"/>
              </w:rPr>
            </w:pPr>
            <w:r w:rsidRPr="00345F36">
              <w:rPr>
                <w:sz w:val="22"/>
                <w:szCs w:val="22"/>
              </w:rPr>
              <w:t>Variables</w:t>
            </w:r>
          </w:p>
        </w:tc>
        <w:tc>
          <w:tcPr>
            <w:tcW w:w="2254" w:type="dxa"/>
            <w:tcBorders>
              <w:top w:val="single" w:sz="4" w:space="0" w:color="auto"/>
              <w:left w:val="nil"/>
              <w:bottom w:val="single" w:sz="4" w:space="0" w:color="auto"/>
              <w:right w:val="nil"/>
            </w:tcBorders>
          </w:tcPr>
          <w:p w14:paraId="5F2B84A0" w14:textId="16C602C6" w:rsidR="007E2BAD" w:rsidRPr="00345F36" w:rsidRDefault="00345F36" w:rsidP="00147CE7">
            <w:pPr>
              <w:spacing w:line="240" w:lineRule="auto"/>
              <w:jc w:val="both"/>
              <w:rPr>
                <w:sz w:val="22"/>
                <w:szCs w:val="22"/>
              </w:rPr>
            </w:pPr>
            <w:r w:rsidRPr="00345F36">
              <w:rPr>
                <w:sz w:val="22"/>
                <w:szCs w:val="22"/>
              </w:rPr>
              <w:t>Median Earnings</w:t>
            </w:r>
          </w:p>
        </w:tc>
        <w:tc>
          <w:tcPr>
            <w:tcW w:w="2254" w:type="dxa"/>
            <w:tcBorders>
              <w:top w:val="single" w:sz="4" w:space="0" w:color="auto"/>
              <w:left w:val="nil"/>
              <w:bottom w:val="single" w:sz="4" w:space="0" w:color="auto"/>
              <w:right w:val="nil"/>
            </w:tcBorders>
          </w:tcPr>
          <w:p w14:paraId="238BD4A1" w14:textId="2CE3F739" w:rsidR="007E2BAD" w:rsidRPr="00345F36" w:rsidRDefault="00345F36" w:rsidP="00147CE7">
            <w:pPr>
              <w:spacing w:line="240" w:lineRule="auto"/>
              <w:jc w:val="both"/>
              <w:rPr>
                <w:sz w:val="22"/>
                <w:szCs w:val="22"/>
              </w:rPr>
            </w:pPr>
            <w:r w:rsidRPr="00345F36">
              <w:rPr>
                <w:sz w:val="22"/>
                <w:szCs w:val="22"/>
              </w:rPr>
              <w:t>Mean Earnings</w:t>
            </w:r>
          </w:p>
        </w:tc>
        <w:tc>
          <w:tcPr>
            <w:tcW w:w="2254" w:type="dxa"/>
            <w:tcBorders>
              <w:top w:val="single" w:sz="4" w:space="0" w:color="auto"/>
              <w:left w:val="nil"/>
              <w:bottom w:val="single" w:sz="4" w:space="0" w:color="auto"/>
              <w:right w:val="nil"/>
            </w:tcBorders>
          </w:tcPr>
          <w:p w14:paraId="37BD7469" w14:textId="01FC6C41" w:rsidR="007E2BAD" w:rsidRPr="00345F36" w:rsidRDefault="00345F36" w:rsidP="00147CE7">
            <w:pPr>
              <w:spacing w:line="240" w:lineRule="auto"/>
              <w:jc w:val="both"/>
              <w:rPr>
                <w:sz w:val="22"/>
                <w:szCs w:val="22"/>
              </w:rPr>
            </w:pPr>
            <w:r w:rsidRPr="00345F36">
              <w:rPr>
                <w:sz w:val="22"/>
                <w:szCs w:val="22"/>
              </w:rPr>
              <w:t>Mean Compensation</w:t>
            </w:r>
          </w:p>
        </w:tc>
      </w:tr>
      <w:tr w:rsidR="007E2BAD" w:rsidRPr="00345F36" w14:paraId="5901A3DC" w14:textId="7A27C49F" w:rsidTr="00345F36">
        <w:trPr>
          <w:trHeight w:val="788"/>
        </w:trPr>
        <w:tc>
          <w:tcPr>
            <w:tcW w:w="2254" w:type="dxa"/>
            <w:tcBorders>
              <w:top w:val="single" w:sz="4" w:space="0" w:color="auto"/>
              <w:left w:val="nil"/>
              <w:bottom w:val="single" w:sz="4" w:space="0" w:color="auto"/>
              <w:right w:val="nil"/>
            </w:tcBorders>
          </w:tcPr>
          <w:p w14:paraId="41FAD054" w14:textId="66734E5E" w:rsidR="007E2BAD" w:rsidRPr="00345F36" w:rsidRDefault="007E2BAD"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prod</m:t>
                            </m:r>
                          </m:e>
                        </m:func>
                      </m:e>
                      <m:sub>
                        <m:r>
                          <w:rPr>
                            <w:rFonts w:ascii="Cambria Math" w:hAnsi="Cambria Math"/>
                            <w:sz w:val="22"/>
                            <w:szCs w:val="22"/>
                          </w:rPr>
                          <m:t>t</m:t>
                        </m:r>
                      </m:sub>
                    </m:sSub>
                  </m:e>
                </m:nary>
              </m:oMath>
            </m:oMathPara>
          </w:p>
        </w:tc>
        <w:tc>
          <w:tcPr>
            <w:tcW w:w="2254" w:type="dxa"/>
            <w:tcBorders>
              <w:top w:val="single" w:sz="4" w:space="0" w:color="auto"/>
              <w:left w:val="nil"/>
              <w:bottom w:val="single" w:sz="4" w:space="0" w:color="auto"/>
              <w:right w:val="nil"/>
            </w:tcBorders>
          </w:tcPr>
          <w:p w14:paraId="22FBA30C" w14:textId="1A5FA95E" w:rsidR="005B7680" w:rsidRDefault="005B7680" w:rsidP="00493B69">
            <w:pPr>
              <w:spacing w:line="240" w:lineRule="auto"/>
              <w:jc w:val="center"/>
              <w:rPr>
                <w:b/>
                <w:bCs/>
                <w:sz w:val="22"/>
                <w:szCs w:val="22"/>
              </w:rPr>
            </w:pPr>
            <w:r w:rsidRPr="005B7680">
              <w:rPr>
                <w:b/>
                <w:bCs/>
                <w:sz w:val="22"/>
                <w:szCs w:val="22"/>
              </w:rPr>
              <w:t>1.04</w:t>
            </w:r>
            <w:r w:rsidR="00C64D26">
              <w:rPr>
                <w:b/>
                <w:bCs/>
                <w:sz w:val="22"/>
                <w:szCs w:val="22"/>
              </w:rPr>
              <w:t>7</w:t>
            </w:r>
            <w:r>
              <w:rPr>
                <w:b/>
                <w:bCs/>
                <w:sz w:val="22"/>
                <w:szCs w:val="22"/>
              </w:rPr>
              <w:t>***</w:t>
            </w:r>
          </w:p>
          <w:p w14:paraId="4E170DB1" w14:textId="446190E1" w:rsidR="00ED137A" w:rsidRPr="00345F36" w:rsidRDefault="00ED137A" w:rsidP="00493B69">
            <w:pPr>
              <w:spacing w:line="240" w:lineRule="auto"/>
              <w:jc w:val="center"/>
              <w:rPr>
                <w:sz w:val="22"/>
                <w:szCs w:val="22"/>
              </w:rPr>
            </w:pPr>
            <w:r>
              <w:rPr>
                <w:sz w:val="22"/>
                <w:szCs w:val="22"/>
              </w:rPr>
              <w:t>(</w:t>
            </w:r>
            <w:r w:rsidR="0055297F">
              <w:rPr>
                <w:sz w:val="22"/>
                <w:szCs w:val="22"/>
              </w:rPr>
              <w:t>0.</w:t>
            </w:r>
            <w:r w:rsidR="005B7680" w:rsidRPr="005B7680">
              <w:rPr>
                <w:sz w:val="22"/>
                <w:szCs w:val="22"/>
              </w:rPr>
              <w:t>13</w:t>
            </w:r>
            <w:r w:rsidR="00C64D26">
              <w:rPr>
                <w:sz w:val="22"/>
                <w:szCs w:val="22"/>
              </w:rPr>
              <w:t>9</w:t>
            </w:r>
            <w:r>
              <w:rPr>
                <w:sz w:val="22"/>
                <w:szCs w:val="22"/>
              </w:rPr>
              <w:t>)</w:t>
            </w:r>
          </w:p>
        </w:tc>
        <w:tc>
          <w:tcPr>
            <w:tcW w:w="2254" w:type="dxa"/>
            <w:tcBorders>
              <w:top w:val="single" w:sz="4" w:space="0" w:color="auto"/>
              <w:left w:val="nil"/>
              <w:bottom w:val="single" w:sz="4" w:space="0" w:color="auto"/>
              <w:right w:val="nil"/>
            </w:tcBorders>
          </w:tcPr>
          <w:p w14:paraId="77F9F15D" w14:textId="70B6B956" w:rsidR="00ED137A" w:rsidRPr="00613923" w:rsidRDefault="005B7680" w:rsidP="00493B69">
            <w:pPr>
              <w:spacing w:line="240" w:lineRule="auto"/>
              <w:jc w:val="center"/>
              <w:rPr>
                <w:b/>
                <w:bCs/>
                <w:sz w:val="22"/>
                <w:szCs w:val="22"/>
              </w:rPr>
            </w:pPr>
            <w:r w:rsidRPr="00613923">
              <w:rPr>
                <w:b/>
                <w:bCs/>
                <w:sz w:val="22"/>
                <w:szCs w:val="22"/>
              </w:rPr>
              <w:t>1.42</w:t>
            </w:r>
            <w:r w:rsidR="00C64D26" w:rsidRPr="00613923">
              <w:rPr>
                <w:b/>
                <w:bCs/>
                <w:sz w:val="22"/>
                <w:szCs w:val="22"/>
              </w:rPr>
              <w:t>9</w:t>
            </w:r>
            <w:r w:rsidRPr="00613923">
              <w:rPr>
                <w:b/>
                <w:bCs/>
                <w:sz w:val="22"/>
                <w:szCs w:val="22"/>
              </w:rPr>
              <w:t>***</w:t>
            </w:r>
          </w:p>
          <w:p w14:paraId="65751DB5" w14:textId="42E207C0" w:rsidR="005B7680" w:rsidRPr="00345F36" w:rsidRDefault="00C64D26" w:rsidP="00493B69">
            <w:pPr>
              <w:spacing w:line="240" w:lineRule="auto"/>
              <w:jc w:val="center"/>
              <w:rPr>
                <w:sz w:val="22"/>
                <w:szCs w:val="22"/>
              </w:rPr>
            </w:pPr>
            <w:r w:rsidRPr="00613923">
              <w:rPr>
                <w:b/>
                <w:bCs/>
                <w:sz w:val="22"/>
                <w:szCs w:val="22"/>
              </w:rPr>
              <w:t>(0</w:t>
            </w:r>
            <w:r w:rsidR="005B7680" w:rsidRPr="00613923">
              <w:rPr>
                <w:b/>
                <w:bCs/>
                <w:sz w:val="22"/>
                <w:szCs w:val="22"/>
              </w:rPr>
              <w:t>.18</w:t>
            </w:r>
            <w:r w:rsidRPr="00613923">
              <w:rPr>
                <w:b/>
                <w:bCs/>
                <w:sz w:val="22"/>
                <w:szCs w:val="22"/>
              </w:rPr>
              <w:t>3)</w:t>
            </w:r>
          </w:p>
        </w:tc>
        <w:tc>
          <w:tcPr>
            <w:tcW w:w="2254" w:type="dxa"/>
            <w:tcBorders>
              <w:top w:val="single" w:sz="4" w:space="0" w:color="auto"/>
              <w:left w:val="nil"/>
              <w:bottom w:val="single" w:sz="4" w:space="0" w:color="auto"/>
              <w:right w:val="nil"/>
            </w:tcBorders>
          </w:tcPr>
          <w:p w14:paraId="6BE7CE84" w14:textId="2CF0F920" w:rsidR="004E3C44" w:rsidRPr="00613923" w:rsidRDefault="005B7680" w:rsidP="00493B69">
            <w:pPr>
              <w:spacing w:line="240" w:lineRule="auto"/>
              <w:jc w:val="center"/>
              <w:rPr>
                <w:b/>
                <w:bCs/>
                <w:sz w:val="22"/>
                <w:szCs w:val="22"/>
              </w:rPr>
            </w:pPr>
            <w:r w:rsidRPr="00613923">
              <w:rPr>
                <w:b/>
                <w:bCs/>
                <w:sz w:val="22"/>
                <w:szCs w:val="22"/>
              </w:rPr>
              <w:t>1.800***</w:t>
            </w:r>
          </w:p>
          <w:p w14:paraId="62AEF7DA" w14:textId="1CD993A5" w:rsidR="005B7680" w:rsidRPr="004E3C44" w:rsidRDefault="00C64D26" w:rsidP="00493B69">
            <w:pPr>
              <w:spacing w:line="240" w:lineRule="auto"/>
              <w:jc w:val="center"/>
              <w:rPr>
                <w:sz w:val="22"/>
                <w:szCs w:val="22"/>
              </w:rPr>
            </w:pPr>
            <w:r w:rsidRPr="00613923">
              <w:rPr>
                <w:b/>
                <w:bCs/>
                <w:sz w:val="22"/>
                <w:szCs w:val="22"/>
              </w:rPr>
              <w:t>(0</w:t>
            </w:r>
            <w:r w:rsidR="005B7680" w:rsidRPr="00613923">
              <w:rPr>
                <w:b/>
                <w:bCs/>
                <w:sz w:val="22"/>
                <w:szCs w:val="22"/>
              </w:rPr>
              <w:t>.164</w:t>
            </w:r>
            <w:r w:rsidRPr="00613923">
              <w:rPr>
                <w:b/>
                <w:bCs/>
                <w:sz w:val="22"/>
                <w:szCs w:val="22"/>
              </w:rPr>
              <w:t>)</w:t>
            </w:r>
          </w:p>
        </w:tc>
      </w:tr>
      <w:tr w:rsidR="007E2BAD" w:rsidRPr="00345F36" w14:paraId="44109CA0" w14:textId="6D675C34" w:rsidTr="00345F36">
        <w:trPr>
          <w:trHeight w:val="788"/>
        </w:trPr>
        <w:tc>
          <w:tcPr>
            <w:tcW w:w="2254" w:type="dxa"/>
            <w:tcBorders>
              <w:top w:val="single" w:sz="4" w:space="0" w:color="auto"/>
              <w:left w:val="nil"/>
              <w:bottom w:val="single" w:sz="4" w:space="0" w:color="auto"/>
              <w:right w:val="nil"/>
            </w:tcBorders>
          </w:tcPr>
          <w:p w14:paraId="2EF81979" w14:textId="5B7252AC" w:rsidR="007E2BAD" w:rsidRPr="00345F36" w:rsidRDefault="007E2BAD"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sSub>
                      <m:sSubPr>
                        <m:ctrlPr>
                          <w:rPr>
                            <w:rFonts w:ascii="Cambria Math" w:hAnsi="Cambria Math"/>
                            <w:i/>
                            <w:sz w:val="22"/>
                            <w:szCs w:val="22"/>
                          </w:rPr>
                        </m:ctrlPr>
                      </m:sSubPr>
                      <m:e>
                        <m:r>
                          <w:rPr>
                            <w:rFonts w:ascii="Cambria Math" w:hAnsi="Cambria Math"/>
                            <w:sz w:val="22"/>
                            <w:szCs w:val="22"/>
                          </w:rPr>
                          <m:t>unemp</m:t>
                        </m:r>
                      </m:e>
                      <m:sub>
                        <m:r>
                          <w:rPr>
                            <w:rFonts w:ascii="Cambria Math" w:hAnsi="Cambria Math"/>
                            <w:sz w:val="22"/>
                            <w:szCs w:val="22"/>
                          </w:rPr>
                          <m:t>t</m:t>
                        </m:r>
                      </m:sub>
                    </m:sSub>
                  </m:e>
                </m:nary>
              </m:oMath>
            </m:oMathPara>
          </w:p>
        </w:tc>
        <w:tc>
          <w:tcPr>
            <w:tcW w:w="2254" w:type="dxa"/>
            <w:tcBorders>
              <w:top w:val="single" w:sz="4" w:space="0" w:color="auto"/>
              <w:left w:val="nil"/>
              <w:bottom w:val="single" w:sz="4" w:space="0" w:color="auto"/>
              <w:right w:val="nil"/>
            </w:tcBorders>
          </w:tcPr>
          <w:p w14:paraId="61413954" w14:textId="473FC378" w:rsidR="005B7680" w:rsidRDefault="00C64D26" w:rsidP="00493B69">
            <w:pPr>
              <w:spacing w:line="240" w:lineRule="auto"/>
              <w:jc w:val="center"/>
              <w:rPr>
                <w:sz w:val="22"/>
                <w:szCs w:val="22"/>
              </w:rPr>
            </w:pPr>
            <w:r>
              <w:rPr>
                <w:sz w:val="22"/>
                <w:szCs w:val="22"/>
              </w:rPr>
              <w:t>0</w:t>
            </w:r>
            <w:r w:rsidR="005B7680" w:rsidRPr="005B7680">
              <w:rPr>
                <w:sz w:val="22"/>
                <w:szCs w:val="22"/>
              </w:rPr>
              <w:t>.41</w:t>
            </w:r>
            <w:r>
              <w:rPr>
                <w:sz w:val="22"/>
                <w:szCs w:val="22"/>
              </w:rPr>
              <w:t>4</w:t>
            </w:r>
          </w:p>
          <w:p w14:paraId="7EF5F5AB" w14:textId="5E87CEC5" w:rsidR="00ED137A" w:rsidRPr="00345F36" w:rsidRDefault="00ED137A" w:rsidP="00493B69">
            <w:pPr>
              <w:spacing w:line="240" w:lineRule="auto"/>
              <w:jc w:val="center"/>
              <w:rPr>
                <w:sz w:val="22"/>
                <w:szCs w:val="22"/>
              </w:rPr>
            </w:pPr>
            <w:r>
              <w:rPr>
                <w:sz w:val="22"/>
                <w:szCs w:val="22"/>
              </w:rPr>
              <w:t>(</w:t>
            </w:r>
            <w:r w:rsidR="005B7680" w:rsidRPr="005B7680">
              <w:rPr>
                <w:sz w:val="22"/>
                <w:szCs w:val="22"/>
              </w:rPr>
              <w:t>0.4</w:t>
            </w:r>
            <w:r w:rsidR="00C64D26">
              <w:rPr>
                <w:sz w:val="22"/>
                <w:szCs w:val="22"/>
              </w:rPr>
              <w:t>90</w:t>
            </w:r>
            <w:r>
              <w:rPr>
                <w:sz w:val="22"/>
                <w:szCs w:val="22"/>
              </w:rPr>
              <w:t>)</w:t>
            </w:r>
          </w:p>
        </w:tc>
        <w:tc>
          <w:tcPr>
            <w:tcW w:w="2254" w:type="dxa"/>
            <w:tcBorders>
              <w:top w:val="single" w:sz="4" w:space="0" w:color="auto"/>
              <w:left w:val="nil"/>
              <w:bottom w:val="single" w:sz="4" w:space="0" w:color="auto"/>
              <w:right w:val="nil"/>
            </w:tcBorders>
          </w:tcPr>
          <w:p w14:paraId="55875517" w14:textId="4C96D14A" w:rsidR="00ED137A" w:rsidRDefault="00C64D26" w:rsidP="00493B69">
            <w:pPr>
              <w:spacing w:line="240" w:lineRule="auto"/>
              <w:jc w:val="center"/>
              <w:rPr>
                <w:sz w:val="22"/>
                <w:szCs w:val="22"/>
              </w:rPr>
            </w:pPr>
            <w:r>
              <w:rPr>
                <w:sz w:val="22"/>
                <w:szCs w:val="22"/>
              </w:rPr>
              <w:t>0</w:t>
            </w:r>
            <w:r w:rsidR="005B7680" w:rsidRPr="005B7680">
              <w:rPr>
                <w:sz w:val="22"/>
                <w:szCs w:val="22"/>
              </w:rPr>
              <w:t>.932</w:t>
            </w:r>
          </w:p>
          <w:p w14:paraId="3CDEA299" w14:textId="738603D3" w:rsidR="005B7680" w:rsidRPr="00345F36" w:rsidRDefault="00C64D26" w:rsidP="00493B69">
            <w:pPr>
              <w:spacing w:line="240" w:lineRule="auto"/>
              <w:jc w:val="center"/>
              <w:rPr>
                <w:sz w:val="22"/>
                <w:szCs w:val="22"/>
              </w:rPr>
            </w:pPr>
            <w:r>
              <w:rPr>
                <w:sz w:val="22"/>
                <w:szCs w:val="22"/>
              </w:rPr>
              <w:t>(0</w:t>
            </w:r>
            <w:r w:rsidR="005B7680" w:rsidRPr="005B7680">
              <w:rPr>
                <w:sz w:val="22"/>
                <w:szCs w:val="22"/>
              </w:rPr>
              <w:t>.531</w:t>
            </w:r>
            <w:r>
              <w:rPr>
                <w:sz w:val="22"/>
                <w:szCs w:val="22"/>
              </w:rPr>
              <w:t>)</w:t>
            </w:r>
          </w:p>
        </w:tc>
        <w:tc>
          <w:tcPr>
            <w:tcW w:w="2254" w:type="dxa"/>
            <w:tcBorders>
              <w:top w:val="single" w:sz="4" w:space="0" w:color="auto"/>
              <w:left w:val="nil"/>
              <w:bottom w:val="single" w:sz="4" w:space="0" w:color="auto"/>
              <w:right w:val="nil"/>
            </w:tcBorders>
          </w:tcPr>
          <w:p w14:paraId="2D845357" w14:textId="3E004AC1" w:rsidR="004E3C44" w:rsidRDefault="00C64D26" w:rsidP="00493B69">
            <w:pPr>
              <w:spacing w:line="240" w:lineRule="auto"/>
              <w:jc w:val="center"/>
              <w:rPr>
                <w:sz w:val="22"/>
                <w:szCs w:val="22"/>
              </w:rPr>
            </w:pPr>
            <w:r>
              <w:rPr>
                <w:sz w:val="22"/>
                <w:szCs w:val="22"/>
              </w:rPr>
              <w:t>0</w:t>
            </w:r>
            <w:r w:rsidR="005B7680" w:rsidRPr="005B7680">
              <w:rPr>
                <w:sz w:val="22"/>
                <w:szCs w:val="22"/>
              </w:rPr>
              <w:t>.81</w:t>
            </w:r>
            <w:r>
              <w:rPr>
                <w:sz w:val="22"/>
                <w:szCs w:val="22"/>
              </w:rPr>
              <w:t>9</w:t>
            </w:r>
            <w:r w:rsidR="005B7680">
              <w:rPr>
                <w:sz w:val="22"/>
                <w:szCs w:val="22"/>
              </w:rPr>
              <w:t>*</w:t>
            </w:r>
          </w:p>
          <w:p w14:paraId="31493A51" w14:textId="0E2EEB1D" w:rsidR="005B7680" w:rsidRPr="00345F36" w:rsidRDefault="00C64D26" w:rsidP="00493B69">
            <w:pPr>
              <w:spacing w:line="240" w:lineRule="auto"/>
              <w:jc w:val="center"/>
              <w:rPr>
                <w:sz w:val="22"/>
                <w:szCs w:val="22"/>
              </w:rPr>
            </w:pPr>
            <w:r>
              <w:rPr>
                <w:sz w:val="22"/>
                <w:szCs w:val="22"/>
              </w:rPr>
              <w:t>(0</w:t>
            </w:r>
            <w:r w:rsidR="005B7680" w:rsidRPr="005B7680">
              <w:rPr>
                <w:sz w:val="22"/>
                <w:szCs w:val="22"/>
              </w:rPr>
              <w:t>.39</w:t>
            </w:r>
            <w:r>
              <w:rPr>
                <w:sz w:val="22"/>
                <w:szCs w:val="22"/>
              </w:rPr>
              <w:t>4)</w:t>
            </w:r>
          </w:p>
        </w:tc>
      </w:tr>
      <w:tr w:rsidR="007E2BAD" w:rsidRPr="00345F36" w14:paraId="3E24B441" w14:textId="614EFFFA" w:rsidTr="00345F36">
        <w:trPr>
          <w:trHeight w:val="788"/>
        </w:trPr>
        <w:tc>
          <w:tcPr>
            <w:tcW w:w="2254" w:type="dxa"/>
            <w:tcBorders>
              <w:top w:val="single" w:sz="4" w:space="0" w:color="auto"/>
              <w:left w:val="nil"/>
              <w:bottom w:val="single" w:sz="4" w:space="0" w:color="auto"/>
              <w:right w:val="nil"/>
            </w:tcBorders>
          </w:tcPr>
          <w:p w14:paraId="4C55862F" w14:textId="2C3D9FDC" w:rsidR="007E2BAD" w:rsidRPr="00345F36" w:rsidRDefault="007E2BAD"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sSub>
                      <m:sSubPr>
                        <m:ctrlPr>
                          <w:rPr>
                            <w:rFonts w:ascii="Cambria Math" w:hAnsi="Cambria Math"/>
                            <w:i/>
                            <w:sz w:val="22"/>
                            <w:szCs w:val="22"/>
                          </w:rPr>
                        </m:ctrlPr>
                      </m:sSubPr>
                      <m:e>
                        <m:r>
                          <w:rPr>
                            <w:rFonts w:ascii="Cambria Math" w:hAnsi="Cambria Math"/>
                            <w:sz w:val="22"/>
                            <w:szCs w:val="22"/>
                          </w:rPr>
                          <m:t>unemp</m:t>
                        </m:r>
                      </m:e>
                      <m:sub>
                        <m:r>
                          <w:rPr>
                            <w:rFonts w:ascii="Cambria Math" w:hAnsi="Cambria Math"/>
                            <w:sz w:val="22"/>
                            <w:szCs w:val="22"/>
                          </w:rPr>
                          <m:t>t-1</m:t>
                        </m:r>
                      </m:sub>
                    </m:sSub>
                  </m:e>
                </m:nary>
              </m:oMath>
            </m:oMathPara>
          </w:p>
        </w:tc>
        <w:tc>
          <w:tcPr>
            <w:tcW w:w="2254" w:type="dxa"/>
            <w:tcBorders>
              <w:top w:val="single" w:sz="4" w:space="0" w:color="auto"/>
              <w:left w:val="nil"/>
              <w:bottom w:val="single" w:sz="4" w:space="0" w:color="auto"/>
              <w:right w:val="nil"/>
            </w:tcBorders>
          </w:tcPr>
          <w:p w14:paraId="4DCEC689" w14:textId="743ABE0A" w:rsidR="005B7680" w:rsidRDefault="005B7680" w:rsidP="00493B69">
            <w:pPr>
              <w:spacing w:line="240" w:lineRule="auto"/>
              <w:jc w:val="center"/>
              <w:rPr>
                <w:b/>
                <w:bCs/>
                <w:sz w:val="22"/>
                <w:szCs w:val="22"/>
              </w:rPr>
            </w:pPr>
            <w:r w:rsidRPr="005B7680">
              <w:rPr>
                <w:b/>
                <w:bCs/>
                <w:sz w:val="22"/>
                <w:szCs w:val="22"/>
              </w:rPr>
              <w:t>-</w:t>
            </w:r>
            <w:r w:rsidR="00C64D26">
              <w:rPr>
                <w:b/>
                <w:bCs/>
                <w:sz w:val="22"/>
                <w:szCs w:val="22"/>
              </w:rPr>
              <w:t>0</w:t>
            </w:r>
            <w:r w:rsidRPr="005B7680">
              <w:rPr>
                <w:b/>
                <w:bCs/>
                <w:sz w:val="22"/>
                <w:szCs w:val="22"/>
              </w:rPr>
              <w:t>.984</w:t>
            </w:r>
            <w:r>
              <w:rPr>
                <w:b/>
                <w:bCs/>
                <w:sz w:val="22"/>
                <w:szCs w:val="22"/>
              </w:rPr>
              <w:t>**</w:t>
            </w:r>
          </w:p>
          <w:p w14:paraId="08098DAC" w14:textId="0DA17937" w:rsidR="00ED137A" w:rsidRPr="00345F36" w:rsidRDefault="00ED137A" w:rsidP="00493B69">
            <w:pPr>
              <w:spacing w:line="240" w:lineRule="auto"/>
              <w:jc w:val="center"/>
              <w:rPr>
                <w:sz w:val="22"/>
                <w:szCs w:val="22"/>
              </w:rPr>
            </w:pPr>
            <w:r>
              <w:rPr>
                <w:sz w:val="22"/>
                <w:szCs w:val="22"/>
              </w:rPr>
              <w:t>(0</w:t>
            </w:r>
            <w:r w:rsidR="005B7680" w:rsidRPr="005B7680">
              <w:rPr>
                <w:sz w:val="22"/>
                <w:szCs w:val="22"/>
              </w:rPr>
              <w:t>.43</w:t>
            </w:r>
            <w:r w:rsidR="00C64D26">
              <w:rPr>
                <w:sz w:val="22"/>
                <w:szCs w:val="22"/>
              </w:rPr>
              <w:t>3</w:t>
            </w:r>
            <w:r>
              <w:rPr>
                <w:sz w:val="22"/>
                <w:szCs w:val="22"/>
              </w:rPr>
              <w:t>)</w:t>
            </w:r>
          </w:p>
        </w:tc>
        <w:tc>
          <w:tcPr>
            <w:tcW w:w="2254" w:type="dxa"/>
            <w:tcBorders>
              <w:top w:val="single" w:sz="4" w:space="0" w:color="auto"/>
              <w:left w:val="nil"/>
              <w:bottom w:val="single" w:sz="4" w:space="0" w:color="auto"/>
              <w:right w:val="nil"/>
            </w:tcBorders>
          </w:tcPr>
          <w:p w14:paraId="364D8899" w14:textId="14943FE6" w:rsidR="00ED137A" w:rsidRPr="00613923" w:rsidRDefault="005B7680" w:rsidP="00493B69">
            <w:pPr>
              <w:spacing w:line="240" w:lineRule="auto"/>
              <w:jc w:val="center"/>
              <w:rPr>
                <w:b/>
                <w:bCs/>
                <w:sz w:val="22"/>
                <w:szCs w:val="22"/>
              </w:rPr>
            </w:pPr>
            <w:r w:rsidRPr="00613923">
              <w:rPr>
                <w:b/>
                <w:bCs/>
                <w:sz w:val="22"/>
                <w:szCs w:val="22"/>
              </w:rPr>
              <w:t>-1.408**</w:t>
            </w:r>
          </w:p>
          <w:p w14:paraId="718CB5BB" w14:textId="107DC3CD" w:rsidR="005B7680" w:rsidRPr="00613923" w:rsidRDefault="00C64D26" w:rsidP="00493B69">
            <w:pPr>
              <w:spacing w:line="240" w:lineRule="auto"/>
              <w:jc w:val="center"/>
              <w:rPr>
                <w:b/>
                <w:bCs/>
                <w:sz w:val="22"/>
                <w:szCs w:val="22"/>
              </w:rPr>
            </w:pPr>
            <w:r w:rsidRPr="00613923">
              <w:rPr>
                <w:b/>
                <w:bCs/>
                <w:sz w:val="22"/>
                <w:szCs w:val="22"/>
              </w:rPr>
              <w:t>(0</w:t>
            </w:r>
            <w:r w:rsidR="005B7680" w:rsidRPr="00613923">
              <w:rPr>
                <w:b/>
                <w:bCs/>
                <w:sz w:val="22"/>
                <w:szCs w:val="22"/>
              </w:rPr>
              <w:t>.483</w:t>
            </w:r>
            <w:r w:rsidRPr="00613923">
              <w:rPr>
                <w:b/>
                <w:bCs/>
                <w:sz w:val="22"/>
                <w:szCs w:val="22"/>
              </w:rPr>
              <w:t>)</w:t>
            </w:r>
          </w:p>
        </w:tc>
        <w:tc>
          <w:tcPr>
            <w:tcW w:w="2254" w:type="dxa"/>
            <w:tcBorders>
              <w:top w:val="single" w:sz="4" w:space="0" w:color="auto"/>
              <w:left w:val="nil"/>
              <w:bottom w:val="single" w:sz="4" w:space="0" w:color="auto"/>
              <w:right w:val="nil"/>
            </w:tcBorders>
          </w:tcPr>
          <w:p w14:paraId="6AA3CBF2" w14:textId="500FD6DF" w:rsidR="004E3C44" w:rsidRPr="00613923" w:rsidRDefault="005B7680" w:rsidP="00493B69">
            <w:pPr>
              <w:spacing w:line="240" w:lineRule="auto"/>
              <w:jc w:val="center"/>
              <w:rPr>
                <w:b/>
                <w:bCs/>
                <w:sz w:val="22"/>
                <w:szCs w:val="22"/>
              </w:rPr>
            </w:pPr>
            <w:r w:rsidRPr="00613923">
              <w:rPr>
                <w:b/>
                <w:bCs/>
                <w:sz w:val="22"/>
                <w:szCs w:val="22"/>
              </w:rPr>
              <w:t>-1.51</w:t>
            </w:r>
            <w:r w:rsidR="00C64D26" w:rsidRPr="00613923">
              <w:rPr>
                <w:b/>
                <w:bCs/>
                <w:sz w:val="22"/>
                <w:szCs w:val="22"/>
              </w:rPr>
              <w:t>3</w:t>
            </w:r>
            <w:r w:rsidRPr="00613923">
              <w:rPr>
                <w:b/>
                <w:bCs/>
                <w:sz w:val="22"/>
                <w:szCs w:val="22"/>
              </w:rPr>
              <w:t>***</w:t>
            </w:r>
          </w:p>
          <w:p w14:paraId="2EBF0FC2" w14:textId="57F44108" w:rsidR="005B7680" w:rsidRPr="004E3C44" w:rsidRDefault="00C64D26" w:rsidP="00493B69">
            <w:pPr>
              <w:spacing w:line="240" w:lineRule="auto"/>
              <w:jc w:val="center"/>
              <w:rPr>
                <w:sz w:val="22"/>
                <w:szCs w:val="22"/>
              </w:rPr>
            </w:pPr>
            <w:r w:rsidRPr="00613923">
              <w:rPr>
                <w:b/>
                <w:bCs/>
                <w:sz w:val="22"/>
                <w:szCs w:val="22"/>
              </w:rPr>
              <w:t>(0</w:t>
            </w:r>
            <w:r w:rsidR="005B7680" w:rsidRPr="00613923">
              <w:rPr>
                <w:b/>
                <w:bCs/>
                <w:sz w:val="22"/>
                <w:szCs w:val="22"/>
              </w:rPr>
              <w:t>.37</w:t>
            </w:r>
            <w:r w:rsidRPr="00613923">
              <w:rPr>
                <w:b/>
                <w:bCs/>
                <w:sz w:val="22"/>
                <w:szCs w:val="22"/>
              </w:rPr>
              <w:t>6)</w:t>
            </w:r>
          </w:p>
        </w:tc>
      </w:tr>
      <w:tr w:rsidR="007E2BAD" w:rsidRPr="00345F36" w14:paraId="63524690" w14:textId="72CC5B91" w:rsidTr="00830B09">
        <w:trPr>
          <w:trHeight w:val="788"/>
        </w:trPr>
        <w:tc>
          <w:tcPr>
            <w:tcW w:w="2254" w:type="dxa"/>
            <w:tcBorders>
              <w:top w:val="single" w:sz="4" w:space="0" w:color="auto"/>
              <w:left w:val="nil"/>
              <w:bottom w:val="single" w:sz="4" w:space="0" w:color="auto"/>
              <w:right w:val="nil"/>
            </w:tcBorders>
          </w:tcPr>
          <w:p w14:paraId="2123FC0E" w14:textId="061DE952" w:rsidR="007E2BAD" w:rsidRPr="00345F36" w:rsidRDefault="007E2BAD"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sSub>
                      <m:sSubPr>
                        <m:ctrlPr>
                          <w:rPr>
                            <w:rFonts w:ascii="Cambria Math" w:hAnsi="Cambria Math"/>
                            <w:i/>
                            <w:sz w:val="22"/>
                            <w:szCs w:val="22"/>
                          </w:rPr>
                        </m:ctrlPr>
                      </m:sSubPr>
                      <m:e>
                        <m:r>
                          <w:rPr>
                            <w:rFonts w:ascii="Cambria Math" w:hAnsi="Cambria Math"/>
                            <w:sz w:val="22"/>
                            <w:szCs w:val="22"/>
                          </w:rPr>
                          <m:t>inf</m:t>
                        </m:r>
                      </m:e>
                      <m:sub>
                        <m:r>
                          <w:rPr>
                            <w:rFonts w:ascii="Cambria Math" w:hAnsi="Cambria Math"/>
                            <w:sz w:val="22"/>
                            <w:szCs w:val="22"/>
                          </w:rPr>
                          <m:t>t</m:t>
                        </m:r>
                      </m:sub>
                    </m:sSub>
                  </m:e>
                </m:nary>
              </m:oMath>
            </m:oMathPara>
          </w:p>
        </w:tc>
        <w:tc>
          <w:tcPr>
            <w:tcW w:w="2254" w:type="dxa"/>
            <w:tcBorders>
              <w:top w:val="single" w:sz="4" w:space="0" w:color="auto"/>
              <w:left w:val="nil"/>
              <w:bottom w:val="single" w:sz="4" w:space="0" w:color="auto"/>
              <w:right w:val="nil"/>
            </w:tcBorders>
          </w:tcPr>
          <w:p w14:paraId="24DF7ED4" w14:textId="19276750" w:rsidR="005B7680" w:rsidRDefault="005B7680" w:rsidP="00493B69">
            <w:pPr>
              <w:spacing w:line="240" w:lineRule="auto"/>
              <w:jc w:val="center"/>
              <w:rPr>
                <w:b/>
                <w:bCs/>
                <w:sz w:val="22"/>
                <w:szCs w:val="22"/>
              </w:rPr>
            </w:pPr>
            <w:r w:rsidRPr="005B7680">
              <w:rPr>
                <w:b/>
                <w:bCs/>
                <w:sz w:val="22"/>
                <w:szCs w:val="22"/>
              </w:rPr>
              <w:t>-1.160</w:t>
            </w:r>
            <w:r>
              <w:rPr>
                <w:b/>
                <w:bCs/>
                <w:sz w:val="22"/>
                <w:szCs w:val="22"/>
              </w:rPr>
              <w:t>***</w:t>
            </w:r>
          </w:p>
          <w:p w14:paraId="7C8961C6" w14:textId="7553F350" w:rsidR="00ED137A" w:rsidRPr="00345F36" w:rsidRDefault="00ED137A" w:rsidP="00493B69">
            <w:pPr>
              <w:spacing w:line="240" w:lineRule="auto"/>
              <w:jc w:val="center"/>
              <w:rPr>
                <w:sz w:val="22"/>
                <w:szCs w:val="22"/>
              </w:rPr>
            </w:pPr>
            <w:r>
              <w:rPr>
                <w:sz w:val="22"/>
                <w:szCs w:val="22"/>
              </w:rPr>
              <w:t>(</w:t>
            </w:r>
            <w:r w:rsidR="005B7680" w:rsidRPr="005B7680">
              <w:rPr>
                <w:sz w:val="22"/>
                <w:szCs w:val="22"/>
              </w:rPr>
              <w:t>0.28</w:t>
            </w:r>
            <w:r w:rsidR="00C64D26">
              <w:rPr>
                <w:sz w:val="22"/>
                <w:szCs w:val="22"/>
              </w:rPr>
              <w:t>2</w:t>
            </w:r>
            <w:r>
              <w:rPr>
                <w:sz w:val="22"/>
                <w:szCs w:val="22"/>
              </w:rPr>
              <w:t>)</w:t>
            </w:r>
          </w:p>
        </w:tc>
        <w:tc>
          <w:tcPr>
            <w:tcW w:w="2254" w:type="dxa"/>
            <w:tcBorders>
              <w:top w:val="single" w:sz="4" w:space="0" w:color="auto"/>
              <w:left w:val="nil"/>
              <w:bottom w:val="single" w:sz="4" w:space="0" w:color="auto"/>
              <w:right w:val="nil"/>
            </w:tcBorders>
          </w:tcPr>
          <w:p w14:paraId="74E7AE38" w14:textId="5E41923E" w:rsidR="00ED137A" w:rsidRPr="00613923" w:rsidRDefault="005B7680" w:rsidP="00493B69">
            <w:pPr>
              <w:spacing w:line="240" w:lineRule="auto"/>
              <w:jc w:val="center"/>
              <w:rPr>
                <w:b/>
                <w:bCs/>
                <w:sz w:val="22"/>
                <w:szCs w:val="22"/>
              </w:rPr>
            </w:pPr>
            <w:r w:rsidRPr="00613923">
              <w:rPr>
                <w:b/>
                <w:bCs/>
                <w:sz w:val="22"/>
                <w:szCs w:val="22"/>
              </w:rPr>
              <w:t>-1.18</w:t>
            </w:r>
            <w:r w:rsidR="00C64D26" w:rsidRPr="00613923">
              <w:rPr>
                <w:b/>
                <w:bCs/>
                <w:sz w:val="22"/>
                <w:szCs w:val="22"/>
              </w:rPr>
              <w:t>9</w:t>
            </w:r>
            <w:r w:rsidRPr="00613923">
              <w:rPr>
                <w:b/>
                <w:bCs/>
                <w:sz w:val="22"/>
                <w:szCs w:val="22"/>
              </w:rPr>
              <w:t>***</w:t>
            </w:r>
          </w:p>
          <w:p w14:paraId="3D78EE14" w14:textId="3FCF585D" w:rsidR="005B7680" w:rsidRPr="00613923" w:rsidRDefault="00C64D26" w:rsidP="00493B69">
            <w:pPr>
              <w:spacing w:line="240" w:lineRule="auto"/>
              <w:jc w:val="center"/>
              <w:rPr>
                <w:b/>
                <w:bCs/>
                <w:sz w:val="22"/>
                <w:szCs w:val="22"/>
              </w:rPr>
            </w:pPr>
            <w:r w:rsidRPr="00613923">
              <w:rPr>
                <w:b/>
                <w:bCs/>
                <w:sz w:val="22"/>
                <w:szCs w:val="22"/>
              </w:rPr>
              <w:t>(0</w:t>
            </w:r>
            <w:r w:rsidR="005B7680" w:rsidRPr="00613923">
              <w:rPr>
                <w:b/>
                <w:bCs/>
                <w:sz w:val="22"/>
                <w:szCs w:val="22"/>
              </w:rPr>
              <w:t>.317</w:t>
            </w:r>
            <w:r w:rsidRPr="00613923">
              <w:rPr>
                <w:b/>
                <w:bCs/>
                <w:sz w:val="22"/>
                <w:szCs w:val="22"/>
              </w:rPr>
              <w:t>)</w:t>
            </w:r>
          </w:p>
        </w:tc>
        <w:tc>
          <w:tcPr>
            <w:tcW w:w="2254" w:type="dxa"/>
            <w:tcBorders>
              <w:top w:val="single" w:sz="4" w:space="0" w:color="auto"/>
              <w:left w:val="nil"/>
              <w:bottom w:val="single" w:sz="4" w:space="0" w:color="auto"/>
              <w:right w:val="nil"/>
            </w:tcBorders>
          </w:tcPr>
          <w:p w14:paraId="6F796217" w14:textId="0AB30720" w:rsidR="004E3C44" w:rsidRPr="00613923" w:rsidRDefault="005B7680" w:rsidP="00493B69">
            <w:pPr>
              <w:spacing w:line="240" w:lineRule="auto"/>
              <w:jc w:val="center"/>
              <w:rPr>
                <w:b/>
                <w:bCs/>
                <w:sz w:val="22"/>
                <w:szCs w:val="22"/>
              </w:rPr>
            </w:pPr>
            <w:r w:rsidRPr="00613923">
              <w:rPr>
                <w:b/>
                <w:bCs/>
                <w:sz w:val="22"/>
                <w:szCs w:val="22"/>
              </w:rPr>
              <w:t>-1.104***</w:t>
            </w:r>
          </w:p>
          <w:p w14:paraId="24E1BE91" w14:textId="0C4B547E" w:rsidR="005B7680" w:rsidRPr="004E3C44" w:rsidRDefault="00C64D26" w:rsidP="00493B69">
            <w:pPr>
              <w:spacing w:line="240" w:lineRule="auto"/>
              <w:jc w:val="center"/>
              <w:rPr>
                <w:sz w:val="22"/>
                <w:szCs w:val="22"/>
              </w:rPr>
            </w:pPr>
            <w:r w:rsidRPr="00613923">
              <w:rPr>
                <w:b/>
                <w:bCs/>
                <w:sz w:val="22"/>
                <w:szCs w:val="22"/>
              </w:rPr>
              <w:t>(0</w:t>
            </w:r>
            <w:r w:rsidR="005B7680" w:rsidRPr="00613923">
              <w:rPr>
                <w:b/>
                <w:bCs/>
                <w:sz w:val="22"/>
                <w:szCs w:val="22"/>
              </w:rPr>
              <w:t>.30</w:t>
            </w:r>
            <w:r w:rsidRPr="00613923">
              <w:rPr>
                <w:b/>
                <w:bCs/>
                <w:sz w:val="22"/>
                <w:szCs w:val="22"/>
              </w:rPr>
              <w:t>6)</w:t>
            </w:r>
          </w:p>
        </w:tc>
      </w:tr>
      <w:tr w:rsidR="00ED137A" w:rsidRPr="00345F36" w14:paraId="18027B8F" w14:textId="77777777" w:rsidTr="00FE43AF">
        <w:trPr>
          <w:trHeight w:val="529"/>
        </w:trPr>
        <w:tc>
          <w:tcPr>
            <w:tcW w:w="2254" w:type="dxa"/>
            <w:tcBorders>
              <w:top w:val="single" w:sz="4" w:space="0" w:color="auto"/>
              <w:left w:val="nil"/>
              <w:bottom w:val="single" w:sz="4" w:space="0" w:color="auto"/>
              <w:right w:val="nil"/>
            </w:tcBorders>
            <w:vAlign w:val="center"/>
          </w:tcPr>
          <w:p w14:paraId="1FFCCB47" w14:textId="56EF5F11" w:rsidR="00ED137A" w:rsidRPr="00ED137A" w:rsidRDefault="00ED137A" w:rsidP="00147CE7">
            <w:pPr>
              <w:spacing w:line="240" w:lineRule="auto"/>
              <w:jc w:val="both"/>
              <w:rPr>
                <w:rFonts w:eastAsia="Times New Roman"/>
                <w:b/>
                <w:bCs/>
                <w:sz w:val="22"/>
                <w:szCs w:val="22"/>
              </w:rPr>
            </w:pPr>
            <w:r w:rsidRPr="00ED137A">
              <w:rPr>
                <w:rFonts w:eastAsia="Times New Roman"/>
                <w:b/>
                <w:bCs/>
                <w:sz w:val="22"/>
                <w:szCs w:val="22"/>
              </w:rPr>
              <w:t>Constant</w:t>
            </w:r>
          </w:p>
        </w:tc>
        <w:tc>
          <w:tcPr>
            <w:tcW w:w="2254" w:type="dxa"/>
            <w:tcBorders>
              <w:top w:val="single" w:sz="4" w:space="0" w:color="auto"/>
              <w:left w:val="nil"/>
              <w:bottom w:val="single" w:sz="4" w:space="0" w:color="auto"/>
              <w:right w:val="nil"/>
            </w:tcBorders>
          </w:tcPr>
          <w:p w14:paraId="752F728E" w14:textId="75A81767" w:rsidR="005B7680" w:rsidRDefault="00C64D26" w:rsidP="00493B69">
            <w:pPr>
              <w:spacing w:line="240" w:lineRule="auto"/>
              <w:jc w:val="center"/>
              <w:rPr>
                <w:b/>
                <w:bCs/>
                <w:sz w:val="22"/>
                <w:szCs w:val="22"/>
              </w:rPr>
            </w:pPr>
            <w:r>
              <w:rPr>
                <w:b/>
                <w:bCs/>
                <w:sz w:val="22"/>
                <w:szCs w:val="22"/>
              </w:rPr>
              <w:t>0</w:t>
            </w:r>
            <w:r w:rsidR="005B7680" w:rsidRPr="005B7680">
              <w:rPr>
                <w:b/>
                <w:bCs/>
                <w:sz w:val="22"/>
                <w:szCs w:val="22"/>
              </w:rPr>
              <w:t>.057</w:t>
            </w:r>
            <w:r w:rsidR="005B7680">
              <w:rPr>
                <w:b/>
                <w:bCs/>
                <w:sz w:val="22"/>
                <w:szCs w:val="22"/>
              </w:rPr>
              <w:t>***</w:t>
            </w:r>
          </w:p>
          <w:p w14:paraId="400F3703" w14:textId="00F74126" w:rsidR="00ED137A" w:rsidRDefault="00ED137A" w:rsidP="00493B69">
            <w:pPr>
              <w:spacing w:line="240" w:lineRule="auto"/>
              <w:jc w:val="center"/>
              <w:rPr>
                <w:sz w:val="22"/>
                <w:szCs w:val="22"/>
              </w:rPr>
            </w:pPr>
            <w:r>
              <w:rPr>
                <w:sz w:val="22"/>
                <w:szCs w:val="22"/>
              </w:rPr>
              <w:t>(</w:t>
            </w:r>
            <w:r w:rsidR="0055297F">
              <w:rPr>
                <w:sz w:val="22"/>
                <w:szCs w:val="22"/>
              </w:rPr>
              <w:t>0.</w:t>
            </w:r>
            <w:r w:rsidR="005B7680" w:rsidRPr="005B7680">
              <w:rPr>
                <w:sz w:val="22"/>
                <w:szCs w:val="22"/>
              </w:rPr>
              <w:t>01</w:t>
            </w:r>
            <w:r w:rsidR="00C64D26">
              <w:rPr>
                <w:sz w:val="22"/>
                <w:szCs w:val="22"/>
              </w:rPr>
              <w:t>2</w:t>
            </w:r>
            <w:r>
              <w:rPr>
                <w:sz w:val="22"/>
                <w:szCs w:val="22"/>
              </w:rPr>
              <w:t>)</w:t>
            </w:r>
          </w:p>
        </w:tc>
        <w:tc>
          <w:tcPr>
            <w:tcW w:w="2254" w:type="dxa"/>
            <w:tcBorders>
              <w:top w:val="single" w:sz="4" w:space="0" w:color="auto"/>
              <w:left w:val="nil"/>
              <w:bottom w:val="single" w:sz="4" w:space="0" w:color="auto"/>
              <w:right w:val="nil"/>
            </w:tcBorders>
          </w:tcPr>
          <w:p w14:paraId="0AAB5D00" w14:textId="69ECD6FB" w:rsidR="004E3C44" w:rsidRPr="00613923" w:rsidRDefault="00C64D26" w:rsidP="00493B69">
            <w:pPr>
              <w:spacing w:line="240" w:lineRule="auto"/>
              <w:jc w:val="center"/>
              <w:rPr>
                <w:b/>
                <w:bCs/>
                <w:sz w:val="22"/>
                <w:szCs w:val="22"/>
              </w:rPr>
            </w:pPr>
            <w:r w:rsidRPr="00613923">
              <w:rPr>
                <w:b/>
                <w:bCs/>
                <w:sz w:val="22"/>
                <w:szCs w:val="22"/>
              </w:rPr>
              <w:t>0</w:t>
            </w:r>
            <w:r w:rsidR="005B7680" w:rsidRPr="00613923">
              <w:rPr>
                <w:b/>
                <w:bCs/>
                <w:sz w:val="22"/>
                <w:szCs w:val="22"/>
              </w:rPr>
              <w:t>.05</w:t>
            </w:r>
            <w:r w:rsidRPr="00613923">
              <w:rPr>
                <w:b/>
                <w:bCs/>
                <w:sz w:val="22"/>
                <w:szCs w:val="22"/>
              </w:rPr>
              <w:t>2</w:t>
            </w:r>
            <w:r w:rsidR="005B7680" w:rsidRPr="00613923">
              <w:rPr>
                <w:b/>
                <w:bCs/>
                <w:sz w:val="22"/>
                <w:szCs w:val="22"/>
              </w:rPr>
              <w:t>***</w:t>
            </w:r>
          </w:p>
          <w:p w14:paraId="22BE4E3A" w14:textId="2A13D36D" w:rsidR="005B7680" w:rsidRPr="00613923" w:rsidRDefault="00C64D26" w:rsidP="00493B69">
            <w:pPr>
              <w:spacing w:line="240" w:lineRule="auto"/>
              <w:jc w:val="center"/>
              <w:rPr>
                <w:b/>
                <w:bCs/>
                <w:sz w:val="22"/>
                <w:szCs w:val="22"/>
              </w:rPr>
            </w:pPr>
            <w:r w:rsidRPr="00613923">
              <w:rPr>
                <w:b/>
                <w:bCs/>
                <w:sz w:val="22"/>
                <w:szCs w:val="22"/>
              </w:rPr>
              <w:t>(0</w:t>
            </w:r>
            <w:r w:rsidR="005B7680" w:rsidRPr="00613923">
              <w:rPr>
                <w:b/>
                <w:bCs/>
                <w:sz w:val="22"/>
                <w:szCs w:val="22"/>
              </w:rPr>
              <w:t>.014</w:t>
            </w:r>
            <w:r w:rsidRPr="00613923">
              <w:rPr>
                <w:b/>
                <w:bCs/>
                <w:sz w:val="22"/>
                <w:szCs w:val="22"/>
              </w:rPr>
              <w:t>)</w:t>
            </w:r>
          </w:p>
        </w:tc>
        <w:tc>
          <w:tcPr>
            <w:tcW w:w="2254" w:type="dxa"/>
            <w:tcBorders>
              <w:top w:val="single" w:sz="4" w:space="0" w:color="auto"/>
              <w:left w:val="nil"/>
              <w:bottom w:val="single" w:sz="4" w:space="0" w:color="auto"/>
              <w:right w:val="nil"/>
            </w:tcBorders>
          </w:tcPr>
          <w:p w14:paraId="6DF19980" w14:textId="3392756B" w:rsidR="004E3C44" w:rsidRPr="00613923" w:rsidRDefault="005B7680" w:rsidP="00493B69">
            <w:pPr>
              <w:spacing w:line="240" w:lineRule="auto"/>
              <w:jc w:val="center"/>
              <w:rPr>
                <w:b/>
                <w:bCs/>
                <w:sz w:val="22"/>
                <w:szCs w:val="22"/>
              </w:rPr>
            </w:pPr>
            <w:r w:rsidRPr="00613923">
              <w:rPr>
                <w:b/>
                <w:bCs/>
                <w:sz w:val="22"/>
                <w:szCs w:val="22"/>
              </w:rPr>
              <w:t>.058</w:t>
            </w:r>
            <w:r w:rsidR="00C64D26" w:rsidRPr="00613923">
              <w:rPr>
                <w:b/>
                <w:bCs/>
                <w:sz w:val="22"/>
                <w:szCs w:val="22"/>
              </w:rPr>
              <w:t>4</w:t>
            </w:r>
            <w:r w:rsidRPr="00613923">
              <w:rPr>
                <w:b/>
                <w:bCs/>
                <w:sz w:val="22"/>
                <w:szCs w:val="22"/>
              </w:rPr>
              <w:t>***</w:t>
            </w:r>
          </w:p>
          <w:p w14:paraId="79CBBC44" w14:textId="647A2644" w:rsidR="005B7680" w:rsidRPr="00613923" w:rsidRDefault="00C64D26" w:rsidP="00493B69">
            <w:pPr>
              <w:spacing w:line="240" w:lineRule="auto"/>
              <w:jc w:val="center"/>
              <w:rPr>
                <w:b/>
                <w:bCs/>
                <w:sz w:val="22"/>
                <w:szCs w:val="22"/>
              </w:rPr>
            </w:pPr>
            <w:r w:rsidRPr="00613923">
              <w:rPr>
                <w:b/>
                <w:bCs/>
                <w:sz w:val="22"/>
                <w:szCs w:val="22"/>
              </w:rPr>
              <w:t>(0</w:t>
            </w:r>
            <w:r w:rsidR="005B7680" w:rsidRPr="00613923">
              <w:rPr>
                <w:b/>
                <w:bCs/>
                <w:sz w:val="22"/>
                <w:szCs w:val="22"/>
              </w:rPr>
              <w:t>.011</w:t>
            </w:r>
            <w:r w:rsidRPr="00613923">
              <w:rPr>
                <w:b/>
                <w:bCs/>
                <w:sz w:val="22"/>
                <w:szCs w:val="22"/>
              </w:rPr>
              <w:t>)</w:t>
            </w:r>
          </w:p>
        </w:tc>
      </w:tr>
      <w:tr w:rsidR="004E3C44" w:rsidRPr="00345F36" w14:paraId="4B23BAD4" w14:textId="77777777" w:rsidTr="00FE43AF">
        <w:trPr>
          <w:trHeight w:val="529"/>
        </w:trPr>
        <w:tc>
          <w:tcPr>
            <w:tcW w:w="2254" w:type="dxa"/>
            <w:tcBorders>
              <w:top w:val="single" w:sz="4" w:space="0" w:color="auto"/>
              <w:left w:val="nil"/>
              <w:bottom w:val="single" w:sz="4" w:space="0" w:color="auto"/>
              <w:right w:val="nil"/>
            </w:tcBorders>
            <w:vAlign w:val="center"/>
          </w:tcPr>
          <w:p w14:paraId="7DCD5FA9" w14:textId="1A8C0A6F" w:rsidR="004E3C44" w:rsidRPr="00ED137A" w:rsidRDefault="004E3C44" w:rsidP="00147CE7">
            <w:pPr>
              <w:spacing w:line="240" w:lineRule="auto"/>
              <w:jc w:val="both"/>
              <w:rPr>
                <w:rFonts w:eastAsia="Times New Roman"/>
                <w:b/>
                <w:bCs/>
                <w:sz w:val="22"/>
                <w:szCs w:val="22"/>
              </w:rPr>
            </w:pPr>
            <w:r>
              <w:rPr>
                <w:rFonts w:eastAsia="Times New Roman"/>
                <w:b/>
                <w:bCs/>
                <w:sz w:val="22"/>
                <w:szCs w:val="22"/>
              </w:rPr>
              <w:t>F-test</w:t>
            </w:r>
            <w:r w:rsidRPr="00ED137A">
              <w:rPr>
                <w:rFonts w:eastAsia="Times New Roman"/>
                <w:sz w:val="22"/>
                <w:szCs w:val="22"/>
                <w:vertAlign w:val="superscript"/>
              </w:rPr>
              <w:t>§</w:t>
            </w:r>
          </w:p>
        </w:tc>
        <w:tc>
          <w:tcPr>
            <w:tcW w:w="2254" w:type="dxa"/>
            <w:tcBorders>
              <w:top w:val="single" w:sz="4" w:space="0" w:color="auto"/>
              <w:left w:val="nil"/>
              <w:bottom w:val="single" w:sz="4" w:space="0" w:color="auto"/>
              <w:right w:val="nil"/>
            </w:tcBorders>
            <w:vAlign w:val="center"/>
          </w:tcPr>
          <w:p w14:paraId="4ADBD53F" w14:textId="0E8B2ED7" w:rsidR="005B7680" w:rsidRPr="004E3C44" w:rsidRDefault="005B7680" w:rsidP="002B3049">
            <w:pPr>
              <w:spacing w:line="240" w:lineRule="auto"/>
              <w:jc w:val="center"/>
              <w:rPr>
                <w:sz w:val="22"/>
                <w:szCs w:val="22"/>
              </w:rPr>
            </w:pPr>
            <w:r>
              <w:rPr>
                <w:sz w:val="22"/>
                <w:szCs w:val="22"/>
              </w:rPr>
              <w:t>0.11</w:t>
            </w:r>
          </w:p>
        </w:tc>
        <w:tc>
          <w:tcPr>
            <w:tcW w:w="2254" w:type="dxa"/>
            <w:tcBorders>
              <w:top w:val="single" w:sz="4" w:space="0" w:color="auto"/>
              <w:left w:val="nil"/>
              <w:bottom w:val="single" w:sz="4" w:space="0" w:color="auto"/>
              <w:right w:val="nil"/>
            </w:tcBorders>
            <w:vAlign w:val="center"/>
          </w:tcPr>
          <w:p w14:paraId="6E90BFA7" w14:textId="0C9094B2" w:rsidR="005B7680" w:rsidRPr="00345F36" w:rsidRDefault="005B7680" w:rsidP="002B3049">
            <w:pPr>
              <w:spacing w:line="240" w:lineRule="auto"/>
              <w:jc w:val="center"/>
              <w:rPr>
                <w:sz w:val="22"/>
                <w:szCs w:val="22"/>
              </w:rPr>
            </w:pPr>
            <w:r w:rsidRPr="005B7680">
              <w:rPr>
                <w:sz w:val="22"/>
                <w:szCs w:val="22"/>
              </w:rPr>
              <w:t>5.51</w:t>
            </w:r>
          </w:p>
        </w:tc>
        <w:tc>
          <w:tcPr>
            <w:tcW w:w="2254" w:type="dxa"/>
            <w:tcBorders>
              <w:top w:val="single" w:sz="4" w:space="0" w:color="auto"/>
              <w:left w:val="nil"/>
              <w:bottom w:val="single" w:sz="4" w:space="0" w:color="auto"/>
              <w:right w:val="nil"/>
            </w:tcBorders>
            <w:vAlign w:val="center"/>
          </w:tcPr>
          <w:p w14:paraId="42156DD7" w14:textId="21A5390C" w:rsidR="005B7680" w:rsidRPr="00613923" w:rsidRDefault="005B7680" w:rsidP="002B3049">
            <w:pPr>
              <w:spacing w:line="240" w:lineRule="auto"/>
              <w:jc w:val="center"/>
              <w:rPr>
                <w:b/>
                <w:bCs/>
                <w:sz w:val="22"/>
                <w:szCs w:val="22"/>
              </w:rPr>
            </w:pPr>
            <w:r w:rsidRPr="00613923">
              <w:rPr>
                <w:b/>
                <w:bCs/>
                <w:sz w:val="22"/>
                <w:szCs w:val="22"/>
              </w:rPr>
              <w:t>23.70***</w:t>
            </w:r>
          </w:p>
        </w:tc>
      </w:tr>
      <w:tr w:rsidR="00B766B2" w:rsidRPr="00345F36" w14:paraId="52D60A0E" w14:textId="77777777" w:rsidTr="00FE43AF">
        <w:trPr>
          <w:trHeight w:val="529"/>
        </w:trPr>
        <w:tc>
          <w:tcPr>
            <w:tcW w:w="2254" w:type="dxa"/>
            <w:tcBorders>
              <w:top w:val="single" w:sz="4" w:space="0" w:color="auto"/>
              <w:left w:val="nil"/>
              <w:bottom w:val="single" w:sz="4" w:space="0" w:color="auto"/>
              <w:right w:val="nil"/>
            </w:tcBorders>
            <w:vAlign w:val="center"/>
          </w:tcPr>
          <w:p w14:paraId="4FB8CF9D" w14:textId="60B9D139" w:rsidR="00B766B2" w:rsidRDefault="00B766B2" w:rsidP="00147CE7">
            <w:pPr>
              <w:spacing w:line="240" w:lineRule="auto"/>
              <w:jc w:val="both"/>
              <w:rPr>
                <w:rFonts w:eastAsia="Times New Roman"/>
                <w:b/>
                <w:bCs/>
                <w:sz w:val="22"/>
                <w:szCs w:val="22"/>
              </w:rPr>
            </w:pPr>
            <w:r>
              <w:rPr>
                <w:rFonts w:eastAsia="Times New Roman"/>
                <w:b/>
                <w:bCs/>
                <w:sz w:val="22"/>
                <w:szCs w:val="22"/>
              </w:rPr>
              <w:t>R^2</w:t>
            </w:r>
          </w:p>
        </w:tc>
        <w:tc>
          <w:tcPr>
            <w:tcW w:w="2254" w:type="dxa"/>
            <w:tcBorders>
              <w:top w:val="single" w:sz="4" w:space="0" w:color="auto"/>
              <w:left w:val="nil"/>
              <w:bottom w:val="single" w:sz="4" w:space="0" w:color="auto"/>
              <w:right w:val="nil"/>
            </w:tcBorders>
            <w:vAlign w:val="center"/>
          </w:tcPr>
          <w:p w14:paraId="0001A496" w14:textId="41BE1623" w:rsidR="00B766B2" w:rsidRPr="00B766B2" w:rsidRDefault="005B7680" w:rsidP="00493B69">
            <w:pPr>
              <w:spacing w:line="240" w:lineRule="auto"/>
              <w:jc w:val="center"/>
              <w:rPr>
                <w:sz w:val="22"/>
                <w:szCs w:val="22"/>
              </w:rPr>
            </w:pPr>
            <w:r>
              <w:rPr>
                <w:sz w:val="22"/>
                <w:szCs w:val="22"/>
              </w:rPr>
              <w:t>0.879</w:t>
            </w:r>
          </w:p>
        </w:tc>
        <w:tc>
          <w:tcPr>
            <w:tcW w:w="2254" w:type="dxa"/>
            <w:tcBorders>
              <w:top w:val="single" w:sz="4" w:space="0" w:color="auto"/>
              <w:left w:val="nil"/>
              <w:bottom w:val="single" w:sz="4" w:space="0" w:color="auto"/>
              <w:right w:val="nil"/>
            </w:tcBorders>
            <w:vAlign w:val="center"/>
          </w:tcPr>
          <w:p w14:paraId="5A13CD35" w14:textId="3687DE7C" w:rsidR="00B766B2" w:rsidRPr="00B766B2" w:rsidRDefault="005B7680" w:rsidP="00493B69">
            <w:pPr>
              <w:spacing w:line="240" w:lineRule="auto"/>
              <w:jc w:val="center"/>
              <w:rPr>
                <w:sz w:val="22"/>
                <w:szCs w:val="22"/>
              </w:rPr>
            </w:pPr>
            <w:r>
              <w:rPr>
                <w:sz w:val="22"/>
                <w:szCs w:val="22"/>
              </w:rPr>
              <w:t>0.859</w:t>
            </w:r>
          </w:p>
        </w:tc>
        <w:tc>
          <w:tcPr>
            <w:tcW w:w="2254" w:type="dxa"/>
            <w:tcBorders>
              <w:top w:val="single" w:sz="4" w:space="0" w:color="auto"/>
              <w:left w:val="nil"/>
              <w:bottom w:val="single" w:sz="4" w:space="0" w:color="auto"/>
              <w:right w:val="nil"/>
            </w:tcBorders>
            <w:vAlign w:val="center"/>
          </w:tcPr>
          <w:p w14:paraId="44B4455E" w14:textId="2A8A2233" w:rsidR="00B766B2" w:rsidRPr="00B766B2" w:rsidRDefault="005B7680" w:rsidP="00493B69">
            <w:pPr>
              <w:spacing w:line="240" w:lineRule="auto"/>
              <w:jc w:val="center"/>
              <w:rPr>
                <w:sz w:val="22"/>
                <w:szCs w:val="22"/>
              </w:rPr>
            </w:pPr>
            <w:r>
              <w:rPr>
                <w:sz w:val="22"/>
                <w:szCs w:val="22"/>
              </w:rPr>
              <w:t>0.921</w:t>
            </w:r>
          </w:p>
        </w:tc>
      </w:tr>
      <w:tr w:rsidR="00830B09" w:rsidRPr="00345F36" w14:paraId="7BF406FC" w14:textId="77777777" w:rsidTr="00830B09">
        <w:trPr>
          <w:trHeight w:val="788"/>
        </w:trPr>
        <w:tc>
          <w:tcPr>
            <w:tcW w:w="9016" w:type="dxa"/>
            <w:gridSpan w:val="4"/>
            <w:tcBorders>
              <w:top w:val="single" w:sz="4" w:space="0" w:color="auto"/>
              <w:left w:val="nil"/>
              <w:bottom w:val="nil"/>
              <w:right w:val="nil"/>
            </w:tcBorders>
          </w:tcPr>
          <w:p w14:paraId="3A2EEEAD" w14:textId="1E028763" w:rsidR="00830B09" w:rsidRPr="00830B09" w:rsidRDefault="00830B09" w:rsidP="00147CE7">
            <w:pPr>
              <w:spacing w:line="240" w:lineRule="auto"/>
              <w:jc w:val="both"/>
              <w:rPr>
                <w:sz w:val="22"/>
                <w:szCs w:val="22"/>
              </w:rPr>
            </w:pPr>
            <w:r>
              <w:rPr>
                <w:i/>
                <w:iCs/>
                <w:sz w:val="22"/>
                <w:szCs w:val="22"/>
              </w:rPr>
              <w:t xml:space="preserve">Note: </w:t>
            </w:r>
            <w:r w:rsidRPr="00830B09">
              <w:rPr>
                <w:sz w:val="22"/>
                <w:szCs w:val="22"/>
              </w:rPr>
              <w:t xml:space="preserve">dependent variables are in three-year moving average, </w:t>
            </w:r>
            <w:r>
              <w:rPr>
                <w:sz w:val="22"/>
                <w:szCs w:val="22"/>
              </w:rPr>
              <w:t>logged</w:t>
            </w:r>
            <w:r w:rsidRPr="00830B09">
              <w:rPr>
                <w:sz w:val="22"/>
                <w:szCs w:val="22"/>
              </w:rPr>
              <w:t xml:space="preserve">, </w:t>
            </w:r>
            <w:r>
              <w:rPr>
                <w:sz w:val="22"/>
                <w:szCs w:val="22"/>
              </w:rPr>
              <w:t xml:space="preserve">differenced </w:t>
            </w:r>
            <w:r w:rsidRPr="00830B09">
              <w:rPr>
                <w:sz w:val="22"/>
                <w:szCs w:val="22"/>
              </w:rPr>
              <w:t>form.</w:t>
            </w:r>
          </w:p>
          <w:p w14:paraId="55F95815" w14:textId="7F616544" w:rsidR="00010E81" w:rsidRDefault="004E3C44" w:rsidP="00147CE7">
            <w:pPr>
              <w:spacing w:line="240" w:lineRule="auto"/>
              <w:jc w:val="both"/>
              <w:rPr>
                <w:rFonts w:eastAsia="Times New Roman"/>
                <w:sz w:val="22"/>
                <w:szCs w:val="22"/>
              </w:rPr>
            </w:pPr>
            <w:r w:rsidRPr="00ED137A">
              <w:rPr>
                <w:rFonts w:eastAsia="Times New Roman"/>
                <w:sz w:val="22"/>
                <w:szCs w:val="22"/>
                <w:vertAlign w:val="superscript"/>
              </w:rPr>
              <w:t>§</w:t>
            </w:r>
            <w:r>
              <w:rPr>
                <w:rFonts w:eastAsia="Times New Roman"/>
                <w:sz w:val="22"/>
                <w:szCs w:val="22"/>
              </w:rPr>
              <w:t>Null hypothesis is that coefficients are equal to 1</w:t>
            </w:r>
            <w:r w:rsidR="00010E81">
              <w:rPr>
                <w:rFonts w:eastAsia="Times New Roman"/>
                <w:sz w:val="22"/>
                <w:szCs w:val="22"/>
              </w:rPr>
              <w:t>.</w:t>
            </w:r>
          </w:p>
          <w:p w14:paraId="343A3526" w14:textId="0A21FC3E" w:rsidR="0055297F" w:rsidRPr="00830B09" w:rsidRDefault="00010E81" w:rsidP="00147CE7">
            <w:pPr>
              <w:spacing w:line="240" w:lineRule="auto"/>
              <w:jc w:val="both"/>
              <w:rPr>
                <w:sz w:val="22"/>
                <w:szCs w:val="22"/>
              </w:rPr>
            </w:pPr>
            <w:r>
              <w:rPr>
                <w:rFonts w:eastAsia="Times New Roman"/>
                <w:sz w:val="22"/>
                <w:szCs w:val="22"/>
              </w:rPr>
              <w:t>Robust standard errors</w:t>
            </w:r>
            <w:r w:rsidR="0055297F" w:rsidRPr="00830B09">
              <w:rPr>
                <w:sz w:val="22"/>
                <w:szCs w:val="22"/>
              </w:rPr>
              <w:t xml:space="preserve"> in parenthes</w:t>
            </w:r>
            <w:r w:rsidR="003336A3">
              <w:rPr>
                <w:sz w:val="22"/>
                <w:szCs w:val="22"/>
              </w:rPr>
              <w:t>e</w:t>
            </w:r>
            <w:r w:rsidR="0055297F" w:rsidRPr="00830B09">
              <w:rPr>
                <w:sz w:val="22"/>
                <w:szCs w:val="22"/>
              </w:rPr>
              <w:t>s.</w:t>
            </w:r>
          </w:p>
          <w:p w14:paraId="1085E6CD" w14:textId="3D56F01F" w:rsidR="00830B09" w:rsidRPr="00830B09" w:rsidRDefault="00830B09" w:rsidP="00147CE7">
            <w:pPr>
              <w:spacing w:line="240" w:lineRule="auto"/>
              <w:jc w:val="both"/>
              <w:rPr>
                <w:i/>
                <w:iCs/>
                <w:sz w:val="22"/>
                <w:szCs w:val="22"/>
              </w:rPr>
            </w:pPr>
            <w:r w:rsidRPr="00010E81">
              <w:rPr>
                <w:b/>
                <w:bCs/>
                <w:sz w:val="22"/>
                <w:szCs w:val="22"/>
              </w:rPr>
              <w:t>*** p&lt;0.01</w:t>
            </w:r>
            <w:r w:rsidRPr="00010E81">
              <w:rPr>
                <w:sz w:val="22"/>
                <w:szCs w:val="22"/>
              </w:rPr>
              <w:t>,</w:t>
            </w:r>
            <w:r w:rsidRPr="00010E81">
              <w:rPr>
                <w:b/>
                <w:bCs/>
                <w:sz w:val="22"/>
                <w:szCs w:val="22"/>
              </w:rPr>
              <w:t>** p&lt;0.05</w:t>
            </w:r>
            <w:r w:rsidRPr="00010E81">
              <w:rPr>
                <w:sz w:val="22"/>
                <w:szCs w:val="22"/>
              </w:rPr>
              <w:t>, * p&lt;0.1</w:t>
            </w:r>
          </w:p>
        </w:tc>
      </w:tr>
    </w:tbl>
    <w:p w14:paraId="0CF088B1" w14:textId="77777777" w:rsidR="007E2BAD" w:rsidRDefault="007E2BAD" w:rsidP="00147CE7">
      <w:pPr>
        <w:jc w:val="both"/>
      </w:pPr>
    </w:p>
    <w:p w14:paraId="762297BE" w14:textId="77777777" w:rsidR="00603EF4" w:rsidRDefault="00603EF4" w:rsidP="00147CE7">
      <w:pPr>
        <w:spacing w:line="259" w:lineRule="auto"/>
        <w:jc w:val="both"/>
        <w:rPr>
          <w:b/>
          <w:bCs/>
        </w:rPr>
      </w:pPr>
      <w:r>
        <w:rPr>
          <w:b/>
          <w:bCs/>
        </w:rPr>
        <w:br w:type="page"/>
      </w:r>
    </w:p>
    <w:p w14:paraId="336E4F3B" w14:textId="7E93B48E" w:rsidR="0055297F" w:rsidRPr="00010E81" w:rsidRDefault="0055297F" w:rsidP="00DF64C4">
      <w:pPr>
        <w:pStyle w:val="Heading3"/>
      </w:pPr>
      <w:bookmarkStart w:id="14" w:name="_Toc198794477"/>
      <w:r w:rsidRPr="00010E81">
        <w:t>Table D –</w:t>
      </w:r>
      <w:r w:rsidR="00603EF4" w:rsidRPr="00010E81">
        <w:t xml:space="preserve"> Earnings percentiles 1-9</w:t>
      </w:r>
      <w:r w:rsidR="00010E81">
        <w:t xml:space="preserve"> (</w:t>
      </w:r>
      <w:r w:rsidR="00603EF4" w:rsidRPr="00010E81">
        <w:t>less the median</w:t>
      </w:r>
      <w:r w:rsidR="00010E81">
        <w:t>)</w:t>
      </w:r>
      <w:r w:rsidR="00603EF4" w:rsidRPr="00010E81">
        <w:t xml:space="preserve"> regression results table.</w:t>
      </w:r>
      <w:bookmarkEnd w:id="14"/>
    </w:p>
    <w:tbl>
      <w:tblPr>
        <w:tblStyle w:val="TableGrid"/>
        <w:tblW w:w="10916" w:type="dxa"/>
        <w:tblInd w:w="-993" w:type="dxa"/>
        <w:tblLayout w:type="fixed"/>
        <w:tblLook w:val="04A0" w:firstRow="1" w:lastRow="0" w:firstColumn="1" w:lastColumn="0" w:noHBand="0" w:noVBand="1"/>
      </w:tblPr>
      <w:tblGrid>
        <w:gridCol w:w="1985"/>
        <w:gridCol w:w="1311"/>
        <w:gridCol w:w="1311"/>
        <w:gridCol w:w="1311"/>
        <w:gridCol w:w="1312"/>
        <w:gridCol w:w="1228"/>
        <w:gridCol w:w="756"/>
        <w:gridCol w:w="473"/>
        <w:gridCol w:w="1229"/>
      </w:tblGrid>
      <w:tr w:rsidR="00B766B2" w:rsidRPr="00345F36" w14:paraId="0C2D30C1" w14:textId="3662EFBE" w:rsidTr="002221B1">
        <w:tc>
          <w:tcPr>
            <w:tcW w:w="1985" w:type="dxa"/>
            <w:tcBorders>
              <w:top w:val="nil"/>
              <w:left w:val="nil"/>
              <w:bottom w:val="single" w:sz="4" w:space="0" w:color="auto"/>
              <w:right w:val="nil"/>
            </w:tcBorders>
          </w:tcPr>
          <w:p w14:paraId="4DD30A68" w14:textId="77777777" w:rsidR="00B766B2" w:rsidRPr="00345F36" w:rsidRDefault="00B766B2" w:rsidP="00147CE7">
            <w:pPr>
              <w:spacing w:line="240" w:lineRule="auto"/>
              <w:jc w:val="both"/>
              <w:rPr>
                <w:sz w:val="22"/>
                <w:szCs w:val="22"/>
              </w:rPr>
            </w:pPr>
          </w:p>
        </w:tc>
        <w:tc>
          <w:tcPr>
            <w:tcW w:w="5245" w:type="dxa"/>
            <w:gridSpan w:val="4"/>
            <w:tcBorders>
              <w:top w:val="nil"/>
              <w:left w:val="nil"/>
              <w:bottom w:val="single" w:sz="4" w:space="0" w:color="auto"/>
              <w:right w:val="nil"/>
            </w:tcBorders>
          </w:tcPr>
          <w:p w14:paraId="476362EC" w14:textId="0458C60B" w:rsidR="00B766B2" w:rsidRDefault="00B766B2" w:rsidP="00493B69">
            <w:pPr>
              <w:spacing w:line="240" w:lineRule="auto"/>
              <w:jc w:val="center"/>
              <w:rPr>
                <w:rFonts w:eastAsia="Times New Roman"/>
                <w:sz w:val="22"/>
                <w:szCs w:val="22"/>
              </w:rPr>
            </w:p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n</m:t>
                  </m:r>
                </m:sub>
              </m:sSub>
            </m:oMath>
            <w:r>
              <w:rPr>
                <w:sz w:val="22"/>
                <w:szCs w:val="22"/>
              </w:rPr>
              <w:t>-coefficients</w:t>
            </w:r>
          </w:p>
        </w:tc>
        <w:tc>
          <w:tcPr>
            <w:tcW w:w="1984" w:type="dxa"/>
            <w:gridSpan w:val="2"/>
            <w:tcBorders>
              <w:top w:val="nil"/>
              <w:left w:val="nil"/>
              <w:bottom w:val="single" w:sz="4" w:space="0" w:color="auto"/>
              <w:right w:val="nil"/>
            </w:tcBorders>
          </w:tcPr>
          <w:p w14:paraId="61947CB3" w14:textId="3B8CB6F3" w:rsidR="00B766B2" w:rsidRDefault="00B766B2" w:rsidP="00493B69">
            <w:pPr>
              <w:spacing w:line="240" w:lineRule="auto"/>
              <w:jc w:val="center"/>
              <w:rPr>
                <w:rFonts w:eastAsia="Times New Roman"/>
                <w:sz w:val="22"/>
                <w:szCs w:val="22"/>
              </w:rPr>
            </w:pPr>
          </w:p>
        </w:tc>
        <w:tc>
          <w:tcPr>
            <w:tcW w:w="1702" w:type="dxa"/>
            <w:gridSpan w:val="2"/>
            <w:tcBorders>
              <w:top w:val="nil"/>
              <w:left w:val="nil"/>
              <w:bottom w:val="single" w:sz="4" w:space="0" w:color="auto"/>
              <w:right w:val="nil"/>
            </w:tcBorders>
          </w:tcPr>
          <w:p w14:paraId="0C9413A9" w14:textId="77777777" w:rsidR="00B766B2" w:rsidRDefault="00B766B2" w:rsidP="00493B69">
            <w:pPr>
              <w:spacing w:line="240" w:lineRule="auto"/>
              <w:jc w:val="center"/>
              <w:rPr>
                <w:rFonts w:eastAsia="Times New Roman"/>
                <w:sz w:val="22"/>
                <w:szCs w:val="22"/>
              </w:rPr>
            </w:pPr>
          </w:p>
        </w:tc>
      </w:tr>
      <w:tr w:rsidR="00B766B2" w:rsidRPr="00345F36" w14:paraId="6059B2C7" w14:textId="27C2E063" w:rsidTr="005B7680">
        <w:trPr>
          <w:trHeight w:val="430"/>
        </w:trPr>
        <w:tc>
          <w:tcPr>
            <w:tcW w:w="1985" w:type="dxa"/>
            <w:tcBorders>
              <w:top w:val="single" w:sz="4" w:space="0" w:color="auto"/>
              <w:left w:val="nil"/>
              <w:bottom w:val="single" w:sz="4" w:space="0" w:color="auto"/>
              <w:right w:val="nil"/>
            </w:tcBorders>
          </w:tcPr>
          <w:p w14:paraId="3CB4264B" w14:textId="77777777" w:rsidR="00B766B2" w:rsidRPr="00345F36" w:rsidRDefault="00B766B2" w:rsidP="00147CE7">
            <w:pPr>
              <w:spacing w:line="240" w:lineRule="auto"/>
              <w:jc w:val="both"/>
              <w:rPr>
                <w:sz w:val="22"/>
                <w:szCs w:val="22"/>
              </w:rPr>
            </w:pPr>
            <w:r>
              <w:rPr>
                <w:sz w:val="22"/>
                <w:szCs w:val="22"/>
              </w:rPr>
              <w:t xml:space="preserve">Dependent </w:t>
            </w:r>
            <w:r w:rsidRPr="00345F36">
              <w:rPr>
                <w:sz w:val="22"/>
                <w:szCs w:val="22"/>
              </w:rPr>
              <w:t>Variable</w:t>
            </w:r>
          </w:p>
        </w:tc>
        <w:tc>
          <w:tcPr>
            <w:tcW w:w="1311" w:type="dxa"/>
            <w:tcBorders>
              <w:top w:val="single" w:sz="4" w:space="0" w:color="auto"/>
              <w:left w:val="nil"/>
              <w:bottom w:val="single" w:sz="4" w:space="0" w:color="auto"/>
              <w:right w:val="nil"/>
            </w:tcBorders>
          </w:tcPr>
          <w:p w14:paraId="662DDE57" w14:textId="6406411D" w:rsidR="00B766B2" w:rsidRPr="00345F36" w:rsidRDefault="003246AA" w:rsidP="00493B69">
            <w:pPr>
              <w:spacing w:line="240" w:lineRule="auto"/>
              <w:jc w:val="center"/>
              <w:rPr>
                <w:sz w:val="22"/>
                <w:szCs w:val="22"/>
              </w:rPr>
            </w:pPr>
            <m:oMathPara>
              <m:oMath>
                <m:r>
                  <m:rPr>
                    <m:sty m:val="p"/>
                  </m:rPr>
                  <w:rPr>
                    <w:rFonts w:ascii="Cambria Math" w:hAnsi="Cambria Math"/>
                    <w:sz w:val="22"/>
                    <w:szCs w:val="22"/>
                  </w:rPr>
                  <m:t>Δ</m:t>
                </m:r>
                <m:r>
                  <w:rPr>
                    <w:rFonts w:ascii="Cambria Math" w:hAnsi="Cambria Math"/>
                    <w:sz w:val="22"/>
                    <w:szCs w:val="22"/>
                  </w:rPr>
                  <m:t>pro</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m:t>
                    </m:r>
                  </m:sub>
                </m:sSub>
              </m:oMath>
            </m:oMathPara>
          </w:p>
        </w:tc>
        <w:tc>
          <w:tcPr>
            <w:tcW w:w="1311" w:type="dxa"/>
            <w:tcBorders>
              <w:top w:val="single" w:sz="4" w:space="0" w:color="auto"/>
              <w:left w:val="nil"/>
              <w:bottom w:val="single" w:sz="4" w:space="0" w:color="auto"/>
              <w:right w:val="nil"/>
            </w:tcBorders>
          </w:tcPr>
          <w:p w14:paraId="08B79A4F" w14:textId="4CE8E52F" w:rsidR="00B766B2" w:rsidRPr="00345F36" w:rsidRDefault="00B766B2" w:rsidP="00493B69">
            <w:pPr>
              <w:spacing w:line="240" w:lineRule="auto"/>
              <w:jc w:val="center"/>
              <w:rPr>
                <w:sz w:val="22"/>
                <w:szCs w:val="22"/>
              </w:rPr>
            </w:pPr>
            <m:oMathPara>
              <m:oMath>
                <m:r>
                  <w:rPr>
                    <w:rFonts w:ascii="Cambria Math" w:hAnsi="Cambria Math"/>
                    <w:sz w:val="22"/>
                    <w:szCs w:val="22"/>
                  </w:rPr>
                  <m:t>unem</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m:t>
                    </m:r>
                  </m:sub>
                </m:sSub>
              </m:oMath>
            </m:oMathPara>
          </w:p>
        </w:tc>
        <w:tc>
          <w:tcPr>
            <w:tcW w:w="1311" w:type="dxa"/>
            <w:tcBorders>
              <w:top w:val="single" w:sz="4" w:space="0" w:color="auto"/>
              <w:left w:val="nil"/>
              <w:bottom w:val="single" w:sz="4" w:space="0" w:color="auto"/>
              <w:right w:val="nil"/>
            </w:tcBorders>
          </w:tcPr>
          <w:p w14:paraId="06A76EFE" w14:textId="67DCC427" w:rsidR="00B766B2" w:rsidRPr="00345F36" w:rsidRDefault="00B766B2" w:rsidP="00493B69">
            <w:pPr>
              <w:spacing w:line="240" w:lineRule="auto"/>
              <w:jc w:val="center"/>
              <w:rPr>
                <w:sz w:val="22"/>
                <w:szCs w:val="22"/>
              </w:rPr>
            </w:pPr>
            <m:oMathPara>
              <m:oMath>
                <m:r>
                  <w:rPr>
                    <w:rFonts w:ascii="Cambria Math" w:hAnsi="Cambria Math"/>
                    <w:sz w:val="22"/>
                    <w:szCs w:val="22"/>
                  </w:rPr>
                  <m:t>unem</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t-1</m:t>
                    </m:r>
                  </m:sub>
                </m:sSub>
              </m:oMath>
            </m:oMathPara>
          </w:p>
        </w:tc>
        <w:tc>
          <w:tcPr>
            <w:tcW w:w="1312" w:type="dxa"/>
            <w:tcBorders>
              <w:top w:val="single" w:sz="4" w:space="0" w:color="auto"/>
              <w:left w:val="nil"/>
              <w:bottom w:val="single" w:sz="4" w:space="0" w:color="auto"/>
              <w:right w:val="nil"/>
            </w:tcBorders>
          </w:tcPr>
          <w:p w14:paraId="2EB70020" w14:textId="7C4B6237" w:rsidR="00B766B2" w:rsidRDefault="00B766B2" w:rsidP="00493B69">
            <w:pPr>
              <w:spacing w:line="240" w:lineRule="auto"/>
              <w:jc w:val="center"/>
              <w:rPr>
                <w:rFonts w:eastAsia="Times New Roman"/>
                <w:sz w:val="22"/>
                <w:szCs w:val="22"/>
              </w:rPr>
            </w:pPr>
            <m:oMathPara>
              <m:oMath>
                <m:r>
                  <w:rPr>
                    <w:rFonts w:ascii="Cambria Math" w:eastAsia="Times New Roman" w:hAnsi="Cambria Math"/>
                    <w:sz w:val="22"/>
                    <w:szCs w:val="22"/>
                  </w:rPr>
                  <m:t>in</m:t>
                </m:r>
                <m:sSub>
                  <m:sSubPr>
                    <m:ctrlPr>
                      <w:rPr>
                        <w:rFonts w:ascii="Cambria Math" w:eastAsia="Times New Roman" w:hAnsi="Cambria Math"/>
                        <w:i/>
                        <w:sz w:val="22"/>
                        <w:szCs w:val="22"/>
                      </w:rPr>
                    </m:ctrlPr>
                  </m:sSubPr>
                  <m:e>
                    <m:r>
                      <w:rPr>
                        <w:rFonts w:ascii="Cambria Math" w:eastAsia="Times New Roman" w:hAnsi="Cambria Math"/>
                        <w:sz w:val="22"/>
                        <w:szCs w:val="22"/>
                      </w:rPr>
                      <m:t>f</m:t>
                    </m:r>
                  </m:e>
                  <m:sub>
                    <m:r>
                      <w:rPr>
                        <w:rFonts w:ascii="Cambria Math" w:eastAsia="Times New Roman" w:hAnsi="Cambria Math"/>
                        <w:sz w:val="22"/>
                        <w:szCs w:val="22"/>
                      </w:rPr>
                      <m:t>t</m:t>
                    </m:r>
                  </m:sub>
                </m:sSub>
              </m:oMath>
            </m:oMathPara>
          </w:p>
        </w:tc>
        <w:tc>
          <w:tcPr>
            <w:tcW w:w="1228" w:type="dxa"/>
            <w:tcBorders>
              <w:top w:val="single" w:sz="4" w:space="0" w:color="auto"/>
              <w:left w:val="nil"/>
              <w:bottom w:val="single" w:sz="4" w:space="0" w:color="auto"/>
              <w:right w:val="nil"/>
            </w:tcBorders>
          </w:tcPr>
          <w:p w14:paraId="2398E4C2" w14:textId="05FC2E5B" w:rsidR="00B766B2" w:rsidRPr="00B766B2" w:rsidRDefault="00B766B2" w:rsidP="00493B69">
            <w:pPr>
              <w:spacing w:line="240" w:lineRule="auto"/>
              <w:ind w:left="720" w:hanging="720"/>
              <w:jc w:val="center"/>
              <w:rPr>
                <w:rFonts w:eastAsia="Times New Roman"/>
                <w:b/>
                <w:bCs/>
                <w:sz w:val="22"/>
                <w:szCs w:val="22"/>
              </w:rPr>
            </w:pPr>
            <w:r w:rsidRPr="00B766B2">
              <w:rPr>
                <w:rFonts w:eastAsia="Times New Roman"/>
                <w:b/>
                <w:bCs/>
                <w:sz w:val="22"/>
                <w:szCs w:val="22"/>
              </w:rPr>
              <w:t>Constant</w:t>
            </w:r>
          </w:p>
        </w:tc>
        <w:tc>
          <w:tcPr>
            <w:tcW w:w="1229" w:type="dxa"/>
            <w:gridSpan w:val="2"/>
            <w:tcBorders>
              <w:top w:val="single" w:sz="4" w:space="0" w:color="auto"/>
              <w:left w:val="nil"/>
              <w:bottom w:val="single" w:sz="4" w:space="0" w:color="auto"/>
              <w:right w:val="nil"/>
            </w:tcBorders>
          </w:tcPr>
          <w:p w14:paraId="22A4B03F" w14:textId="68F6EDD9" w:rsidR="00B766B2" w:rsidRPr="00B766B2" w:rsidRDefault="00B766B2" w:rsidP="00493B69">
            <w:pPr>
              <w:spacing w:line="240" w:lineRule="auto"/>
              <w:ind w:left="720" w:hanging="720"/>
              <w:jc w:val="center"/>
              <w:rPr>
                <w:rFonts w:eastAsia="Times New Roman"/>
                <w:b/>
                <w:bCs/>
                <w:sz w:val="22"/>
                <w:szCs w:val="22"/>
              </w:rPr>
            </w:pPr>
            <w:r w:rsidRPr="00B766B2">
              <w:rPr>
                <w:rFonts w:eastAsia="Times New Roman"/>
                <w:b/>
                <w:bCs/>
                <w:sz w:val="22"/>
                <w:szCs w:val="22"/>
              </w:rPr>
              <w:t>F-test</w:t>
            </w:r>
            <w:r w:rsidRPr="00B766B2">
              <w:rPr>
                <w:rFonts w:eastAsia="Times New Roman"/>
                <w:b/>
                <w:bCs/>
                <w:sz w:val="22"/>
                <w:szCs w:val="22"/>
                <w:vertAlign w:val="superscript"/>
              </w:rPr>
              <w:t>§</w:t>
            </w:r>
          </w:p>
        </w:tc>
        <w:tc>
          <w:tcPr>
            <w:tcW w:w="1229" w:type="dxa"/>
            <w:tcBorders>
              <w:top w:val="single" w:sz="4" w:space="0" w:color="auto"/>
              <w:left w:val="nil"/>
              <w:bottom w:val="single" w:sz="4" w:space="0" w:color="auto"/>
              <w:right w:val="nil"/>
            </w:tcBorders>
          </w:tcPr>
          <w:p w14:paraId="7A26ECF6" w14:textId="640F7DAA" w:rsidR="00B766B2" w:rsidRPr="00B766B2" w:rsidRDefault="00B766B2" w:rsidP="00493B69">
            <w:pPr>
              <w:spacing w:line="240" w:lineRule="auto"/>
              <w:ind w:left="720" w:hanging="720"/>
              <w:jc w:val="center"/>
              <w:rPr>
                <w:rFonts w:eastAsia="Times New Roman"/>
                <w:b/>
                <w:bCs/>
                <w:sz w:val="22"/>
                <w:szCs w:val="22"/>
              </w:rPr>
            </w:pPr>
            <w:r w:rsidRPr="00B766B2">
              <w:rPr>
                <w:rFonts w:eastAsia="Times New Roman"/>
                <w:b/>
                <w:bCs/>
                <w:sz w:val="22"/>
                <w:szCs w:val="22"/>
              </w:rPr>
              <w:t>R^2</w:t>
            </w:r>
          </w:p>
        </w:tc>
      </w:tr>
      <w:tr w:rsidR="00B766B2" w:rsidRPr="00345F36" w14:paraId="282FA8EC" w14:textId="425D7FA5" w:rsidTr="002B3049">
        <w:trPr>
          <w:trHeight w:val="788"/>
        </w:trPr>
        <w:tc>
          <w:tcPr>
            <w:tcW w:w="1985" w:type="dxa"/>
            <w:tcBorders>
              <w:top w:val="single" w:sz="4" w:space="0" w:color="auto"/>
              <w:left w:val="nil"/>
              <w:bottom w:val="single" w:sz="4" w:space="0" w:color="auto"/>
              <w:right w:val="nil"/>
            </w:tcBorders>
          </w:tcPr>
          <w:p w14:paraId="6C2C7872" w14:textId="17534DED" w:rsidR="00B766B2" w:rsidRPr="00345F36" w:rsidRDefault="00B766B2"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1,</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shd w:val="clear" w:color="auto" w:fill="auto"/>
          </w:tcPr>
          <w:p w14:paraId="141E2AB2" w14:textId="11AB771F" w:rsidR="00B766B2"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.87</w:t>
            </w:r>
            <w:r w:rsidR="00C64D26" w:rsidRPr="00613923">
              <w:rPr>
                <w:b/>
                <w:bCs/>
                <w:sz w:val="22"/>
                <w:szCs w:val="22"/>
              </w:rPr>
              <w:t>7</w:t>
            </w:r>
            <w:r w:rsidR="005B7680" w:rsidRPr="00613923">
              <w:rPr>
                <w:b/>
                <w:bCs/>
                <w:sz w:val="22"/>
                <w:szCs w:val="22"/>
              </w:rPr>
              <w:t>***</w:t>
            </w:r>
          </w:p>
          <w:p w14:paraId="0115ACCC" w14:textId="60097D8A" w:rsidR="005B7680"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.18</w:t>
            </w:r>
            <w:r w:rsidRPr="00613923">
              <w:rPr>
                <w:b/>
                <w:bCs/>
                <w:sz w:val="22"/>
                <w:szCs w:val="22"/>
              </w:rPr>
              <w:t>1)</w:t>
            </w:r>
          </w:p>
        </w:tc>
        <w:tc>
          <w:tcPr>
            <w:tcW w:w="1311" w:type="dxa"/>
            <w:tcBorders>
              <w:top w:val="single" w:sz="4" w:space="0" w:color="auto"/>
              <w:left w:val="nil"/>
              <w:bottom w:val="single" w:sz="4" w:space="0" w:color="auto"/>
              <w:right w:val="nil"/>
            </w:tcBorders>
            <w:shd w:val="clear" w:color="auto" w:fill="auto"/>
          </w:tcPr>
          <w:p w14:paraId="569E9503" w14:textId="4E13EDC9" w:rsidR="00B766B2" w:rsidRPr="00613923" w:rsidRDefault="005B7680" w:rsidP="00493B69">
            <w:pPr>
              <w:spacing w:line="240" w:lineRule="auto"/>
              <w:jc w:val="center"/>
              <w:rPr>
                <w:b/>
                <w:bCs/>
                <w:sz w:val="22"/>
                <w:szCs w:val="22"/>
              </w:rPr>
            </w:pPr>
            <w:r w:rsidRPr="00613923">
              <w:rPr>
                <w:b/>
                <w:bCs/>
                <w:sz w:val="22"/>
                <w:szCs w:val="22"/>
              </w:rPr>
              <w:t>-</w:t>
            </w:r>
            <w:r w:rsidR="002B3049" w:rsidRPr="00613923">
              <w:rPr>
                <w:b/>
                <w:bCs/>
                <w:sz w:val="22"/>
                <w:szCs w:val="22"/>
              </w:rPr>
              <w:t>0</w:t>
            </w:r>
            <w:r w:rsidRPr="00613923">
              <w:rPr>
                <w:b/>
                <w:bCs/>
                <w:sz w:val="22"/>
                <w:szCs w:val="22"/>
              </w:rPr>
              <w:t>.9</w:t>
            </w:r>
            <w:r w:rsidR="002B3049" w:rsidRPr="00613923">
              <w:rPr>
                <w:b/>
                <w:bCs/>
                <w:sz w:val="22"/>
                <w:szCs w:val="22"/>
              </w:rPr>
              <w:t>50</w:t>
            </w:r>
            <w:r w:rsidRPr="00613923">
              <w:rPr>
                <w:b/>
                <w:bCs/>
                <w:sz w:val="22"/>
                <w:szCs w:val="22"/>
              </w:rPr>
              <w:t>**</w:t>
            </w:r>
          </w:p>
          <w:p w14:paraId="3792B97E" w14:textId="7FF26158" w:rsidR="005B7680" w:rsidRPr="00345F36" w:rsidRDefault="002B3049" w:rsidP="00493B69">
            <w:pPr>
              <w:spacing w:line="240" w:lineRule="auto"/>
              <w:jc w:val="center"/>
              <w:rPr>
                <w:sz w:val="22"/>
                <w:szCs w:val="22"/>
              </w:rPr>
            </w:pPr>
            <w:r w:rsidRPr="00613923">
              <w:rPr>
                <w:b/>
                <w:bCs/>
                <w:sz w:val="22"/>
                <w:szCs w:val="22"/>
              </w:rPr>
              <w:t>(0</w:t>
            </w:r>
            <w:r w:rsidR="005B7680" w:rsidRPr="00613923">
              <w:rPr>
                <w:b/>
                <w:bCs/>
                <w:sz w:val="22"/>
                <w:szCs w:val="22"/>
              </w:rPr>
              <w:t>.380</w:t>
            </w:r>
            <w:r w:rsidRPr="00613923">
              <w:rPr>
                <w:b/>
                <w:bCs/>
                <w:sz w:val="22"/>
                <w:szCs w:val="22"/>
              </w:rPr>
              <w:t>)</w:t>
            </w:r>
          </w:p>
        </w:tc>
        <w:tc>
          <w:tcPr>
            <w:tcW w:w="1311" w:type="dxa"/>
            <w:tcBorders>
              <w:top w:val="single" w:sz="4" w:space="0" w:color="auto"/>
              <w:left w:val="nil"/>
              <w:bottom w:val="single" w:sz="4" w:space="0" w:color="auto"/>
              <w:right w:val="nil"/>
            </w:tcBorders>
            <w:shd w:val="clear" w:color="auto" w:fill="auto"/>
          </w:tcPr>
          <w:p w14:paraId="6A4176C3" w14:textId="59BE7688" w:rsidR="00B766B2" w:rsidRDefault="002B3049" w:rsidP="00493B69">
            <w:pPr>
              <w:spacing w:line="240" w:lineRule="auto"/>
              <w:jc w:val="center"/>
              <w:rPr>
                <w:sz w:val="22"/>
                <w:szCs w:val="22"/>
              </w:rPr>
            </w:pPr>
            <w:r>
              <w:rPr>
                <w:sz w:val="22"/>
                <w:szCs w:val="22"/>
              </w:rPr>
              <w:t>0</w:t>
            </w:r>
            <w:r w:rsidR="005B7680" w:rsidRPr="005B7680">
              <w:rPr>
                <w:sz w:val="22"/>
                <w:szCs w:val="22"/>
              </w:rPr>
              <w:t>.10</w:t>
            </w:r>
            <w:r w:rsidR="00C64D26">
              <w:rPr>
                <w:sz w:val="22"/>
                <w:szCs w:val="22"/>
              </w:rPr>
              <w:t>4</w:t>
            </w:r>
          </w:p>
          <w:p w14:paraId="12E2F723" w14:textId="1F880F5A" w:rsidR="005B7680" w:rsidRPr="00345F36" w:rsidRDefault="002B3049" w:rsidP="00493B69">
            <w:pPr>
              <w:spacing w:line="240" w:lineRule="auto"/>
              <w:jc w:val="center"/>
              <w:rPr>
                <w:sz w:val="22"/>
                <w:szCs w:val="22"/>
              </w:rPr>
            </w:pPr>
            <w:r>
              <w:rPr>
                <w:sz w:val="22"/>
                <w:szCs w:val="22"/>
              </w:rPr>
              <w:t>(0</w:t>
            </w:r>
            <w:r w:rsidR="005B7680" w:rsidRPr="005B7680">
              <w:rPr>
                <w:sz w:val="22"/>
                <w:szCs w:val="22"/>
              </w:rPr>
              <w:t>.37</w:t>
            </w:r>
            <w:r>
              <w:rPr>
                <w:sz w:val="22"/>
                <w:szCs w:val="22"/>
              </w:rPr>
              <w:t>2)</w:t>
            </w:r>
          </w:p>
        </w:tc>
        <w:tc>
          <w:tcPr>
            <w:tcW w:w="1312" w:type="dxa"/>
            <w:tcBorders>
              <w:top w:val="single" w:sz="4" w:space="0" w:color="auto"/>
              <w:left w:val="nil"/>
              <w:bottom w:val="single" w:sz="4" w:space="0" w:color="auto"/>
              <w:right w:val="nil"/>
            </w:tcBorders>
            <w:shd w:val="clear" w:color="auto" w:fill="auto"/>
          </w:tcPr>
          <w:p w14:paraId="3D9892AC" w14:textId="685C89EB" w:rsidR="00B766B2" w:rsidRPr="00613923" w:rsidRDefault="005B7680" w:rsidP="00493B69">
            <w:pPr>
              <w:spacing w:line="240" w:lineRule="auto"/>
              <w:jc w:val="center"/>
              <w:rPr>
                <w:b/>
                <w:bCs/>
                <w:sz w:val="22"/>
                <w:szCs w:val="22"/>
              </w:rPr>
            </w:pPr>
            <w:r w:rsidRPr="00613923">
              <w:rPr>
                <w:b/>
                <w:bCs/>
                <w:sz w:val="22"/>
                <w:szCs w:val="22"/>
              </w:rPr>
              <w:t>-1.052***</w:t>
            </w:r>
          </w:p>
          <w:p w14:paraId="57F994CC" w14:textId="76169F05" w:rsidR="005B7680"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.222</w:t>
            </w:r>
            <w:r w:rsidRPr="00613923">
              <w:rPr>
                <w:b/>
                <w:bCs/>
                <w:sz w:val="22"/>
                <w:szCs w:val="22"/>
              </w:rPr>
              <w:t>)</w:t>
            </w:r>
          </w:p>
        </w:tc>
        <w:tc>
          <w:tcPr>
            <w:tcW w:w="1228" w:type="dxa"/>
            <w:tcBorders>
              <w:top w:val="single" w:sz="4" w:space="0" w:color="auto"/>
              <w:left w:val="nil"/>
              <w:bottom w:val="single" w:sz="4" w:space="0" w:color="auto"/>
              <w:right w:val="nil"/>
            </w:tcBorders>
          </w:tcPr>
          <w:p w14:paraId="698B117C" w14:textId="530B7F59" w:rsidR="002221B1"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.074***</w:t>
            </w:r>
          </w:p>
          <w:p w14:paraId="731C93CE" w14:textId="7101101A" w:rsidR="005B7680"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.011</w:t>
            </w:r>
            <w:r w:rsidRPr="00613923">
              <w:rPr>
                <w:b/>
                <w:bCs/>
                <w:sz w:val="22"/>
                <w:szCs w:val="22"/>
              </w:rPr>
              <w:t>)</w:t>
            </w:r>
          </w:p>
        </w:tc>
        <w:tc>
          <w:tcPr>
            <w:tcW w:w="1229" w:type="dxa"/>
            <w:gridSpan w:val="2"/>
            <w:tcBorders>
              <w:top w:val="single" w:sz="4" w:space="0" w:color="auto"/>
              <w:left w:val="nil"/>
              <w:bottom w:val="single" w:sz="4" w:space="0" w:color="auto"/>
              <w:right w:val="nil"/>
            </w:tcBorders>
            <w:vAlign w:val="center"/>
          </w:tcPr>
          <w:p w14:paraId="572EA943" w14:textId="5A8A46AB" w:rsidR="005B7680" w:rsidRPr="00345F36" w:rsidRDefault="005B7680" w:rsidP="002B3049">
            <w:pPr>
              <w:spacing w:line="240" w:lineRule="auto"/>
              <w:jc w:val="center"/>
              <w:rPr>
                <w:sz w:val="22"/>
                <w:szCs w:val="22"/>
              </w:rPr>
            </w:pPr>
            <w:r w:rsidRPr="005B7680">
              <w:rPr>
                <w:sz w:val="22"/>
                <w:szCs w:val="22"/>
              </w:rPr>
              <w:t>0.46</w:t>
            </w:r>
          </w:p>
        </w:tc>
        <w:tc>
          <w:tcPr>
            <w:tcW w:w="1229" w:type="dxa"/>
            <w:tcBorders>
              <w:top w:val="single" w:sz="4" w:space="0" w:color="auto"/>
              <w:left w:val="nil"/>
              <w:bottom w:val="single" w:sz="4" w:space="0" w:color="auto"/>
              <w:right w:val="nil"/>
            </w:tcBorders>
            <w:vAlign w:val="center"/>
          </w:tcPr>
          <w:p w14:paraId="17F6B489" w14:textId="072B817B" w:rsidR="00B766B2" w:rsidRDefault="005B7680" w:rsidP="00493B69">
            <w:pPr>
              <w:spacing w:line="240" w:lineRule="auto"/>
              <w:jc w:val="center"/>
              <w:rPr>
                <w:sz w:val="22"/>
                <w:szCs w:val="22"/>
              </w:rPr>
            </w:pPr>
            <w:r w:rsidRPr="005B7680">
              <w:rPr>
                <w:sz w:val="22"/>
                <w:szCs w:val="22"/>
              </w:rPr>
              <w:t>0.88</w:t>
            </w:r>
            <w:r>
              <w:rPr>
                <w:sz w:val="22"/>
                <w:szCs w:val="22"/>
              </w:rPr>
              <w:t>8</w:t>
            </w:r>
          </w:p>
        </w:tc>
      </w:tr>
      <w:tr w:rsidR="00B766B2" w:rsidRPr="00345F36" w14:paraId="1E3861B4" w14:textId="6E78AC35" w:rsidTr="002B3049">
        <w:trPr>
          <w:trHeight w:val="788"/>
        </w:trPr>
        <w:tc>
          <w:tcPr>
            <w:tcW w:w="1985" w:type="dxa"/>
            <w:tcBorders>
              <w:top w:val="single" w:sz="4" w:space="0" w:color="auto"/>
              <w:left w:val="nil"/>
              <w:bottom w:val="single" w:sz="4" w:space="0" w:color="auto"/>
              <w:right w:val="nil"/>
            </w:tcBorders>
          </w:tcPr>
          <w:p w14:paraId="477029D8" w14:textId="42A57FB1" w:rsidR="00B766B2" w:rsidRPr="00345F36" w:rsidRDefault="00B766B2"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2,</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shd w:val="clear" w:color="auto" w:fill="auto"/>
          </w:tcPr>
          <w:p w14:paraId="26091EB9" w14:textId="08670660" w:rsidR="00B766B2" w:rsidRPr="00613923" w:rsidRDefault="005E47B7" w:rsidP="00493B69">
            <w:pPr>
              <w:spacing w:line="240" w:lineRule="auto"/>
              <w:jc w:val="center"/>
              <w:rPr>
                <w:b/>
                <w:bCs/>
                <w:sz w:val="22"/>
                <w:szCs w:val="22"/>
              </w:rPr>
            </w:pPr>
            <w:r w:rsidRPr="00613923">
              <w:rPr>
                <w:b/>
                <w:bCs/>
                <w:sz w:val="22"/>
                <w:szCs w:val="22"/>
              </w:rPr>
              <w:t>0</w:t>
            </w:r>
            <w:r w:rsidR="005B7680" w:rsidRPr="00613923">
              <w:rPr>
                <w:b/>
                <w:bCs/>
                <w:sz w:val="22"/>
                <w:szCs w:val="22"/>
              </w:rPr>
              <w:t>.83</w:t>
            </w:r>
            <w:r w:rsidR="00C64D26" w:rsidRPr="00613923">
              <w:rPr>
                <w:b/>
                <w:bCs/>
                <w:sz w:val="22"/>
                <w:szCs w:val="22"/>
              </w:rPr>
              <w:t>8</w:t>
            </w:r>
            <w:r w:rsidR="005B7680" w:rsidRPr="00613923">
              <w:rPr>
                <w:b/>
                <w:bCs/>
                <w:sz w:val="22"/>
                <w:szCs w:val="22"/>
              </w:rPr>
              <w:t>***</w:t>
            </w:r>
          </w:p>
          <w:p w14:paraId="35022194" w14:textId="5D7F89D7" w:rsidR="005B7680"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.12</w:t>
            </w:r>
            <w:r w:rsidRPr="00613923">
              <w:rPr>
                <w:b/>
                <w:bCs/>
                <w:sz w:val="22"/>
                <w:szCs w:val="22"/>
              </w:rPr>
              <w:t>5)</w:t>
            </w:r>
          </w:p>
        </w:tc>
        <w:tc>
          <w:tcPr>
            <w:tcW w:w="1311" w:type="dxa"/>
            <w:tcBorders>
              <w:top w:val="single" w:sz="4" w:space="0" w:color="auto"/>
              <w:left w:val="nil"/>
              <w:bottom w:val="single" w:sz="4" w:space="0" w:color="auto"/>
              <w:right w:val="nil"/>
            </w:tcBorders>
            <w:shd w:val="clear" w:color="auto" w:fill="auto"/>
          </w:tcPr>
          <w:p w14:paraId="70A55AB3" w14:textId="563AF789" w:rsidR="00B766B2" w:rsidRDefault="005B7680" w:rsidP="00493B69">
            <w:pPr>
              <w:spacing w:line="240" w:lineRule="auto"/>
              <w:jc w:val="center"/>
              <w:rPr>
                <w:sz w:val="22"/>
                <w:szCs w:val="22"/>
              </w:rPr>
            </w:pPr>
            <w:r w:rsidRPr="005B7680">
              <w:rPr>
                <w:sz w:val="22"/>
                <w:szCs w:val="22"/>
              </w:rPr>
              <w:t>-</w:t>
            </w:r>
            <w:r w:rsidR="002B3049">
              <w:rPr>
                <w:sz w:val="22"/>
                <w:szCs w:val="22"/>
              </w:rPr>
              <w:t>0</w:t>
            </w:r>
            <w:r w:rsidRPr="005B7680">
              <w:rPr>
                <w:sz w:val="22"/>
                <w:szCs w:val="22"/>
              </w:rPr>
              <w:t>.39</w:t>
            </w:r>
            <w:r w:rsidR="00C64D26">
              <w:rPr>
                <w:sz w:val="22"/>
                <w:szCs w:val="22"/>
              </w:rPr>
              <w:t>7</w:t>
            </w:r>
          </w:p>
          <w:p w14:paraId="2DCF0A00" w14:textId="1126FB51" w:rsidR="005B7680" w:rsidRPr="00345F36" w:rsidRDefault="002B3049" w:rsidP="00493B69">
            <w:pPr>
              <w:spacing w:line="240" w:lineRule="auto"/>
              <w:jc w:val="center"/>
              <w:rPr>
                <w:sz w:val="22"/>
                <w:szCs w:val="22"/>
              </w:rPr>
            </w:pPr>
            <w:r>
              <w:rPr>
                <w:sz w:val="22"/>
                <w:szCs w:val="22"/>
              </w:rPr>
              <w:t>(0</w:t>
            </w:r>
            <w:r w:rsidR="005B7680" w:rsidRPr="005B7680">
              <w:rPr>
                <w:sz w:val="22"/>
                <w:szCs w:val="22"/>
              </w:rPr>
              <w:t>.366</w:t>
            </w:r>
            <w:r>
              <w:rPr>
                <w:sz w:val="22"/>
                <w:szCs w:val="22"/>
              </w:rPr>
              <w:t>)</w:t>
            </w:r>
          </w:p>
        </w:tc>
        <w:tc>
          <w:tcPr>
            <w:tcW w:w="1311" w:type="dxa"/>
            <w:tcBorders>
              <w:top w:val="single" w:sz="4" w:space="0" w:color="auto"/>
              <w:left w:val="nil"/>
              <w:bottom w:val="single" w:sz="4" w:space="0" w:color="auto"/>
              <w:right w:val="nil"/>
            </w:tcBorders>
            <w:shd w:val="clear" w:color="auto" w:fill="auto"/>
          </w:tcPr>
          <w:p w14:paraId="4CFC659F" w14:textId="2DCE7BFF" w:rsidR="00B766B2" w:rsidRDefault="005B7680" w:rsidP="00493B69">
            <w:pPr>
              <w:spacing w:line="240" w:lineRule="auto"/>
              <w:jc w:val="center"/>
              <w:rPr>
                <w:sz w:val="22"/>
                <w:szCs w:val="22"/>
              </w:rPr>
            </w:pPr>
            <w:r w:rsidRPr="005B7680">
              <w:rPr>
                <w:sz w:val="22"/>
                <w:szCs w:val="22"/>
              </w:rPr>
              <w:t>-</w:t>
            </w:r>
            <w:r w:rsidR="002B3049">
              <w:rPr>
                <w:sz w:val="22"/>
                <w:szCs w:val="22"/>
              </w:rPr>
              <w:t>0</w:t>
            </w:r>
            <w:r w:rsidRPr="005B7680">
              <w:rPr>
                <w:sz w:val="22"/>
                <w:szCs w:val="22"/>
              </w:rPr>
              <w:t>.409</w:t>
            </w:r>
          </w:p>
          <w:p w14:paraId="7ABF76AA" w14:textId="3EB9E783" w:rsidR="005B7680" w:rsidRPr="00345F36" w:rsidRDefault="002B3049" w:rsidP="00493B69">
            <w:pPr>
              <w:spacing w:line="240" w:lineRule="auto"/>
              <w:jc w:val="center"/>
              <w:rPr>
                <w:sz w:val="22"/>
                <w:szCs w:val="22"/>
              </w:rPr>
            </w:pPr>
            <w:r>
              <w:rPr>
                <w:sz w:val="22"/>
                <w:szCs w:val="22"/>
              </w:rPr>
              <w:t>(0</w:t>
            </w:r>
            <w:r w:rsidR="005B7680" w:rsidRPr="005B7680">
              <w:rPr>
                <w:sz w:val="22"/>
                <w:szCs w:val="22"/>
              </w:rPr>
              <w:t>.326</w:t>
            </w:r>
            <w:r>
              <w:rPr>
                <w:sz w:val="22"/>
                <w:szCs w:val="22"/>
              </w:rPr>
              <w:t>)</w:t>
            </w:r>
          </w:p>
        </w:tc>
        <w:tc>
          <w:tcPr>
            <w:tcW w:w="1312" w:type="dxa"/>
            <w:tcBorders>
              <w:top w:val="single" w:sz="4" w:space="0" w:color="auto"/>
              <w:left w:val="nil"/>
              <w:bottom w:val="single" w:sz="4" w:space="0" w:color="auto"/>
              <w:right w:val="nil"/>
            </w:tcBorders>
            <w:shd w:val="clear" w:color="auto" w:fill="auto"/>
          </w:tcPr>
          <w:p w14:paraId="24544894" w14:textId="0EBE1871" w:rsidR="00B766B2" w:rsidRPr="00613923" w:rsidRDefault="005B7680" w:rsidP="00493B69">
            <w:pPr>
              <w:spacing w:line="240" w:lineRule="auto"/>
              <w:jc w:val="center"/>
              <w:rPr>
                <w:b/>
                <w:bCs/>
                <w:sz w:val="22"/>
                <w:szCs w:val="22"/>
              </w:rPr>
            </w:pPr>
            <w:r w:rsidRPr="00613923">
              <w:rPr>
                <w:b/>
                <w:bCs/>
                <w:sz w:val="22"/>
                <w:szCs w:val="22"/>
              </w:rPr>
              <w:t>-1.12</w:t>
            </w:r>
            <w:r w:rsidR="00C64D26" w:rsidRPr="00613923">
              <w:rPr>
                <w:b/>
                <w:bCs/>
                <w:sz w:val="22"/>
                <w:szCs w:val="22"/>
              </w:rPr>
              <w:t>8</w:t>
            </w:r>
            <w:r w:rsidRPr="00613923">
              <w:rPr>
                <w:b/>
                <w:bCs/>
                <w:sz w:val="22"/>
                <w:szCs w:val="22"/>
              </w:rPr>
              <w:t>***</w:t>
            </w:r>
          </w:p>
          <w:p w14:paraId="2F6DF3CB" w14:textId="54A8B389" w:rsidR="005B7680"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.194</w:t>
            </w:r>
            <w:r w:rsidRPr="00613923">
              <w:rPr>
                <w:b/>
                <w:bCs/>
                <w:sz w:val="22"/>
                <w:szCs w:val="22"/>
              </w:rPr>
              <w:t>)</w:t>
            </w:r>
          </w:p>
        </w:tc>
        <w:tc>
          <w:tcPr>
            <w:tcW w:w="1228" w:type="dxa"/>
            <w:tcBorders>
              <w:top w:val="single" w:sz="4" w:space="0" w:color="auto"/>
              <w:left w:val="nil"/>
              <w:bottom w:val="single" w:sz="4" w:space="0" w:color="auto"/>
              <w:right w:val="nil"/>
            </w:tcBorders>
          </w:tcPr>
          <w:p w14:paraId="0AFF6C55" w14:textId="3A49B3AE" w:rsidR="002221B1"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.071***</w:t>
            </w:r>
          </w:p>
          <w:p w14:paraId="73E0A8AE" w14:textId="3EAFFBAF" w:rsidR="005B7680"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.00</w:t>
            </w:r>
            <w:r w:rsidRPr="00613923">
              <w:rPr>
                <w:b/>
                <w:bCs/>
                <w:sz w:val="22"/>
                <w:szCs w:val="22"/>
              </w:rPr>
              <w:t>8)</w:t>
            </w:r>
          </w:p>
        </w:tc>
        <w:tc>
          <w:tcPr>
            <w:tcW w:w="1229" w:type="dxa"/>
            <w:gridSpan w:val="2"/>
            <w:tcBorders>
              <w:top w:val="single" w:sz="4" w:space="0" w:color="auto"/>
              <w:left w:val="nil"/>
              <w:bottom w:val="single" w:sz="4" w:space="0" w:color="auto"/>
              <w:right w:val="nil"/>
            </w:tcBorders>
            <w:vAlign w:val="center"/>
          </w:tcPr>
          <w:p w14:paraId="58EB959E" w14:textId="05C5E8A3" w:rsidR="005B7680" w:rsidRPr="00345F36" w:rsidRDefault="005B7680" w:rsidP="002B3049">
            <w:pPr>
              <w:spacing w:line="240" w:lineRule="auto"/>
              <w:jc w:val="center"/>
              <w:rPr>
                <w:sz w:val="22"/>
                <w:szCs w:val="22"/>
              </w:rPr>
            </w:pPr>
            <w:r w:rsidRPr="005B7680">
              <w:rPr>
                <w:sz w:val="22"/>
                <w:szCs w:val="22"/>
              </w:rPr>
              <w:t>1.68</w:t>
            </w:r>
          </w:p>
        </w:tc>
        <w:tc>
          <w:tcPr>
            <w:tcW w:w="1229" w:type="dxa"/>
            <w:tcBorders>
              <w:top w:val="single" w:sz="4" w:space="0" w:color="auto"/>
              <w:left w:val="nil"/>
              <w:bottom w:val="single" w:sz="4" w:space="0" w:color="auto"/>
              <w:right w:val="nil"/>
            </w:tcBorders>
            <w:vAlign w:val="center"/>
          </w:tcPr>
          <w:p w14:paraId="26734F30" w14:textId="64E5085A" w:rsidR="00B766B2" w:rsidRDefault="005B7680" w:rsidP="00493B69">
            <w:pPr>
              <w:spacing w:line="240" w:lineRule="auto"/>
              <w:jc w:val="center"/>
              <w:rPr>
                <w:sz w:val="22"/>
                <w:szCs w:val="22"/>
              </w:rPr>
            </w:pPr>
            <w:r w:rsidRPr="005B7680">
              <w:rPr>
                <w:sz w:val="22"/>
                <w:szCs w:val="22"/>
              </w:rPr>
              <w:t>0.920</w:t>
            </w:r>
          </w:p>
        </w:tc>
      </w:tr>
      <w:tr w:rsidR="00B766B2" w:rsidRPr="00345F36" w14:paraId="41E0DCF4" w14:textId="30B1A780" w:rsidTr="002B3049">
        <w:trPr>
          <w:trHeight w:val="788"/>
        </w:trPr>
        <w:tc>
          <w:tcPr>
            <w:tcW w:w="1985" w:type="dxa"/>
            <w:tcBorders>
              <w:top w:val="single" w:sz="4" w:space="0" w:color="auto"/>
              <w:left w:val="nil"/>
              <w:bottom w:val="single" w:sz="4" w:space="0" w:color="auto"/>
              <w:right w:val="nil"/>
            </w:tcBorders>
          </w:tcPr>
          <w:p w14:paraId="7408F94C" w14:textId="2334532E" w:rsidR="00B766B2" w:rsidRPr="00345F36" w:rsidRDefault="00B766B2"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3,</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shd w:val="clear" w:color="auto" w:fill="auto"/>
          </w:tcPr>
          <w:p w14:paraId="1750E0AF" w14:textId="736C42C6" w:rsidR="00B766B2" w:rsidRPr="00613923" w:rsidRDefault="005E47B7" w:rsidP="00493B69">
            <w:pPr>
              <w:spacing w:line="240" w:lineRule="auto"/>
              <w:jc w:val="center"/>
              <w:rPr>
                <w:b/>
                <w:bCs/>
                <w:sz w:val="22"/>
                <w:szCs w:val="22"/>
              </w:rPr>
            </w:pPr>
            <w:r w:rsidRPr="00613923">
              <w:rPr>
                <w:b/>
                <w:bCs/>
                <w:sz w:val="22"/>
                <w:szCs w:val="22"/>
              </w:rPr>
              <w:t>0</w:t>
            </w:r>
            <w:r w:rsidR="005B7680" w:rsidRPr="00613923">
              <w:rPr>
                <w:b/>
                <w:bCs/>
                <w:sz w:val="22"/>
                <w:szCs w:val="22"/>
              </w:rPr>
              <w:t xml:space="preserve">.971***   </w:t>
            </w:r>
            <w:r w:rsidR="002B3049" w:rsidRPr="00613923">
              <w:rPr>
                <w:b/>
                <w:bCs/>
                <w:sz w:val="22"/>
                <w:szCs w:val="22"/>
              </w:rPr>
              <w:t>(0</w:t>
            </w:r>
            <w:r w:rsidR="005B7680" w:rsidRPr="00613923">
              <w:rPr>
                <w:b/>
                <w:bCs/>
                <w:sz w:val="22"/>
                <w:szCs w:val="22"/>
              </w:rPr>
              <w:t>.12</w:t>
            </w:r>
            <w:r w:rsidR="002B3049" w:rsidRPr="00613923">
              <w:rPr>
                <w:b/>
                <w:bCs/>
                <w:sz w:val="22"/>
                <w:szCs w:val="22"/>
              </w:rPr>
              <w:t>1)</w:t>
            </w:r>
          </w:p>
        </w:tc>
        <w:tc>
          <w:tcPr>
            <w:tcW w:w="1311" w:type="dxa"/>
            <w:tcBorders>
              <w:top w:val="single" w:sz="4" w:space="0" w:color="auto"/>
              <w:left w:val="nil"/>
              <w:bottom w:val="single" w:sz="4" w:space="0" w:color="auto"/>
              <w:right w:val="nil"/>
            </w:tcBorders>
            <w:shd w:val="clear" w:color="auto" w:fill="auto"/>
          </w:tcPr>
          <w:p w14:paraId="3C035B7E" w14:textId="77777777" w:rsidR="002B3049" w:rsidRDefault="002B3049" w:rsidP="002B3049">
            <w:pPr>
              <w:spacing w:line="240" w:lineRule="auto"/>
              <w:jc w:val="center"/>
              <w:rPr>
                <w:sz w:val="22"/>
                <w:szCs w:val="22"/>
              </w:rPr>
            </w:pPr>
            <w:r>
              <w:rPr>
                <w:sz w:val="22"/>
                <w:szCs w:val="22"/>
              </w:rPr>
              <w:t>0</w:t>
            </w:r>
            <w:r w:rsidR="005B7680" w:rsidRPr="005B7680">
              <w:rPr>
                <w:sz w:val="22"/>
                <w:szCs w:val="22"/>
              </w:rPr>
              <w:t>.06</w:t>
            </w:r>
            <w:r w:rsidR="00C64D26">
              <w:rPr>
                <w:sz w:val="22"/>
                <w:szCs w:val="22"/>
              </w:rPr>
              <w:t>9</w:t>
            </w:r>
          </w:p>
          <w:p w14:paraId="14C847A8" w14:textId="36E5C725" w:rsidR="00B766B2" w:rsidRPr="00345F36" w:rsidRDefault="002B3049" w:rsidP="002B3049">
            <w:pPr>
              <w:spacing w:line="240" w:lineRule="auto"/>
              <w:jc w:val="center"/>
              <w:rPr>
                <w:sz w:val="22"/>
                <w:szCs w:val="22"/>
              </w:rPr>
            </w:pPr>
            <w:r>
              <w:rPr>
                <w:sz w:val="22"/>
                <w:szCs w:val="22"/>
              </w:rPr>
              <w:t>(0</w:t>
            </w:r>
            <w:r w:rsidR="005B7680" w:rsidRPr="005B7680">
              <w:rPr>
                <w:sz w:val="22"/>
                <w:szCs w:val="22"/>
              </w:rPr>
              <w:t>.</w:t>
            </w:r>
            <w:r>
              <w:rPr>
                <w:sz w:val="22"/>
                <w:szCs w:val="22"/>
              </w:rPr>
              <w:t>400)</w:t>
            </w:r>
          </w:p>
        </w:tc>
        <w:tc>
          <w:tcPr>
            <w:tcW w:w="1311" w:type="dxa"/>
            <w:tcBorders>
              <w:top w:val="single" w:sz="4" w:space="0" w:color="auto"/>
              <w:left w:val="nil"/>
              <w:bottom w:val="single" w:sz="4" w:space="0" w:color="auto"/>
              <w:right w:val="nil"/>
            </w:tcBorders>
            <w:shd w:val="clear" w:color="auto" w:fill="auto"/>
          </w:tcPr>
          <w:p w14:paraId="6271C6B4" w14:textId="1FC1F5DF" w:rsidR="00B766B2" w:rsidRPr="00345F36" w:rsidRDefault="005B7680" w:rsidP="00493B69">
            <w:pPr>
              <w:spacing w:line="240" w:lineRule="auto"/>
              <w:jc w:val="center"/>
              <w:rPr>
                <w:sz w:val="22"/>
                <w:szCs w:val="22"/>
              </w:rPr>
            </w:pPr>
            <w:r w:rsidRPr="005B7680">
              <w:rPr>
                <w:sz w:val="22"/>
                <w:szCs w:val="22"/>
              </w:rPr>
              <w:t>-</w:t>
            </w:r>
            <w:r w:rsidR="002B3049">
              <w:rPr>
                <w:sz w:val="22"/>
                <w:szCs w:val="22"/>
              </w:rPr>
              <w:t>0</w:t>
            </w:r>
            <w:r w:rsidRPr="005B7680">
              <w:rPr>
                <w:sz w:val="22"/>
                <w:szCs w:val="22"/>
              </w:rPr>
              <w:t>.748</w:t>
            </w:r>
            <w:r>
              <w:rPr>
                <w:sz w:val="22"/>
                <w:szCs w:val="22"/>
              </w:rPr>
              <w:t>*</w:t>
            </w:r>
            <w:r w:rsidRPr="005B7680">
              <w:rPr>
                <w:sz w:val="22"/>
                <w:szCs w:val="22"/>
              </w:rPr>
              <w:t xml:space="preserve">   </w:t>
            </w:r>
            <w:r w:rsidR="002B3049">
              <w:rPr>
                <w:sz w:val="22"/>
                <w:szCs w:val="22"/>
              </w:rPr>
              <w:t>(0</w:t>
            </w:r>
            <w:r w:rsidRPr="005B7680">
              <w:rPr>
                <w:sz w:val="22"/>
                <w:szCs w:val="22"/>
              </w:rPr>
              <w:t>.35</w:t>
            </w:r>
            <w:r w:rsidR="002B3049">
              <w:rPr>
                <w:sz w:val="22"/>
                <w:szCs w:val="22"/>
              </w:rPr>
              <w:t>6)</w:t>
            </w:r>
          </w:p>
        </w:tc>
        <w:tc>
          <w:tcPr>
            <w:tcW w:w="1312" w:type="dxa"/>
            <w:tcBorders>
              <w:top w:val="single" w:sz="4" w:space="0" w:color="auto"/>
              <w:left w:val="nil"/>
              <w:bottom w:val="single" w:sz="4" w:space="0" w:color="auto"/>
              <w:right w:val="nil"/>
            </w:tcBorders>
            <w:shd w:val="clear" w:color="auto" w:fill="auto"/>
          </w:tcPr>
          <w:p w14:paraId="198CCDEE" w14:textId="41795851" w:rsidR="00B766B2" w:rsidRPr="00613923" w:rsidRDefault="005B7680" w:rsidP="00493B69">
            <w:pPr>
              <w:spacing w:line="240" w:lineRule="auto"/>
              <w:jc w:val="center"/>
              <w:rPr>
                <w:b/>
                <w:bCs/>
                <w:sz w:val="22"/>
                <w:szCs w:val="22"/>
              </w:rPr>
            </w:pPr>
            <w:r w:rsidRPr="00613923">
              <w:rPr>
                <w:b/>
                <w:bCs/>
                <w:sz w:val="22"/>
                <w:szCs w:val="22"/>
              </w:rPr>
              <w:t>-1.12</w:t>
            </w:r>
            <w:r w:rsidR="00C64D26" w:rsidRPr="00613923">
              <w:rPr>
                <w:b/>
                <w:bCs/>
                <w:sz w:val="22"/>
                <w:szCs w:val="22"/>
              </w:rPr>
              <w:t>5</w:t>
            </w:r>
            <w:r w:rsidRPr="00613923">
              <w:rPr>
                <w:b/>
                <w:bCs/>
                <w:sz w:val="22"/>
                <w:szCs w:val="22"/>
              </w:rPr>
              <w:t xml:space="preserve">***   </w:t>
            </w:r>
            <w:r w:rsidR="002B3049" w:rsidRPr="00613923">
              <w:rPr>
                <w:b/>
                <w:bCs/>
                <w:sz w:val="22"/>
                <w:szCs w:val="22"/>
              </w:rPr>
              <w:t>(0</w:t>
            </w:r>
            <w:r w:rsidRPr="00613923">
              <w:rPr>
                <w:b/>
                <w:bCs/>
                <w:sz w:val="22"/>
                <w:szCs w:val="22"/>
              </w:rPr>
              <w:t>.233</w:t>
            </w:r>
            <w:r w:rsidR="002B3049" w:rsidRPr="00613923">
              <w:rPr>
                <w:b/>
                <w:bCs/>
                <w:sz w:val="22"/>
                <w:szCs w:val="22"/>
              </w:rPr>
              <w:t>)</w:t>
            </w:r>
          </w:p>
        </w:tc>
        <w:tc>
          <w:tcPr>
            <w:tcW w:w="1228" w:type="dxa"/>
            <w:tcBorders>
              <w:top w:val="single" w:sz="4" w:space="0" w:color="auto"/>
              <w:left w:val="nil"/>
              <w:bottom w:val="single" w:sz="4" w:space="0" w:color="auto"/>
              <w:right w:val="nil"/>
            </w:tcBorders>
          </w:tcPr>
          <w:p w14:paraId="705465E9" w14:textId="5F588617" w:rsidR="002221B1"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 xml:space="preserve">.062***   </w:t>
            </w:r>
            <w:r w:rsidRPr="00613923">
              <w:rPr>
                <w:b/>
                <w:bCs/>
                <w:sz w:val="22"/>
                <w:szCs w:val="22"/>
              </w:rPr>
              <w:t>(0</w:t>
            </w:r>
            <w:r w:rsidR="005B7680" w:rsidRPr="00613923">
              <w:rPr>
                <w:b/>
                <w:bCs/>
                <w:sz w:val="22"/>
                <w:szCs w:val="22"/>
              </w:rPr>
              <w:t>.0</w:t>
            </w:r>
            <w:r w:rsidRPr="00613923">
              <w:rPr>
                <w:b/>
                <w:bCs/>
                <w:sz w:val="22"/>
                <w:szCs w:val="22"/>
              </w:rPr>
              <w:t>10)</w:t>
            </w:r>
          </w:p>
        </w:tc>
        <w:tc>
          <w:tcPr>
            <w:tcW w:w="1229" w:type="dxa"/>
            <w:gridSpan w:val="2"/>
            <w:tcBorders>
              <w:top w:val="single" w:sz="4" w:space="0" w:color="auto"/>
              <w:left w:val="nil"/>
              <w:bottom w:val="single" w:sz="4" w:space="0" w:color="auto"/>
              <w:right w:val="nil"/>
            </w:tcBorders>
            <w:vAlign w:val="center"/>
          </w:tcPr>
          <w:p w14:paraId="4FF014B5" w14:textId="147A78E1" w:rsidR="005B7680" w:rsidRPr="00345F36" w:rsidRDefault="005B7680" w:rsidP="002B3049">
            <w:pPr>
              <w:spacing w:line="240" w:lineRule="auto"/>
              <w:jc w:val="center"/>
              <w:rPr>
                <w:sz w:val="22"/>
                <w:szCs w:val="22"/>
              </w:rPr>
            </w:pPr>
            <w:r w:rsidRPr="005B7680">
              <w:rPr>
                <w:sz w:val="22"/>
                <w:szCs w:val="22"/>
              </w:rPr>
              <w:t>0.06</w:t>
            </w:r>
          </w:p>
        </w:tc>
        <w:tc>
          <w:tcPr>
            <w:tcW w:w="1229" w:type="dxa"/>
            <w:tcBorders>
              <w:top w:val="single" w:sz="4" w:space="0" w:color="auto"/>
              <w:left w:val="nil"/>
              <w:bottom w:val="single" w:sz="4" w:space="0" w:color="auto"/>
              <w:right w:val="nil"/>
            </w:tcBorders>
            <w:vAlign w:val="center"/>
          </w:tcPr>
          <w:p w14:paraId="2A73A2C8" w14:textId="0E87C952" w:rsidR="00B766B2" w:rsidRDefault="005B7680" w:rsidP="00493B69">
            <w:pPr>
              <w:spacing w:line="240" w:lineRule="auto"/>
              <w:jc w:val="center"/>
              <w:rPr>
                <w:sz w:val="22"/>
                <w:szCs w:val="22"/>
              </w:rPr>
            </w:pPr>
            <w:r w:rsidRPr="005B7680">
              <w:rPr>
                <w:sz w:val="22"/>
                <w:szCs w:val="22"/>
              </w:rPr>
              <w:t>0.9115</w:t>
            </w:r>
          </w:p>
        </w:tc>
      </w:tr>
      <w:tr w:rsidR="00B766B2" w:rsidRPr="00345F36" w14:paraId="5D3CE002" w14:textId="31389EDC" w:rsidTr="002B3049">
        <w:trPr>
          <w:trHeight w:val="788"/>
        </w:trPr>
        <w:tc>
          <w:tcPr>
            <w:tcW w:w="1985" w:type="dxa"/>
            <w:tcBorders>
              <w:top w:val="single" w:sz="4" w:space="0" w:color="auto"/>
              <w:left w:val="nil"/>
              <w:bottom w:val="single" w:sz="4" w:space="0" w:color="auto"/>
              <w:right w:val="nil"/>
            </w:tcBorders>
          </w:tcPr>
          <w:p w14:paraId="6A895641" w14:textId="193739DD" w:rsidR="00B766B2" w:rsidRPr="00345F36" w:rsidRDefault="00B766B2" w:rsidP="00147CE7">
            <w:pPr>
              <w:spacing w:line="240" w:lineRule="auto"/>
              <w:jc w:val="both"/>
              <w:rPr>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4,</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shd w:val="clear" w:color="auto" w:fill="auto"/>
          </w:tcPr>
          <w:p w14:paraId="31BEDEBF" w14:textId="0C2D9BE5" w:rsidR="00B766B2" w:rsidRPr="00613923" w:rsidRDefault="005B7680" w:rsidP="00493B69">
            <w:pPr>
              <w:spacing w:line="240" w:lineRule="auto"/>
              <w:jc w:val="center"/>
              <w:rPr>
                <w:b/>
                <w:bCs/>
                <w:sz w:val="22"/>
                <w:szCs w:val="22"/>
              </w:rPr>
            </w:pPr>
            <w:r w:rsidRPr="00613923">
              <w:rPr>
                <w:b/>
                <w:bCs/>
                <w:sz w:val="22"/>
                <w:szCs w:val="22"/>
              </w:rPr>
              <w:t>1.02</w:t>
            </w:r>
            <w:r w:rsidR="00C64D26" w:rsidRPr="00613923">
              <w:rPr>
                <w:b/>
                <w:bCs/>
                <w:sz w:val="22"/>
                <w:szCs w:val="22"/>
              </w:rPr>
              <w:t>2***</w:t>
            </w:r>
            <w:r w:rsidRPr="00613923">
              <w:rPr>
                <w:b/>
                <w:bCs/>
                <w:sz w:val="22"/>
                <w:szCs w:val="22"/>
              </w:rPr>
              <w:t xml:space="preserve">   </w:t>
            </w:r>
            <w:r w:rsidR="002B3049" w:rsidRPr="00613923">
              <w:rPr>
                <w:b/>
                <w:bCs/>
                <w:sz w:val="22"/>
                <w:szCs w:val="22"/>
              </w:rPr>
              <w:t>(0</w:t>
            </w:r>
            <w:r w:rsidRPr="00613923">
              <w:rPr>
                <w:b/>
                <w:bCs/>
                <w:sz w:val="22"/>
                <w:szCs w:val="22"/>
              </w:rPr>
              <w:t>.14</w:t>
            </w:r>
            <w:r w:rsidR="002B3049" w:rsidRPr="00613923">
              <w:rPr>
                <w:b/>
                <w:bCs/>
                <w:sz w:val="22"/>
                <w:szCs w:val="22"/>
              </w:rPr>
              <w:t>1)</w:t>
            </w:r>
          </w:p>
        </w:tc>
        <w:tc>
          <w:tcPr>
            <w:tcW w:w="1311" w:type="dxa"/>
            <w:tcBorders>
              <w:top w:val="single" w:sz="4" w:space="0" w:color="auto"/>
              <w:left w:val="nil"/>
              <w:bottom w:val="single" w:sz="4" w:space="0" w:color="auto"/>
              <w:right w:val="nil"/>
            </w:tcBorders>
            <w:shd w:val="clear" w:color="auto" w:fill="auto"/>
          </w:tcPr>
          <w:p w14:paraId="682B848C" w14:textId="4E1ED403" w:rsidR="002B3049" w:rsidRDefault="002B3049" w:rsidP="00493B69">
            <w:pPr>
              <w:spacing w:line="240" w:lineRule="auto"/>
              <w:jc w:val="center"/>
              <w:rPr>
                <w:sz w:val="22"/>
                <w:szCs w:val="22"/>
              </w:rPr>
            </w:pPr>
            <w:r>
              <w:rPr>
                <w:sz w:val="22"/>
                <w:szCs w:val="22"/>
              </w:rPr>
              <w:t>0</w:t>
            </w:r>
            <w:r w:rsidR="005B7680" w:rsidRPr="005B7680">
              <w:rPr>
                <w:sz w:val="22"/>
                <w:szCs w:val="22"/>
              </w:rPr>
              <w:t>.197</w:t>
            </w:r>
          </w:p>
          <w:p w14:paraId="027404C8" w14:textId="0FB8502F" w:rsidR="00B766B2" w:rsidRPr="00345F36" w:rsidRDefault="002B3049" w:rsidP="00493B69">
            <w:pPr>
              <w:spacing w:line="240" w:lineRule="auto"/>
              <w:jc w:val="center"/>
              <w:rPr>
                <w:sz w:val="22"/>
                <w:szCs w:val="22"/>
              </w:rPr>
            </w:pPr>
            <w:r>
              <w:rPr>
                <w:sz w:val="22"/>
                <w:szCs w:val="22"/>
              </w:rPr>
              <w:t>(0</w:t>
            </w:r>
            <w:r w:rsidR="005B7680" w:rsidRPr="005B7680">
              <w:rPr>
                <w:sz w:val="22"/>
                <w:szCs w:val="22"/>
              </w:rPr>
              <w:t>.47</w:t>
            </w:r>
            <w:r>
              <w:rPr>
                <w:sz w:val="22"/>
                <w:szCs w:val="22"/>
              </w:rPr>
              <w:t>4)</w:t>
            </w:r>
          </w:p>
        </w:tc>
        <w:tc>
          <w:tcPr>
            <w:tcW w:w="1311" w:type="dxa"/>
            <w:tcBorders>
              <w:top w:val="single" w:sz="4" w:space="0" w:color="auto"/>
              <w:left w:val="nil"/>
              <w:bottom w:val="single" w:sz="4" w:space="0" w:color="auto"/>
              <w:right w:val="nil"/>
            </w:tcBorders>
            <w:shd w:val="clear" w:color="auto" w:fill="auto"/>
          </w:tcPr>
          <w:p w14:paraId="37E81365" w14:textId="73FFAF5C" w:rsidR="00B766B2" w:rsidRPr="00345F36" w:rsidRDefault="005B7680" w:rsidP="00493B69">
            <w:pPr>
              <w:spacing w:line="240" w:lineRule="auto"/>
              <w:jc w:val="center"/>
              <w:rPr>
                <w:sz w:val="22"/>
                <w:szCs w:val="22"/>
              </w:rPr>
            </w:pPr>
            <w:r w:rsidRPr="005B7680">
              <w:rPr>
                <w:sz w:val="22"/>
                <w:szCs w:val="22"/>
              </w:rPr>
              <w:t>-</w:t>
            </w:r>
            <w:r w:rsidR="002B3049">
              <w:rPr>
                <w:sz w:val="22"/>
                <w:szCs w:val="22"/>
              </w:rPr>
              <w:t>0</w:t>
            </w:r>
            <w:r w:rsidRPr="005B7680">
              <w:rPr>
                <w:sz w:val="22"/>
                <w:szCs w:val="22"/>
              </w:rPr>
              <w:t>.81</w:t>
            </w:r>
            <w:r w:rsidR="00C64D26">
              <w:rPr>
                <w:sz w:val="22"/>
                <w:szCs w:val="22"/>
              </w:rPr>
              <w:t>5*</w:t>
            </w:r>
            <w:r w:rsidRPr="005B7680">
              <w:rPr>
                <w:sz w:val="22"/>
                <w:szCs w:val="22"/>
              </w:rPr>
              <w:t xml:space="preserve">   </w:t>
            </w:r>
            <w:r w:rsidR="002B3049">
              <w:rPr>
                <w:sz w:val="22"/>
                <w:szCs w:val="22"/>
              </w:rPr>
              <w:t>(0</w:t>
            </w:r>
            <w:r w:rsidRPr="005B7680">
              <w:rPr>
                <w:sz w:val="22"/>
                <w:szCs w:val="22"/>
              </w:rPr>
              <w:t>.42</w:t>
            </w:r>
            <w:r w:rsidR="002B3049">
              <w:rPr>
                <w:sz w:val="22"/>
                <w:szCs w:val="22"/>
              </w:rPr>
              <w:t>3)</w:t>
            </w:r>
          </w:p>
        </w:tc>
        <w:tc>
          <w:tcPr>
            <w:tcW w:w="1312" w:type="dxa"/>
            <w:tcBorders>
              <w:top w:val="single" w:sz="4" w:space="0" w:color="auto"/>
              <w:left w:val="nil"/>
              <w:bottom w:val="single" w:sz="4" w:space="0" w:color="auto"/>
              <w:right w:val="nil"/>
            </w:tcBorders>
            <w:shd w:val="clear" w:color="auto" w:fill="auto"/>
          </w:tcPr>
          <w:p w14:paraId="2181AF53" w14:textId="0D37CAD1" w:rsidR="00B766B2" w:rsidRPr="00613923" w:rsidRDefault="005B7680" w:rsidP="00493B69">
            <w:pPr>
              <w:spacing w:line="240" w:lineRule="auto"/>
              <w:jc w:val="center"/>
              <w:rPr>
                <w:b/>
                <w:bCs/>
                <w:sz w:val="22"/>
                <w:szCs w:val="22"/>
              </w:rPr>
            </w:pPr>
            <w:r w:rsidRPr="00613923">
              <w:rPr>
                <w:b/>
                <w:bCs/>
                <w:sz w:val="22"/>
                <w:szCs w:val="22"/>
              </w:rPr>
              <w:t>-1.05</w:t>
            </w:r>
            <w:r w:rsidR="00C64D26" w:rsidRPr="00613923">
              <w:rPr>
                <w:b/>
                <w:bCs/>
                <w:sz w:val="22"/>
                <w:szCs w:val="22"/>
              </w:rPr>
              <w:t>2***</w:t>
            </w:r>
            <w:r w:rsidRPr="00613923">
              <w:rPr>
                <w:b/>
                <w:bCs/>
                <w:sz w:val="22"/>
                <w:szCs w:val="22"/>
              </w:rPr>
              <w:t xml:space="preserve">   </w:t>
            </w:r>
            <w:r w:rsidR="002B3049" w:rsidRPr="00613923">
              <w:rPr>
                <w:b/>
                <w:bCs/>
                <w:sz w:val="22"/>
                <w:szCs w:val="22"/>
              </w:rPr>
              <w:t>(0</w:t>
            </w:r>
            <w:r w:rsidRPr="00613923">
              <w:rPr>
                <w:b/>
                <w:bCs/>
                <w:sz w:val="22"/>
                <w:szCs w:val="22"/>
              </w:rPr>
              <w:t>.26</w:t>
            </w:r>
            <w:r w:rsidR="002B3049" w:rsidRPr="00613923">
              <w:rPr>
                <w:b/>
                <w:bCs/>
                <w:sz w:val="22"/>
                <w:szCs w:val="22"/>
              </w:rPr>
              <w:t>7)</w:t>
            </w:r>
          </w:p>
        </w:tc>
        <w:tc>
          <w:tcPr>
            <w:tcW w:w="1228" w:type="dxa"/>
            <w:tcBorders>
              <w:top w:val="single" w:sz="4" w:space="0" w:color="auto"/>
              <w:left w:val="nil"/>
              <w:bottom w:val="single" w:sz="4" w:space="0" w:color="auto"/>
              <w:right w:val="nil"/>
            </w:tcBorders>
          </w:tcPr>
          <w:p w14:paraId="2E78313B" w14:textId="574D1AFC" w:rsidR="002221B1" w:rsidRPr="00613923" w:rsidRDefault="002B3049" w:rsidP="00493B69">
            <w:pPr>
              <w:spacing w:line="240" w:lineRule="auto"/>
              <w:jc w:val="center"/>
              <w:rPr>
                <w:b/>
                <w:bCs/>
                <w:sz w:val="22"/>
                <w:szCs w:val="22"/>
              </w:rPr>
            </w:pPr>
            <w:r w:rsidRPr="00613923">
              <w:rPr>
                <w:b/>
                <w:bCs/>
                <w:sz w:val="22"/>
                <w:szCs w:val="22"/>
              </w:rPr>
              <w:t>0</w:t>
            </w:r>
            <w:r w:rsidR="005B7680" w:rsidRPr="00613923">
              <w:rPr>
                <w:b/>
                <w:bCs/>
                <w:sz w:val="22"/>
                <w:szCs w:val="22"/>
              </w:rPr>
              <w:t>.056</w:t>
            </w:r>
            <w:r w:rsidR="00C64D26" w:rsidRPr="00613923">
              <w:rPr>
                <w:b/>
                <w:bCs/>
                <w:sz w:val="22"/>
                <w:szCs w:val="22"/>
              </w:rPr>
              <w:t>***</w:t>
            </w:r>
            <w:r w:rsidR="005B7680" w:rsidRPr="00613923">
              <w:rPr>
                <w:b/>
                <w:bCs/>
                <w:sz w:val="22"/>
                <w:szCs w:val="22"/>
              </w:rPr>
              <w:t xml:space="preserve">   </w:t>
            </w:r>
            <w:r w:rsidRPr="00613923">
              <w:rPr>
                <w:b/>
                <w:bCs/>
                <w:sz w:val="22"/>
                <w:szCs w:val="22"/>
              </w:rPr>
              <w:t>(0</w:t>
            </w:r>
            <w:r w:rsidR="005B7680" w:rsidRPr="00613923">
              <w:rPr>
                <w:b/>
                <w:bCs/>
                <w:sz w:val="22"/>
                <w:szCs w:val="22"/>
              </w:rPr>
              <w:t>.011</w:t>
            </w:r>
            <w:r w:rsidRPr="00613923">
              <w:rPr>
                <w:b/>
                <w:bCs/>
                <w:sz w:val="22"/>
                <w:szCs w:val="22"/>
              </w:rPr>
              <w:t>)</w:t>
            </w:r>
          </w:p>
        </w:tc>
        <w:tc>
          <w:tcPr>
            <w:tcW w:w="1229" w:type="dxa"/>
            <w:gridSpan w:val="2"/>
            <w:tcBorders>
              <w:top w:val="single" w:sz="4" w:space="0" w:color="auto"/>
              <w:left w:val="nil"/>
              <w:bottom w:val="single" w:sz="4" w:space="0" w:color="auto"/>
              <w:right w:val="nil"/>
            </w:tcBorders>
            <w:vAlign w:val="center"/>
          </w:tcPr>
          <w:p w14:paraId="54E5CD45" w14:textId="397C040A" w:rsidR="005B7680" w:rsidRPr="00345F36" w:rsidRDefault="005B7680" w:rsidP="002B3049">
            <w:pPr>
              <w:spacing w:line="240" w:lineRule="auto"/>
              <w:jc w:val="center"/>
              <w:rPr>
                <w:sz w:val="22"/>
                <w:szCs w:val="22"/>
              </w:rPr>
            </w:pPr>
            <w:r w:rsidRPr="005B7680">
              <w:rPr>
                <w:sz w:val="22"/>
                <w:szCs w:val="22"/>
              </w:rPr>
              <w:t>0.02</w:t>
            </w:r>
          </w:p>
        </w:tc>
        <w:tc>
          <w:tcPr>
            <w:tcW w:w="1229" w:type="dxa"/>
            <w:tcBorders>
              <w:top w:val="single" w:sz="4" w:space="0" w:color="auto"/>
              <w:left w:val="nil"/>
              <w:bottom w:val="single" w:sz="4" w:space="0" w:color="auto"/>
              <w:right w:val="nil"/>
            </w:tcBorders>
            <w:vAlign w:val="center"/>
          </w:tcPr>
          <w:p w14:paraId="64332D58" w14:textId="0926D93B" w:rsidR="00B766B2" w:rsidRDefault="005B7680" w:rsidP="00493B69">
            <w:pPr>
              <w:spacing w:line="240" w:lineRule="auto"/>
              <w:jc w:val="center"/>
              <w:rPr>
                <w:sz w:val="22"/>
                <w:szCs w:val="22"/>
              </w:rPr>
            </w:pPr>
            <w:r w:rsidRPr="005B7680">
              <w:rPr>
                <w:sz w:val="22"/>
                <w:szCs w:val="22"/>
              </w:rPr>
              <w:t>0.8797</w:t>
            </w:r>
          </w:p>
        </w:tc>
      </w:tr>
      <w:tr w:rsidR="00B766B2" w:rsidRPr="00345F36" w14:paraId="3C5E7797" w14:textId="1A5F777E" w:rsidTr="002B3049">
        <w:trPr>
          <w:trHeight w:val="788"/>
        </w:trPr>
        <w:tc>
          <w:tcPr>
            <w:tcW w:w="1985" w:type="dxa"/>
            <w:tcBorders>
              <w:top w:val="single" w:sz="4" w:space="0" w:color="auto"/>
              <w:left w:val="nil"/>
              <w:bottom w:val="single" w:sz="4" w:space="0" w:color="auto"/>
              <w:right w:val="nil"/>
            </w:tcBorders>
          </w:tcPr>
          <w:p w14:paraId="036AA72A" w14:textId="61DF8174" w:rsidR="00B766B2" w:rsidRPr="00345F36" w:rsidRDefault="00B766B2" w:rsidP="00147CE7">
            <w:pPr>
              <w:spacing w:line="240" w:lineRule="auto"/>
              <w:jc w:val="both"/>
              <w:rPr>
                <w:rFonts w:eastAsia="Times New Roman"/>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6,</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shd w:val="clear" w:color="auto" w:fill="auto"/>
          </w:tcPr>
          <w:p w14:paraId="2D9BA218" w14:textId="038A938A" w:rsidR="00B766B2" w:rsidRPr="00613923" w:rsidRDefault="005B7680" w:rsidP="00493B69">
            <w:pPr>
              <w:spacing w:line="240" w:lineRule="auto"/>
              <w:jc w:val="center"/>
              <w:rPr>
                <w:b/>
                <w:bCs/>
                <w:sz w:val="22"/>
                <w:szCs w:val="22"/>
              </w:rPr>
            </w:pPr>
            <w:r w:rsidRPr="00613923">
              <w:rPr>
                <w:b/>
                <w:bCs/>
                <w:sz w:val="22"/>
                <w:szCs w:val="22"/>
              </w:rPr>
              <w:t>1.12</w:t>
            </w:r>
            <w:r w:rsidR="00C64D26" w:rsidRPr="00613923">
              <w:rPr>
                <w:b/>
                <w:bCs/>
                <w:sz w:val="22"/>
                <w:szCs w:val="22"/>
              </w:rPr>
              <w:t>9***</w:t>
            </w:r>
            <w:r w:rsidRPr="00613923">
              <w:rPr>
                <w:b/>
                <w:bCs/>
                <w:sz w:val="22"/>
                <w:szCs w:val="22"/>
              </w:rPr>
              <w:t xml:space="preserve">   </w:t>
            </w:r>
            <w:r w:rsidR="002B3049" w:rsidRPr="00613923">
              <w:rPr>
                <w:b/>
                <w:bCs/>
                <w:sz w:val="22"/>
                <w:szCs w:val="22"/>
              </w:rPr>
              <w:t>(0</w:t>
            </w:r>
            <w:r w:rsidRPr="00613923">
              <w:rPr>
                <w:b/>
                <w:bCs/>
                <w:sz w:val="22"/>
                <w:szCs w:val="22"/>
              </w:rPr>
              <w:t>.149</w:t>
            </w:r>
            <w:r w:rsidR="002B3049" w:rsidRPr="00613923">
              <w:rPr>
                <w:b/>
                <w:bCs/>
                <w:sz w:val="22"/>
                <w:szCs w:val="22"/>
              </w:rPr>
              <w:t>)</w:t>
            </w:r>
          </w:p>
        </w:tc>
        <w:tc>
          <w:tcPr>
            <w:tcW w:w="1311" w:type="dxa"/>
            <w:tcBorders>
              <w:top w:val="single" w:sz="4" w:space="0" w:color="auto"/>
              <w:left w:val="nil"/>
              <w:bottom w:val="single" w:sz="4" w:space="0" w:color="auto"/>
              <w:right w:val="nil"/>
            </w:tcBorders>
            <w:shd w:val="clear" w:color="auto" w:fill="auto"/>
          </w:tcPr>
          <w:p w14:paraId="46A63029" w14:textId="523B0C29" w:rsidR="00B766B2" w:rsidRPr="00345F36" w:rsidRDefault="002B3049" w:rsidP="00493B69">
            <w:pPr>
              <w:spacing w:line="240" w:lineRule="auto"/>
              <w:jc w:val="center"/>
              <w:rPr>
                <w:sz w:val="22"/>
                <w:szCs w:val="22"/>
              </w:rPr>
            </w:pPr>
            <w:r>
              <w:rPr>
                <w:sz w:val="22"/>
                <w:szCs w:val="22"/>
              </w:rPr>
              <w:t>0</w:t>
            </w:r>
            <w:r w:rsidR="005B7680" w:rsidRPr="005B7680">
              <w:rPr>
                <w:sz w:val="22"/>
                <w:szCs w:val="22"/>
              </w:rPr>
              <w:t>.61</w:t>
            </w:r>
            <w:r w:rsidR="00C64D26">
              <w:rPr>
                <w:sz w:val="22"/>
                <w:szCs w:val="22"/>
              </w:rPr>
              <w:t>2</w:t>
            </w:r>
            <w:r w:rsidR="005B7680" w:rsidRPr="005B7680">
              <w:rPr>
                <w:sz w:val="22"/>
                <w:szCs w:val="22"/>
              </w:rPr>
              <w:t xml:space="preserve">   </w:t>
            </w:r>
            <w:r>
              <w:rPr>
                <w:sz w:val="22"/>
                <w:szCs w:val="22"/>
              </w:rPr>
              <w:t>(0</w:t>
            </w:r>
            <w:r w:rsidR="005B7680" w:rsidRPr="005B7680">
              <w:rPr>
                <w:sz w:val="22"/>
                <w:szCs w:val="22"/>
              </w:rPr>
              <w:t>.52</w:t>
            </w:r>
            <w:r>
              <w:rPr>
                <w:sz w:val="22"/>
                <w:szCs w:val="22"/>
              </w:rPr>
              <w:t>7)</w:t>
            </w:r>
          </w:p>
        </w:tc>
        <w:tc>
          <w:tcPr>
            <w:tcW w:w="1311" w:type="dxa"/>
            <w:tcBorders>
              <w:top w:val="single" w:sz="4" w:space="0" w:color="auto"/>
              <w:left w:val="nil"/>
              <w:bottom w:val="single" w:sz="4" w:space="0" w:color="auto"/>
              <w:right w:val="nil"/>
            </w:tcBorders>
            <w:shd w:val="clear" w:color="auto" w:fill="auto"/>
          </w:tcPr>
          <w:p w14:paraId="70926CA2" w14:textId="06730F2B" w:rsidR="00B766B2" w:rsidRPr="00613923" w:rsidRDefault="00C64D26" w:rsidP="00493B69">
            <w:pPr>
              <w:spacing w:line="240" w:lineRule="auto"/>
              <w:jc w:val="center"/>
              <w:rPr>
                <w:b/>
                <w:bCs/>
                <w:sz w:val="22"/>
                <w:szCs w:val="22"/>
              </w:rPr>
            </w:pPr>
            <w:r w:rsidRPr="00613923">
              <w:rPr>
                <w:b/>
                <w:bCs/>
                <w:sz w:val="22"/>
                <w:szCs w:val="22"/>
              </w:rPr>
              <w:t xml:space="preserve">-1.157**   </w:t>
            </w:r>
            <w:r w:rsidR="002B3049" w:rsidRPr="00613923">
              <w:rPr>
                <w:b/>
                <w:bCs/>
                <w:sz w:val="22"/>
                <w:szCs w:val="22"/>
              </w:rPr>
              <w:t>(0</w:t>
            </w:r>
            <w:r w:rsidRPr="00613923">
              <w:rPr>
                <w:b/>
                <w:bCs/>
                <w:sz w:val="22"/>
                <w:szCs w:val="22"/>
              </w:rPr>
              <w:t>.46</w:t>
            </w:r>
            <w:r w:rsidR="002B3049" w:rsidRPr="00613923">
              <w:rPr>
                <w:b/>
                <w:bCs/>
                <w:sz w:val="22"/>
                <w:szCs w:val="22"/>
              </w:rPr>
              <w:t>9)</w:t>
            </w:r>
          </w:p>
        </w:tc>
        <w:tc>
          <w:tcPr>
            <w:tcW w:w="1312" w:type="dxa"/>
            <w:tcBorders>
              <w:top w:val="single" w:sz="4" w:space="0" w:color="auto"/>
              <w:left w:val="nil"/>
              <w:bottom w:val="single" w:sz="4" w:space="0" w:color="auto"/>
              <w:right w:val="nil"/>
            </w:tcBorders>
            <w:shd w:val="clear" w:color="auto" w:fill="auto"/>
          </w:tcPr>
          <w:p w14:paraId="4F01F331" w14:textId="24544B0A" w:rsidR="00B766B2" w:rsidRPr="00613923" w:rsidRDefault="00C64D26" w:rsidP="00493B69">
            <w:pPr>
              <w:spacing w:line="240" w:lineRule="auto"/>
              <w:jc w:val="center"/>
              <w:rPr>
                <w:b/>
                <w:bCs/>
                <w:sz w:val="22"/>
                <w:szCs w:val="22"/>
              </w:rPr>
            </w:pPr>
            <w:r w:rsidRPr="00613923">
              <w:rPr>
                <w:b/>
                <w:bCs/>
                <w:sz w:val="22"/>
                <w:szCs w:val="22"/>
              </w:rPr>
              <w:t xml:space="preserve">-1.114***   </w:t>
            </w:r>
            <w:r w:rsidR="002B3049" w:rsidRPr="00613923">
              <w:rPr>
                <w:b/>
                <w:bCs/>
                <w:sz w:val="22"/>
                <w:szCs w:val="22"/>
              </w:rPr>
              <w:t>(0</w:t>
            </w:r>
            <w:r w:rsidRPr="00613923">
              <w:rPr>
                <w:b/>
                <w:bCs/>
                <w:sz w:val="22"/>
                <w:szCs w:val="22"/>
              </w:rPr>
              <w:t>.290</w:t>
            </w:r>
            <w:r w:rsidR="002B3049" w:rsidRPr="00613923">
              <w:rPr>
                <w:b/>
                <w:bCs/>
                <w:sz w:val="22"/>
                <w:szCs w:val="22"/>
              </w:rPr>
              <w:t>)</w:t>
            </w:r>
          </w:p>
        </w:tc>
        <w:tc>
          <w:tcPr>
            <w:tcW w:w="1228" w:type="dxa"/>
            <w:tcBorders>
              <w:top w:val="single" w:sz="4" w:space="0" w:color="auto"/>
              <w:left w:val="nil"/>
              <w:bottom w:val="single" w:sz="4" w:space="0" w:color="auto"/>
              <w:right w:val="nil"/>
            </w:tcBorders>
          </w:tcPr>
          <w:p w14:paraId="10D36390" w14:textId="065E7D4B" w:rsidR="002221B1" w:rsidRPr="00613923" w:rsidRDefault="002B3049" w:rsidP="00493B69">
            <w:pPr>
              <w:spacing w:line="240" w:lineRule="auto"/>
              <w:jc w:val="center"/>
              <w:rPr>
                <w:b/>
                <w:bCs/>
                <w:sz w:val="22"/>
                <w:szCs w:val="22"/>
              </w:rPr>
            </w:pPr>
            <w:r w:rsidRPr="00613923">
              <w:rPr>
                <w:b/>
                <w:bCs/>
                <w:sz w:val="22"/>
                <w:szCs w:val="22"/>
              </w:rPr>
              <w:t>0</w:t>
            </w:r>
            <w:r w:rsidR="00C64D26" w:rsidRPr="00613923">
              <w:rPr>
                <w:b/>
                <w:bCs/>
                <w:sz w:val="22"/>
                <w:szCs w:val="22"/>
              </w:rPr>
              <w:t xml:space="preserve">.054***   </w:t>
            </w:r>
            <w:r w:rsidRPr="00613923">
              <w:rPr>
                <w:b/>
                <w:bCs/>
                <w:sz w:val="22"/>
                <w:szCs w:val="22"/>
              </w:rPr>
              <w:t>(0</w:t>
            </w:r>
            <w:r w:rsidR="00C64D26" w:rsidRPr="00613923">
              <w:rPr>
                <w:b/>
                <w:bCs/>
                <w:sz w:val="22"/>
                <w:szCs w:val="22"/>
              </w:rPr>
              <w:t>.012</w:t>
            </w:r>
            <w:r w:rsidRPr="00613923">
              <w:rPr>
                <w:b/>
                <w:bCs/>
                <w:sz w:val="22"/>
                <w:szCs w:val="22"/>
              </w:rPr>
              <w:t>)</w:t>
            </w:r>
          </w:p>
        </w:tc>
        <w:tc>
          <w:tcPr>
            <w:tcW w:w="1229" w:type="dxa"/>
            <w:gridSpan w:val="2"/>
            <w:tcBorders>
              <w:top w:val="single" w:sz="4" w:space="0" w:color="auto"/>
              <w:left w:val="nil"/>
              <w:bottom w:val="single" w:sz="4" w:space="0" w:color="auto"/>
              <w:right w:val="nil"/>
            </w:tcBorders>
            <w:vAlign w:val="center"/>
          </w:tcPr>
          <w:p w14:paraId="2A0C9DBA" w14:textId="65B3C53A" w:rsidR="00C64D26" w:rsidRPr="00345F36" w:rsidRDefault="00C64D26" w:rsidP="002B3049">
            <w:pPr>
              <w:spacing w:line="240" w:lineRule="auto"/>
              <w:jc w:val="center"/>
              <w:rPr>
                <w:sz w:val="22"/>
                <w:szCs w:val="22"/>
              </w:rPr>
            </w:pPr>
            <w:r w:rsidRPr="00C64D26">
              <w:rPr>
                <w:sz w:val="22"/>
                <w:szCs w:val="22"/>
              </w:rPr>
              <w:t>0.75</w:t>
            </w:r>
          </w:p>
        </w:tc>
        <w:tc>
          <w:tcPr>
            <w:tcW w:w="1229" w:type="dxa"/>
            <w:tcBorders>
              <w:top w:val="single" w:sz="4" w:space="0" w:color="auto"/>
              <w:left w:val="nil"/>
              <w:bottom w:val="single" w:sz="4" w:space="0" w:color="auto"/>
              <w:right w:val="nil"/>
            </w:tcBorders>
            <w:vAlign w:val="center"/>
          </w:tcPr>
          <w:p w14:paraId="5B77CD2D" w14:textId="0D6EB718" w:rsidR="00B766B2" w:rsidRDefault="00C64D26" w:rsidP="00493B69">
            <w:pPr>
              <w:spacing w:line="240" w:lineRule="auto"/>
              <w:jc w:val="center"/>
              <w:rPr>
                <w:sz w:val="22"/>
                <w:szCs w:val="22"/>
              </w:rPr>
            </w:pPr>
            <w:r w:rsidRPr="00C64D26">
              <w:rPr>
                <w:sz w:val="22"/>
                <w:szCs w:val="22"/>
              </w:rPr>
              <w:t>0.8695</w:t>
            </w:r>
          </w:p>
        </w:tc>
      </w:tr>
      <w:tr w:rsidR="00B766B2" w:rsidRPr="00345F36" w14:paraId="12C14305" w14:textId="1E071E3A" w:rsidTr="002B3049">
        <w:trPr>
          <w:trHeight w:val="788"/>
        </w:trPr>
        <w:tc>
          <w:tcPr>
            <w:tcW w:w="1985" w:type="dxa"/>
            <w:tcBorders>
              <w:top w:val="single" w:sz="4" w:space="0" w:color="auto"/>
              <w:left w:val="nil"/>
              <w:bottom w:val="single" w:sz="4" w:space="0" w:color="auto"/>
              <w:right w:val="nil"/>
            </w:tcBorders>
          </w:tcPr>
          <w:p w14:paraId="0F1EB5B3" w14:textId="1B1B0A2D" w:rsidR="00B766B2" w:rsidRPr="00345F36" w:rsidRDefault="00B766B2" w:rsidP="00147CE7">
            <w:pPr>
              <w:spacing w:line="240" w:lineRule="auto"/>
              <w:jc w:val="both"/>
              <w:rPr>
                <w:rFonts w:eastAsia="Times New Roman"/>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7,</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shd w:val="clear" w:color="auto" w:fill="auto"/>
          </w:tcPr>
          <w:p w14:paraId="282D3F56" w14:textId="6B12B90A" w:rsidR="00B766B2" w:rsidRPr="00613923" w:rsidRDefault="00C64D26" w:rsidP="00493B69">
            <w:pPr>
              <w:spacing w:line="240" w:lineRule="auto"/>
              <w:jc w:val="center"/>
              <w:rPr>
                <w:b/>
                <w:bCs/>
                <w:sz w:val="22"/>
                <w:szCs w:val="22"/>
              </w:rPr>
            </w:pPr>
            <w:r w:rsidRPr="00613923">
              <w:rPr>
                <w:b/>
                <w:bCs/>
                <w:sz w:val="22"/>
                <w:szCs w:val="22"/>
              </w:rPr>
              <w:t xml:space="preserve">1.229***   </w:t>
            </w:r>
            <w:r w:rsidR="002B3049" w:rsidRPr="00613923">
              <w:rPr>
                <w:b/>
                <w:bCs/>
                <w:sz w:val="22"/>
                <w:szCs w:val="22"/>
              </w:rPr>
              <w:t>(0</w:t>
            </w:r>
            <w:r w:rsidRPr="00613923">
              <w:rPr>
                <w:b/>
                <w:bCs/>
                <w:sz w:val="22"/>
                <w:szCs w:val="22"/>
              </w:rPr>
              <w:t>.158</w:t>
            </w:r>
            <w:r w:rsidR="002B3049" w:rsidRPr="00613923">
              <w:rPr>
                <w:b/>
                <w:bCs/>
                <w:sz w:val="22"/>
                <w:szCs w:val="22"/>
              </w:rPr>
              <w:t>)</w:t>
            </w:r>
          </w:p>
        </w:tc>
        <w:tc>
          <w:tcPr>
            <w:tcW w:w="1311" w:type="dxa"/>
            <w:tcBorders>
              <w:top w:val="single" w:sz="4" w:space="0" w:color="auto"/>
              <w:left w:val="nil"/>
              <w:bottom w:val="single" w:sz="4" w:space="0" w:color="auto"/>
              <w:right w:val="nil"/>
            </w:tcBorders>
            <w:shd w:val="clear" w:color="auto" w:fill="auto"/>
          </w:tcPr>
          <w:p w14:paraId="6AE39FA1" w14:textId="685800C2" w:rsidR="00B766B2" w:rsidRPr="00345F36" w:rsidRDefault="002B3049" w:rsidP="00493B69">
            <w:pPr>
              <w:spacing w:line="240" w:lineRule="auto"/>
              <w:jc w:val="center"/>
              <w:rPr>
                <w:sz w:val="22"/>
                <w:szCs w:val="22"/>
              </w:rPr>
            </w:pPr>
            <w:r>
              <w:rPr>
                <w:sz w:val="22"/>
                <w:szCs w:val="22"/>
              </w:rPr>
              <w:t>0</w:t>
            </w:r>
            <w:r w:rsidR="00C64D26" w:rsidRPr="00C64D26">
              <w:rPr>
                <w:sz w:val="22"/>
                <w:szCs w:val="22"/>
              </w:rPr>
              <w:t>.71</w:t>
            </w:r>
            <w:r w:rsidR="00C64D26">
              <w:rPr>
                <w:sz w:val="22"/>
                <w:szCs w:val="22"/>
              </w:rPr>
              <w:t>2</w:t>
            </w:r>
            <w:r w:rsidR="00C64D26" w:rsidRPr="00C64D26">
              <w:rPr>
                <w:sz w:val="22"/>
                <w:szCs w:val="22"/>
              </w:rPr>
              <w:t xml:space="preserve">   </w:t>
            </w:r>
            <w:r>
              <w:rPr>
                <w:sz w:val="22"/>
                <w:szCs w:val="22"/>
              </w:rPr>
              <w:t>(0</w:t>
            </w:r>
            <w:r w:rsidR="00C64D26" w:rsidRPr="00C64D26">
              <w:rPr>
                <w:sz w:val="22"/>
                <w:szCs w:val="22"/>
              </w:rPr>
              <w:t>.531</w:t>
            </w:r>
            <w:r>
              <w:rPr>
                <w:sz w:val="22"/>
                <w:szCs w:val="22"/>
              </w:rPr>
              <w:t>)</w:t>
            </w:r>
          </w:p>
        </w:tc>
        <w:tc>
          <w:tcPr>
            <w:tcW w:w="1311" w:type="dxa"/>
            <w:tcBorders>
              <w:top w:val="single" w:sz="4" w:space="0" w:color="auto"/>
              <w:left w:val="nil"/>
              <w:bottom w:val="single" w:sz="4" w:space="0" w:color="auto"/>
              <w:right w:val="nil"/>
            </w:tcBorders>
            <w:shd w:val="clear" w:color="auto" w:fill="auto"/>
          </w:tcPr>
          <w:p w14:paraId="396FD814" w14:textId="73E2F5A9" w:rsidR="00B766B2" w:rsidRPr="00613923" w:rsidRDefault="00C64D26" w:rsidP="00493B69">
            <w:pPr>
              <w:spacing w:line="240" w:lineRule="auto"/>
              <w:jc w:val="center"/>
              <w:rPr>
                <w:b/>
                <w:bCs/>
                <w:sz w:val="22"/>
                <w:szCs w:val="22"/>
              </w:rPr>
            </w:pPr>
            <w:r w:rsidRPr="00613923">
              <w:rPr>
                <w:b/>
                <w:bCs/>
                <w:sz w:val="22"/>
                <w:szCs w:val="22"/>
              </w:rPr>
              <w:t xml:space="preserve">-1.263**   </w:t>
            </w:r>
            <w:r w:rsidR="002B3049" w:rsidRPr="00613923">
              <w:rPr>
                <w:b/>
                <w:bCs/>
                <w:sz w:val="22"/>
                <w:szCs w:val="22"/>
              </w:rPr>
              <w:t>(0</w:t>
            </w:r>
            <w:r w:rsidRPr="00613923">
              <w:rPr>
                <w:b/>
                <w:bCs/>
                <w:sz w:val="22"/>
                <w:szCs w:val="22"/>
              </w:rPr>
              <w:t>.47</w:t>
            </w:r>
            <w:r w:rsidR="002B3049" w:rsidRPr="00613923">
              <w:rPr>
                <w:b/>
                <w:bCs/>
                <w:sz w:val="22"/>
                <w:szCs w:val="22"/>
              </w:rPr>
              <w:t>5)</w:t>
            </w:r>
          </w:p>
        </w:tc>
        <w:tc>
          <w:tcPr>
            <w:tcW w:w="1312" w:type="dxa"/>
            <w:tcBorders>
              <w:top w:val="single" w:sz="4" w:space="0" w:color="auto"/>
              <w:left w:val="nil"/>
              <w:bottom w:val="single" w:sz="4" w:space="0" w:color="auto"/>
              <w:right w:val="nil"/>
            </w:tcBorders>
            <w:shd w:val="clear" w:color="auto" w:fill="auto"/>
          </w:tcPr>
          <w:p w14:paraId="3642C22A" w14:textId="448414D9" w:rsidR="00B766B2" w:rsidRPr="00613923" w:rsidRDefault="00C64D26" w:rsidP="00493B69">
            <w:pPr>
              <w:spacing w:line="240" w:lineRule="auto"/>
              <w:jc w:val="center"/>
              <w:rPr>
                <w:b/>
                <w:bCs/>
                <w:sz w:val="22"/>
                <w:szCs w:val="22"/>
              </w:rPr>
            </w:pPr>
            <w:r w:rsidRPr="00613923">
              <w:rPr>
                <w:b/>
                <w:bCs/>
                <w:sz w:val="22"/>
                <w:szCs w:val="22"/>
              </w:rPr>
              <w:t xml:space="preserve">-1.100***   </w:t>
            </w:r>
            <w:r w:rsidR="002B3049" w:rsidRPr="00613923">
              <w:rPr>
                <w:b/>
                <w:bCs/>
                <w:sz w:val="22"/>
                <w:szCs w:val="22"/>
              </w:rPr>
              <w:t>(0</w:t>
            </w:r>
            <w:r w:rsidRPr="00613923">
              <w:rPr>
                <w:b/>
                <w:bCs/>
                <w:sz w:val="22"/>
                <w:szCs w:val="22"/>
              </w:rPr>
              <w:t>.292</w:t>
            </w:r>
            <w:r w:rsidR="002B3049" w:rsidRPr="00613923">
              <w:rPr>
                <w:b/>
                <w:bCs/>
                <w:sz w:val="22"/>
                <w:szCs w:val="22"/>
              </w:rPr>
              <w:t>)</w:t>
            </w:r>
          </w:p>
        </w:tc>
        <w:tc>
          <w:tcPr>
            <w:tcW w:w="1228" w:type="dxa"/>
            <w:tcBorders>
              <w:top w:val="single" w:sz="4" w:space="0" w:color="auto"/>
              <w:left w:val="nil"/>
              <w:bottom w:val="single" w:sz="4" w:space="0" w:color="auto"/>
              <w:right w:val="nil"/>
            </w:tcBorders>
          </w:tcPr>
          <w:p w14:paraId="0EBF3F41" w14:textId="76B9A39B" w:rsidR="002221B1" w:rsidRPr="00613923" w:rsidRDefault="002B3049" w:rsidP="00493B69">
            <w:pPr>
              <w:spacing w:line="240" w:lineRule="auto"/>
              <w:jc w:val="center"/>
              <w:rPr>
                <w:b/>
                <w:bCs/>
                <w:sz w:val="22"/>
                <w:szCs w:val="22"/>
              </w:rPr>
            </w:pPr>
            <w:r w:rsidRPr="00613923">
              <w:rPr>
                <w:b/>
                <w:bCs/>
                <w:sz w:val="22"/>
                <w:szCs w:val="22"/>
              </w:rPr>
              <w:t>0</w:t>
            </w:r>
            <w:r w:rsidR="00C64D26" w:rsidRPr="00613923">
              <w:rPr>
                <w:b/>
                <w:bCs/>
                <w:sz w:val="22"/>
                <w:szCs w:val="22"/>
              </w:rPr>
              <w:t xml:space="preserve">.054***   </w:t>
            </w:r>
            <w:r w:rsidRPr="00613923">
              <w:rPr>
                <w:b/>
                <w:bCs/>
                <w:sz w:val="22"/>
                <w:szCs w:val="22"/>
              </w:rPr>
              <w:t>(0</w:t>
            </w:r>
            <w:r w:rsidR="00C64D26" w:rsidRPr="00613923">
              <w:rPr>
                <w:b/>
                <w:bCs/>
                <w:sz w:val="22"/>
                <w:szCs w:val="22"/>
              </w:rPr>
              <w:t>.01</w:t>
            </w:r>
            <w:r w:rsidRPr="00613923">
              <w:rPr>
                <w:b/>
                <w:bCs/>
                <w:sz w:val="22"/>
                <w:szCs w:val="22"/>
              </w:rPr>
              <w:t>3)</w:t>
            </w:r>
          </w:p>
        </w:tc>
        <w:tc>
          <w:tcPr>
            <w:tcW w:w="1229" w:type="dxa"/>
            <w:gridSpan w:val="2"/>
            <w:tcBorders>
              <w:top w:val="single" w:sz="4" w:space="0" w:color="auto"/>
              <w:left w:val="nil"/>
              <w:bottom w:val="single" w:sz="4" w:space="0" w:color="auto"/>
              <w:right w:val="nil"/>
            </w:tcBorders>
            <w:vAlign w:val="center"/>
          </w:tcPr>
          <w:p w14:paraId="79849AF4" w14:textId="3CA23ADB" w:rsidR="00C64D26" w:rsidRPr="00345F36" w:rsidRDefault="00C64D26" w:rsidP="002B3049">
            <w:pPr>
              <w:spacing w:line="240" w:lineRule="auto"/>
              <w:jc w:val="center"/>
              <w:rPr>
                <w:sz w:val="22"/>
                <w:szCs w:val="22"/>
              </w:rPr>
            </w:pPr>
            <w:r w:rsidRPr="00C64D26">
              <w:rPr>
                <w:sz w:val="22"/>
                <w:szCs w:val="22"/>
              </w:rPr>
              <w:t>2.10</w:t>
            </w:r>
          </w:p>
        </w:tc>
        <w:tc>
          <w:tcPr>
            <w:tcW w:w="1229" w:type="dxa"/>
            <w:tcBorders>
              <w:top w:val="single" w:sz="4" w:space="0" w:color="auto"/>
              <w:left w:val="nil"/>
              <w:bottom w:val="single" w:sz="4" w:space="0" w:color="auto"/>
              <w:right w:val="nil"/>
            </w:tcBorders>
            <w:vAlign w:val="center"/>
          </w:tcPr>
          <w:p w14:paraId="121F599C" w14:textId="799F0E2F" w:rsidR="00B766B2" w:rsidRDefault="00C64D26" w:rsidP="00493B69">
            <w:pPr>
              <w:spacing w:line="240" w:lineRule="auto"/>
              <w:jc w:val="center"/>
              <w:rPr>
                <w:sz w:val="22"/>
                <w:szCs w:val="22"/>
              </w:rPr>
            </w:pPr>
            <w:r w:rsidRPr="00C64D26">
              <w:rPr>
                <w:sz w:val="22"/>
                <w:szCs w:val="22"/>
              </w:rPr>
              <w:t>0.8713</w:t>
            </w:r>
          </w:p>
        </w:tc>
      </w:tr>
      <w:tr w:rsidR="00B766B2" w:rsidRPr="00345F36" w14:paraId="0224BCAB" w14:textId="57BD7489" w:rsidTr="002B3049">
        <w:trPr>
          <w:trHeight w:val="788"/>
        </w:trPr>
        <w:tc>
          <w:tcPr>
            <w:tcW w:w="1985" w:type="dxa"/>
            <w:tcBorders>
              <w:top w:val="single" w:sz="4" w:space="0" w:color="auto"/>
              <w:left w:val="nil"/>
              <w:bottom w:val="single" w:sz="4" w:space="0" w:color="auto"/>
              <w:right w:val="nil"/>
            </w:tcBorders>
          </w:tcPr>
          <w:p w14:paraId="1B34E2CC" w14:textId="6FF5621B" w:rsidR="00B766B2" w:rsidRPr="00345F36" w:rsidRDefault="00B766B2" w:rsidP="00147CE7">
            <w:pPr>
              <w:spacing w:line="240" w:lineRule="auto"/>
              <w:jc w:val="both"/>
              <w:rPr>
                <w:rFonts w:eastAsia="Times New Roman"/>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8,</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shd w:val="clear" w:color="auto" w:fill="auto"/>
          </w:tcPr>
          <w:p w14:paraId="56ED66A1" w14:textId="23CE646B" w:rsidR="00B766B2" w:rsidRPr="00613923" w:rsidRDefault="00C64D26" w:rsidP="00493B69">
            <w:pPr>
              <w:spacing w:line="240" w:lineRule="auto"/>
              <w:jc w:val="center"/>
              <w:rPr>
                <w:b/>
                <w:bCs/>
                <w:sz w:val="22"/>
                <w:szCs w:val="22"/>
              </w:rPr>
            </w:pPr>
            <w:r w:rsidRPr="00613923">
              <w:rPr>
                <w:b/>
                <w:bCs/>
                <w:sz w:val="22"/>
                <w:szCs w:val="22"/>
              </w:rPr>
              <w:t xml:space="preserve">1.292***   </w:t>
            </w:r>
            <w:r w:rsidR="002B3049" w:rsidRPr="00613923">
              <w:rPr>
                <w:b/>
                <w:bCs/>
                <w:sz w:val="22"/>
                <w:szCs w:val="22"/>
              </w:rPr>
              <w:t>(0</w:t>
            </w:r>
            <w:r w:rsidRPr="00613923">
              <w:rPr>
                <w:b/>
                <w:bCs/>
                <w:sz w:val="22"/>
                <w:szCs w:val="22"/>
              </w:rPr>
              <w:t>.14</w:t>
            </w:r>
            <w:r w:rsidR="002B3049" w:rsidRPr="00613923">
              <w:rPr>
                <w:b/>
                <w:bCs/>
                <w:sz w:val="22"/>
                <w:szCs w:val="22"/>
              </w:rPr>
              <w:t>6)</w:t>
            </w:r>
          </w:p>
        </w:tc>
        <w:tc>
          <w:tcPr>
            <w:tcW w:w="1311" w:type="dxa"/>
            <w:tcBorders>
              <w:top w:val="single" w:sz="4" w:space="0" w:color="auto"/>
              <w:left w:val="nil"/>
              <w:bottom w:val="single" w:sz="4" w:space="0" w:color="auto"/>
              <w:right w:val="nil"/>
            </w:tcBorders>
            <w:shd w:val="clear" w:color="auto" w:fill="auto"/>
          </w:tcPr>
          <w:p w14:paraId="6C870301" w14:textId="5921CCC4" w:rsidR="00B766B2" w:rsidRPr="00345F36" w:rsidRDefault="002B3049" w:rsidP="00493B69">
            <w:pPr>
              <w:spacing w:line="240" w:lineRule="auto"/>
              <w:jc w:val="center"/>
              <w:rPr>
                <w:sz w:val="22"/>
                <w:szCs w:val="22"/>
              </w:rPr>
            </w:pPr>
            <w:r>
              <w:rPr>
                <w:sz w:val="22"/>
                <w:szCs w:val="22"/>
              </w:rPr>
              <w:t>0</w:t>
            </w:r>
            <w:r w:rsidR="00C64D26" w:rsidRPr="00C64D26">
              <w:rPr>
                <w:sz w:val="22"/>
                <w:szCs w:val="22"/>
              </w:rPr>
              <w:t>.928</w:t>
            </w:r>
            <w:r w:rsidR="00C64D26">
              <w:rPr>
                <w:sz w:val="22"/>
                <w:szCs w:val="22"/>
              </w:rPr>
              <w:t>*</w:t>
            </w:r>
            <w:r w:rsidR="00C64D26" w:rsidRPr="00C64D26">
              <w:rPr>
                <w:sz w:val="22"/>
                <w:szCs w:val="22"/>
              </w:rPr>
              <w:t xml:space="preserve">   </w:t>
            </w:r>
            <w:r>
              <w:rPr>
                <w:sz w:val="22"/>
                <w:szCs w:val="22"/>
              </w:rPr>
              <w:t>(0</w:t>
            </w:r>
            <w:r w:rsidR="00C64D26" w:rsidRPr="00C64D26">
              <w:rPr>
                <w:sz w:val="22"/>
                <w:szCs w:val="22"/>
              </w:rPr>
              <w:t>.</w:t>
            </w:r>
            <w:r>
              <w:rPr>
                <w:sz w:val="22"/>
                <w:szCs w:val="22"/>
              </w:rPr>
              <w:t>500)</w:t>
            </w:r>
          </w:p>
        </w:tc>
        <w:tc>
          <w:tcPr>
            <w:tcW w:w="1311" w:type="dxa"/>
            <w:tcBorders>
              <w:top w:val="single" w:sz="4" w:space="0" w:color="auto"/>
              <w:left w:val="nil"/>
              <w:bottom w:val="single" w:sz="4" w:space="0" w:color="auto"/>
              <w:right w:val="nil"/>
            </w:tcBorders>
            <w:shd w:val="clear" w:color="auto" w:fill="auto"/>
          </w:tcPr>
          <w:p w14:paraId="128B395F" w14:textId="27A2E8AE" w:rsidR="00B766B2" w:rsidRPr="00613923" w:rsidRDefault="00C64D26" w:rsidP="00493B69">
            <w:pPr>
              <w:spacing w:line="240" w:lineRule="auto"/>
              <w:jc w:val="center"/>
              <w:rPr>
                <w:b/>
                <w:bCs/>
                <w:sz w:val="22"/>
                <w:szCs w:val="22"/>
              </w:rPr>
            </w:pPr>
            <w:r w:rsidRPr="00613923">
              <w:rPr>
                <w:b/>
                <w:bCs/>
                <w:sz w:val="22"/>
                <w:szCs w:val="22"/>
              </w:rPr>
              <w:t xml:space="preserve">-1.501***   </w:t>
            </w:r>
            <w:r w:rsidR="002B3049" w:rsidRPr="00613923">
              <w:rPr>
                <w:b/>
                <w:bCs/>
                <w:sz w:val="22"/>
                <w:szCs w:val="22"/>
              </w:rPr>
              <w:t>(0</w:t>
            </w:r>
            <w:r w:rsidRPr="00613923">
              <w:rPr>
                <w:b/>
                <w:bCs/>
                <w:sz w:val="22"/>
                <w:szCs w:val="22"/>
              </w:rPr>
              <w:t>.44</w:t>
            </w:r>
            <w:r w:rsidR="002B3049" w:rsidRPr="00613923">
              <w:rPr>
                <w:b/>
                <w:bCs/>
                <w:sz w:val="22"/>
                <w:szCs w:val="22"/>
              </w:rPr>
              <w:t>7)</w:t>
            </w:r>
          </w:p>
        </w:tc>
        <w:tc>
          <w:tcPr>
            <w:tcW w:w="1312" w:type="dxa"/>
            <w:tcBorders>
              <w:top w:val="single" w:sz="4" w:space="0" w:color="auto"/>
              <w:left w:val="nil"/>
              <w:bottom w:val="single" w:sz="4" w:space="0" w:color="auto"/>
              <w:right w:val="nil"/>
            </w:tcBorders>
            <w:shd w:val="clear" w:color="auto" w:fill="auto"/>
          </w:tcPr>
          <w:p w14:paraId="6A8ECF19" w14:textId="15F74588" w:rsidR="00B766B2" w:rsidRPr="00613923" w:rsidRDefault="00C64D26" w:rsidP="00493B69">
            <w:pPr>
              <w:spacing w:line="240" w:lineRule="auto"/>
              <w:jc w:val="center"/>
              <w:rPr>
                <w:b/>
                <w:bCs/>
                <w:sz w:val="22"/>
                <w:szCs w:val="22"/>
              </w:rPr>
            </w:pPr>
            <w:r w:rsidRPr="00613923">
              <w:rPr>
                <w:b/>
                <w:bCs/>
                <w:sz w:val="22"/>
                <w:szCs w:val="22"/>
              </w:rPr>
              <w:t xml:space="preserve">-1.231***   </w:t>
            </w:r>
            <w:r w:rsidR="002B3049" w:rsidRPr="00613923">
              <w:rPr>
                <w:b/>
                <w:bCs/>
                <w:sz w:val="22"/>
                <w:szCs w:val="22"/>
              </w:rPr>
              <w:t>(0</w:t>
            </w:r>
            <w:r w:rsidRPr="00613923">
              <w:rPr>
                <w:b/>
                <w:bCs/>
                <w:sz w:val="22"/>
                <w:szCs w:val="22"/>
              </w:rPr>
              <w:t>.26</w:t>
            </w:r>
            <w:r w:rsidR="002B3049" w:rsidRPr="00613923">
              <w:rPr>
                <w:b/>
                <w:bCs/>
                <w:sz w:val="22"/>
                <w:szCs w:val="22"/>
              </w:rPr>
              <w:t>7)</w:t>
            </w:r>
          </w:p>
        </w:tc>
        <w:tc>
          <w:tcPr>
            <w:tcW w:w="1228" w:type="dxa"/>
            <w:tcBorders>
              <w:top w:val="single" w:sz="4" w:space="0" w:color="auto"/>
              <w:left w:val="nil"/>
              <w:bottom w:val="single" w:sz="4" w:space="0" w:color="auto"/>
              <w:right w:val="nil"/>
            </w:tcBorders>
          </w:tcPr>
          <w:p w14:paraId="230F4A36" w14:textId="67F493FD" w:rsidR="002221B1" w:rsidRPr="00613923" w:rsidRDefault="002B3049" w:rsidP="00493B69">
            <w:pPr>
              <w:spacing w:line="240" w:lineRule="auto"/>
              <w:jc w:val="center"/>
              <w:rPr>
                <w:b/>
                <w:bCs/>
                <w:sz w:val="22"/>
                <w:szCs w:val="22"/>
              </w:rPr>
            </w:pPr>
            <w:r w:rsidRPr="00613923">
              <w:rPr>
                <w:b/>
                <w:bCs/>
                <w:sz w:val="22"/>
                <w:szCs w:val="22"/>
              </w:rPr>
              <w:t>0</w:t>
            </w:r>
            <w:r w:rsidR="00C64D26" w:rsidRPr="00613923">
              <w:rPr>
                <w:b/>
                <w:bCs/>
                <w:sz w:val="22"/>
                <w:szCs w:val="22"/>
              </w:rPr>
              <w:t xml:space="preserve">.057***    </w:t>
            </w:r>
            <w:r w:rsidRPr="00613923">
              <w:rPr>
                <w:b/>
                <w:bCs/>
                <w:sz w:val="22"/>
                <w:szCs w:val="22"/>
              </w:rPr>
              <w:t>(0</w:t>
            </w:r>
            <w:r w:rsidR="00C64D26" w:rsidRPr="00613923">
              <w:rPr>
                <w:b/>
                <w:bCs/>
                <w:sz w:val="22"/>
                <w:szCs w:val="22"/>
              </w:rPr>
              <w:t>.011</w:t>
            </w:r>
            <w:r w:rsidRPr="00613923">
              <w:rPr>
                <w:b/>
                <w:bCs/>
                <w:sz w:val="22"/>
                <w:szCs w:val="22"/>
              </w:rPr>
              <w:t>)</w:t>
            </w:r>
          </w:p>
        </w:tc>
        <w:tc>
          <w:tcPr>
            <w:tcW w:w="1229" w:type="dxa"/>
            <w:gridSpan w:val="2"/>
            <w:tcBorders>
              <w:top w:val="single" w:sz="4" w:space="0" w:color="auto"/>
              <w:left w:val="nil"/>
              <w:bottom w:val="single" w:sz="4" w:space="0" w:color="auto"/>
              <w:right w:val="nil"/>
            </w:tcBorders>
            <w:vAlign w:val="center"/>
          </w:tcPr>
          <w:p w14:paraId="0BB6B1B8" w14:textId="36B8B5E8" w:rsidR="00C64D26" w:rsidRPr="00345F36" w:rsidRDefault="00C64D26" w:rsidP="002B3049">
            <w:pPr>
              <w:spacing w:line="240" w:lineRule="auto"/>
              <w:jc w:val="center"/>
              <w:rPr>
                <w:sz w:val="22"/>
                <w:szCs w:val="22"/>
              </w:rPr>
            </w:pPr>
            <w:r w:rsidRPr="00C64D26">
              <w:rPr>
                <w:sz w:val="22"/>
                <w:szCs w:val="22"/>
              </w:rPr>
              <w:t>4.02</w:t>
            </w:r>
            <w:r>
              <w:rPr>
                <w:sz w:val="22"/>
                <w:szCs w:val="22"/>
              </w:rPr>
              <w:t>*</w:t>
            </w:r>
          </w:p>
        </w:tc>
        <w:tc>
          <w:tcPr>
            <w:tcW w:w="1229" w:type="dxa"/>
            <w:tcBorders>
              <w:top w:val="single" w:sz="4" w:space="0" w:color="auto"/>
              <w:left w:val="nil"/>
              <w:bottom w:val="single" w:sz="4" w:space="0" w:color="auto"/>
              <w:right w:val="nil"/>
            </w:tcBorders>
            <w:vAlign w:val="center"/>
          </w:tcPr>
          <w:p w14:paraId="1A2C94D2" w14:textId="56B4BF84" w:rsidR="00B766B2" w:rsidRDefault="00C64D26" w:rsidP="00493B69">
            <w:pPr>
              <w:spacing w:line="240" w:lineRule="auto"/>
              <w:jc w:val="center"/>
              <w:rPr>
                <w:sz w:val="22"/>
                <w:szCs w:val="22"/>
              </w:rPr>
            </w:pPr>
            <w:r w:rsidRPr="00C64D26">
              <w:rPr>
                <w:sz w:val="22"/>
                <w:szCs w:val="22"/>
              </w:rPr>
              <w:t>0.8986</w:t>
            </w:r>
          </w:p>
        </w:tc>
      </w:tr>
      <w:tr w:rsidR="00B766B2" w:rsidRPr="00345F36" w14:paraId="4014123F" w14:textId="3B560917" w:rsidTr="002B3049">
        <w:trPr>
          <w:trHeight w:val="788"/>
        </w:trPr>
        <w:tc>
          <w:tcPr>
            <w:tcW w:w="1985" w:type="dxa"/>
            <w:tcBorders>
              <w:top w:val="single" w:sz="4" w:space="0" w:color="auto"/>
              <w:left w:val="nil"/>
              <w:bottom w:val="single" w:sz="4" w:space="0" w:color="auto"/>
              <w:right w:val="nil"/>
            </w:tcBorders>
          </w:tcPr>
          <w:p w14:paraId="5666A6B7" w14:textId="688A620B" w:rsidR="00B766B2" w:rsidRPr="00345F36" w:rsidRDefault="00B766B2" w:rsidP="00147CE7">
            <w:pPr>
              <w:spacing w:line="240" w:lineRule="auto"/>
              <w:jc w:val="both"/>
              <w:rPr>
                <w:rFonts w:eastAsia="Times New Roman"/>
                <w:sz w:val="22"/>
                <w:szCs w:val="22"/>
              </w:rPr>
            </w:pPr>
            <m:oMathPara>
              <m:oMathParaPr>
                <m:jc m:val="left"/>
              </m:oMathPara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nary>
                  <m:naryPr>
                    <m:chr m:val="∑"/>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m:rPr>
                        <m:sty m:val="p"/>
                      </m:rPr>
                      <w:rPr>
                        <w:rFonts w:ascii="Cambria Math" w:hAnsi="Cambria Math"/>
                        <w:sz w:val="22"/>
                        <w:szCs w:val="22"/>
                      </w:rPr>
                      <m:t>Δ</m:t>
                    </m:r>
                    <m:sSub>
                      <m:sSubPr>
                        <m:ctrlPr>
                          <w:rPr>
                            <w:rFonts w:ascii="Cambria Math" w:hAnsi="Cambria Math"/>
                            <w:i/>
                            <w:sz w:val="22"/>
                            <w:szCs w:val="22"/>
                          </w:rPr>
                        </m:ctrlPr>
                      </m:sSubPr>
                      <m:e>
                        <m:func>
                          <m:funcPr>
                            <m:ctrlPr>
                              <w:rPr>
                                <w:rFonts w:ascii="Cambria Math" w:hAnsi="Cambria Math"/>
                                <w:sz w:val="22"/>
                                <w:szCs w:val="22"/>
                              </w:rPr>
                            </m:ctrlPr>
                          </m:funcPr>
                          <m:fName>
                            <m:r>
                              <m:rPr>
                                <m:sty m:val="p"/>
                              </m:rPr>
                              <w:rPr>
                                <w:rFonts w:ascii="Cambria Math" w:hAnsi="Cambria Math"/>
                                <w:sz w:val="22"/>
                                <w:szCs w:val="22"/>
                              </w:rPr>
                              <m:t>log</m:t>
                            </m:r>
                          </m:fName>
                          <m:e>
                            <m:r>
                              <w:rPr>
                                <w:rFonts w:ascii="Cambria Math" w:hAnsi="Cambria Math"/>
                                <w:sz w:val="22"/>
                                <w:szCs w:val="22"/>
                              </w:rPr>
                              <m:t>wage</m:t>
                            </m:r>
                          </m:e>
                        </m:func>
                      </m:e>
                      <m:sub>
                        <m:r>
                          <w:rPr>
                            <w:rFonts w:ascii="Cambria Math" w:hAnsi="Cambria Math"/>
                            <w:sz w:val="22"/>
                            <w:szCs w:val="22"/>
                          </w:rPr>
                          <m:t>9,</m:t>
                        </m:r>
                        <m:r>
                          <w:rPr>
                            <w:rFonts w:ascii="Cambria Math" w:hAnsi="Cambria Math"/>
                            <w:sz w:val="22"/>
                            <w:szCs w:val="22"/>
                          </w:rPr>
                          <m:t>t</m:t>
                        </m:r>
                      </m:sub>
                    </m:sSub>
                  </m:e>
                </m:nary>
              </m:oMath>
            </m:oMathPara>
          </w:p>
        </w:tc>
        <w:tc>
          <w:tcPr>
            <w:tcW w:w="1311" w:type="dxa"/>
            <w:tcBorders>
              <w:top w:val="single" w:sz="4" w:space="0" w:color="auto"/>
              <w:left w:val="nil"/>
              <w:bottom w:val="single" w:sz="4" w:space="0" w:color="auto"/>
              <w:right w:val="nil"/>
            </w:tcBorders>
          </w:tcPr>
          <w:p w14:paraId="3B1695F9" w14:textId="4407DFFD" w:rsidR="00B766B2" w:rsidRPr="00613923" w:rsidRDefault="00C64D26" w:rsidP="00493B69">
            <w:pPr>
              <w:spacing w:line="240" w:lineRule="auto"/>
              <w:jc w:val="center"/>
              <w:rPr>
                <w:b/>
                <w:bCs/>
                <w:sz w:val="22"/>
                <w:szCs w:val="22"/>
              </w:rPr>
            </w:pPr>
            <w:r w:rsidRPr="00613923">
              <w:rPr>
                <w:b/>
                <w:bCs/>
                <w:sz w:val="22"/>
                <w:szCs w:val="22"/>
              </w:rPr>
              <w:t xml:space="preserve">1.374***    </w:t>
            </w:r>
            <w:r w:rsidR="002B3049" w:rsidRPr="00613923">
              <w:rPr>
                <w:b/>
                <w:bCs/>
                <w:sz w:val="22"/>
                <w:szCs w:val="22"/>
              </w:rPr>
              <w:t>(0</w:t>
            </w:r>
            <w:r w:rsidRPr="00613923">
              <w:rPr>
                <w:b/>
                <w:bCs/>
                <w:sz w:val="22"/>
                <w:szCs w:val="22"/>
              </w:rPr>
              <w:t>.1</w:t>
            </w:r>
            <w:r w:rsidR="002B3049" w:rsidRPr="00613923">
              <w:rPr>
                <w:b/>
                <w:bCs/>
                <w:sz w:val="22"/>
                <w:szCs w:val="22"/>
              </w:rPr>
              <w:t>40)</w:t>
            </w:r>
          </w:p>
        </w:tc>
        <w:tc>
          <w:tcPr>
            <w:tcW w:w="1311" w:type="dxa"/>
            <w:tcBorders>
              <w:top w:val="single" w:sz="4" w:space="0" w:color="auto"/>
              <w:left w:val="nil"/>
              <w:bottom w:val="single" w:sz="4" w:space="0" w:color="auto"/>
              <w:right w:val="nil"/>
            </w:tcBorders>
          </w:tcPr>
          <w:p w14:paraId="6C84339E" w14:textId="2F22E5AE" w:rsidR="00B766B2" w:rsidRPr="00613923" w:rsidRDefault="002B3049" w:rsidP="00493B69">
            <w:pPr>
              <w:spacing w:line="240" w:lineRule="auto"/>
              <w:jc w:val="center"/>
              <w:rPr>
                <w:b/>
                <w:bCs/>
                <w:sz w:val="22"/>
                <w:szCs w:val="22"/>
              </w:rPr>
            </w:pPr>
            <w:r w:rsidRPr="00613923">
              <w:rPr>
                <w:b/>
                <w:bCs/>
                <w:sz w:val="22"/>
                <w:szCs w:val="22"/>
              </w:rPr>
              <w:t>0</w:t>
            </w:r>
            <w:r w:rsidR="00C64D26" w:rsidRPr="00613923">
              <w:rPr>
                <w:b/>
                <w:bCs/>
                <w:sz w:val="22"/>
                <w:szCs w:val="22"/>
              </w:rPr>
              <w:t xml:space="preserve">.954**   </w:t>
            </w:r>
            <w:r w:rsidRPr="00613923">
              <w:rPr>
                <w:b/>
                <w:bCs/>
                <w:sz w:val="22"/>
                <w:szCs w:val="22"/>
              </w:rPr>
              <w:t>(0</w:t>
            </w:r>
            <w:r w:rsidR="00C64D26" w:rsidRPr="00613923">
              <w:rPr>
                <w:b/>
                <w:bCs/>
                <w:sz w:val="22"/>
                <w:szCs w:val="22"/>
              </w:rPr>
              <w:t>.41</w:t>
            </w:r>
            <w:r w:rsidRPr="00613923">
              <w:rPr>
                <w:b/>
                <w:bCs/>
                <w:sz w:val="22"/>
                <w:szCs w:val="22"/>
              </w:rPr>
              <w:t>8)</w:t>
            </w:r>
          </w:p>
        </w:tc>
        <w:tc>
          <w:tcPr>
            <w:tcW w:w="1311" w:type="dxa"/>
            <w:tcBorders>
              <w:top w:val="single" w:sz="4" w:space="0" w:color="auto"/>
              <w:left w:val="nil"/>
              <w:bottom w:val="single" w:sz="4" w:space="0" w:color="auto"/>
              <w:right w:val="nil"/>
            </w:tcBorders>
          </w:tcPr>
          <w:p w14:paraId="26BD1D26" w14:textId="5D6F68BF" w:rsidR="00B766B2" w:rsidRPr="00613923" w:rsidRDefault="00C64D26" w:rsidP="00493B69">
            <w:pPr>
              <w:spacing w:line="240" w:lineRule="auto"/>
              <w:jc w:val="center"/>
              <w:rPr>
                <w:b/>
                <w:bCs/>
                <w:sz w:val="22"/>
                <w:szCs w:val="22"/>
              </w:rPr>
            </w:pPr>
            <w:r w:rsidRPr="00613923">
              <w:rPr>
                <w:b/>
                <w:bCs/>
                <w:sz w:val="22"/>
                <w:szCs w:val="22"/>
              </w:rPr>
              <w:t xml:space="preserve">-1.632***   </w:t>
            </w:r>
            <w:r w:rsidR="002B3049" w:rsidRPr="00613923">
              <w:rPr>
                <w:b/>
                <w:bCs/>
                <w:sz w:val="22"/>
                <w:szCs w:val="22"/>
              </w:rPr>
              <w:t>(0</w:t>
            </w:r>
            <w:r w:rsidRPr="00613923">
              <w:rPr>
                <w:b/>
                <w:bCs/>
                <w:sz w:val="22"/>
                <w:szCs w:val="22"/>
              </w:rPr>
              <w:t>.38</w:t>
            </w:r>
            <w:r w:rsidR="002B3049" w:rsidRPr="00613923">
              <w:rPr>
                <w:b/>
                <w:bCs/>
                <w:sz w:val="22"/>
                <w:szCs w:val="22"/>
              </w:rPr>
              <w:t>2)</w:t>
            </w:r>
          </w:p>
        </w:tc>
        <w:tc>
          <w:tcPr>
            <w:tcW w:w="1312" w:type="dxa"/>
            <w:tcBorders>
              <w:top w:val="single" w:sz="4" w:space="0" w:color="auto"/>
              <w:left w:val="nil"/>
              <w:bottom w:val="single" w:sz="4" w:space="0" w:color="auto"/>
              <w:right w:val="nil"/>
            </w:tcBorders>
          </w:tcPr>
          <w:p w14:paraId="716D2663" w14:textId="0CB86468" w:rsidR="00B766B2" w:rsidRPr="00613923" w:rsidRDefault="00C64D26" w:rsidP="00493B69">
            <w:pPr>
              <w:spacing w:line="240" w:lineRule="auto"/>
              <w:jc w:val="center"/>
              <w:rPr>
                <w:b/>
                <w:bCs/>
                <w:sz w:val="22"/>
                <w:szCs w:val="22"/>
              </w:rPr>
            </w:pPr>
            <w:r w:rsidRPr="00613923">
              <w:rPr>
                <w:b/>
                <w:bCs/>
                <w:sz w:val="22"/>
                <w:szCs w:val="22"/>
              </w:rPr>
              <w:t xml:space="preserve">-1.329***   </w:t>
            </w:r>
            <w:r w:rsidR="002B3049" w:rsidRPr="00613923">
              <w:rPr>
                <w:b/>
                <w:bCs/>
                <w:sz w:val="22"/>
                <w:szCs w:val="22"/>
              </w:rPr>
              <w:t>(0</w:t>
            </w:r>
            <w:r w:rsidRPr="00613923">
              <w:rPr>
                <w:b/>
                <w:bCs/>
                <w:sz w:val="22"/>
                <w:szCs w:val="22"/>
              </w:rPr>
              <w:t>.241</w:t>
            </w:r>
            <w:r w:rsidR="002B3049" w:rsidRPr="00613923">
              <w:rPr>
                <w:b/>
                <w:bCs/>
                <w:sz w:val="22"/>
                <w:szCs w:val="22"/>
              </w:rPr>
              <w:t>)</w:t>
            </w:r>
          </w:p>
        </w:tc>
        <w:tc>
          <w:tcPr>
            <w:tcW w:w="1228" w:type="dxa"/>
            <w:tcBorders>
              <w:top w:val="single" w:sz="4" w:space="0" w:color="auto"/>
              <w:left w:val="nil"/>
              <w:bottom w:val="nil"/>
              <w:right w:val="nil"/>
            </w:tcBorders>
          </w:tcPr>
          <w:p w14:paraId="45A82E8B" w14:textId="00BB4954" w:rsidR="002221B1" w:rsidRPr="00613923" w:rsidRDefault="002B3049" w:rsidP="00493B69">
            <w:pPr>
              <w:spacing w:line="240" w:lineRule="auto"/>
              <w:jc w:val="center"/>
              <w:rPr>
                <w:b/>
                <w:bCs/>
                <w:sz w:val="22"/>
                <w:szCs w:val="22"/>
              </w:rPr>
            </w:pPr>
            <w:r w:rsidRPr="00613923">
              <w:rPr>
                <w:b/>
                <w:bCs/>
                <w:sz w:val="22"/>
                <w:szCs w:val="22"/>
              </w:rPr>
              <w:t>0</w:t>
            </w:r>
            <w:r w:rsidR="00C64D26" w:rsidRPr="00613923">
              <w:rPr>
                <w:b/>
                <w:bCs/>
                <w:sz w:val="22"/>
                <w:szCs w:val="22"/>
              </w:rPr>
              <w:t xml:space="preserve">.065***   </w:t>
            </w:r>
            <w:r w:rsidRPr="00613923">
              <w:rPr>
                <w:b/>
                <w:bCs/>
                <w:sz w:val="22"/>
                <w:szCs w:val="22"/>
              </w:rPr>
              <w:t>(0</w:t>
            </w:r>
            <w:r w:rsidR="00C64D26" w:rsidRPr="00613923">
              <w:rPr>
                <w:b/>
                <w:bCs/>
                <w:sz w:val="22"/>
                <w:szCs w:val="22"/>
              </w:rPr>
              <w:t>.01</w:t>
            </w:r>
            <w:r w:rsidRPr="00613923">
              <w:rPr>
                <w:b/>
                <w:bCs/>
                <w:sz w:val="22"/>
                <w:szCs w:val="22"/>
              </w:rPr>
              <w:t>1)</w:t>
            </w:r>
          </w:p>
        </w:tc>
        <w:tc>
          <w:tcPr>
            <w:tcW w:w="1229" w:type="dxa"/>
            <w:gridSpan w:val="2"/>
            <w:tcBorders>
              <w:top w:val="single" w:sz="4" w:space="0" w:color="auto"/>
              <w:left w:val="nil"/>
              <w:bottom w:val="nil"/>
              <w:right w:val="nil"/>
            </w:tcBorders>
            <w:vAlign w:val="center"/>
          </w:tcPr>
          <w:p w14:paraId="178CA7D3" w14:textId="672750A8" w:rsidR="00C64D26" w:rsidRPr="00613923" w:rsidRDefault="00C64D26" w:rsidP="002B3049">
            <w:pPr>
              <w:spacing w:line="240" w:lineRule="auto"/>
              <w:jc w:val="center"/>
              <w:rPr>
                <w:b/>
                <w:bCs/>
                <w:sz w:val="22"/>
                <w:szCs w:val="22"/>
              </w:rPr>
            </w:pPr>
            <w:r w:rsidRPr="00613923">
              <w:rPr>
                <w:b/>
                <w:bCs/>
                <w:sz w:val="22"/>
                <w:szCs w:val="22"/>
              </w:rPr>
              <w:t>7.18**</w:t>
            </w:r>
          </w:p>
        </w:tc>
        <w:tc>
          <w:tcPr>
            <w:tcW w:w="1229" w:type="dxa"/>
            <w:tcBorders>
              <w:top w:val="single" w:sz="4" w:space="0" w:color="auto"/>
              <w:left w:val="nil"/>
              <w:bottom w:val="nil"/>
              <w:right w:val="nil"/>
            </w:tcBorders>
            <w:vAlign w:val="center"/>
          </w:tcPr>
          <w:p w14:paraId="6EA79829" w14:textId="1DE43ED4" w:rsidR="00B766B2" w:rsidRDefault="00C64D26" w:rsidP="00493B69">
            <w:pPr>
              <w:spacing w:line="240" w:lineRule="auto"/>
              <w:jc w:val="center"/>
              <w:rPr>
                <w:sz w:val="22"/>
                <w:szCs w:val="22"/>
              </w:rPr>
            </w:pPr>
            <w:r w:rsidRPr="00C64D26">
              <w:rPr>
                <w:sz w:val="22"/>
                <w:szCs w:val="22"/>
              </w:rPr>
              <w:t>0.9200</w:t>
            </w:r>
          </w:p>
        </w:tc>
      </w:tr>
      <w:tr w:rsidR="00B766B2" w:rsidRPr="00345F36" w14:paraId="4A516622" w14:textId="2E8550CF" w:rsidTr="002221B1">
        <w:trPr>
          <w:trHeight w:val="1586"/>
        </w:trPr>
        <w:tc>
          <w:tcPr>
            <w:tcW w:w="9214" w:type="dxa"/>
            <w:gridSpan w:val="7"/>
            <w:tcBorders>
              <w:top w:val="single" w:sz="4" w:space="0" w:color="auto"/>
              <w:left w:val="nil"/>
              <w:bottom w:val="nil"/>
              <w:right w:val="nil"/>
            </w:tcBorders>
          </w:tcPr>
          <w:p w14:paraId="54CA6FA4" w14:textId="77777777" w:rsidR="00B766B2" w:rsidRPr="00830B09" w:rsidRDefault="00B766B2" w:rsidP="00147CE7">
            <w:pPr>
              <w:spacing w:line="240" w:lineRule="auto"/>
              <w:ind w:left="1456"/>
              <w:jc w:val="both"/>
              <w:rPr>
                <w:sz w:val="22"/>
                <w:szCs w:val="22"/>
              </w:rPr>
            </w:pPr>
            <w:r>
              <w:rPr>
                <w:i/>
                <w:iCs/>
                <w:sz w:val="22"/>
                <w:szCs w:val="22"/>
              </w:rPr>
              <w:t xml:space="preserve">Note: </w:t>
            </w:r>
            <w:r>
              <w:rPr>
                <w:sz w:val="22"/>
                <w:szCs w:val="22"/>
              </w:rPr>
              <w:t>in</w:t>
            </w:r>
            <w:r w:rsidRPr="00830B09">
              <w:rPr>
                <w:sz w:val="22"/>
                <w:szCs w:val="22"/>
              </w:rPr>
              <w:t>dependent variables are in three-year moving average</w:t>
            </w:r>
            <w:r>
              <w:rPr>
                <w:sz w:val="22"/>
                <w:szCs w:val="22"/>
              </w:rPr>
              <w:t xml:space="preserve"> </w:t>
            </w:r>
            <w:r w:rsidRPr="00830B09">
              <w:rPr>
                <w:sz w:val="22"/>
                <w:szCs w:val="22"/>
              </w:rPr>
              <w:t>form</w:t>
            </w:r>
            <w:r>
              <w:rPr>
                <w:sz w:val="22"/>
                <w:szCs w:val="22"/>
              </w:rPr>
              <w:t>, and logged and differenced as baseline specification indicates.</w:t>
            </w:r>
          </w:p>
          <w:p w14:paraId="734FCFF3" w14:textId="55EC4C11" w:rsidR="00B766B2" w:rsidRDefault="00B766B2" w:rsidP="00147CE7">
            <w:pPr>
              <w:spacing w:line="240" w:lineRule="auto"/>
              <w:ind w:left="1456"/>
              <w:jc w:val="both"/>
              <w:rPr>
                <w:rFonts w:eastAsia="Times New Roman"/>
                <w:sz w:val="22"/>
                <w:szCs w:val="22"/>
              </w:rPr>
            </w:pPr>
            <w:r w:rsidRPr="00ED137A">
              <w:rPr>
                <w:rFonts w:eastAsia="Times New Roman"/>
                <w:sz w:val="22"/>
                <w:szCs w:val="22"/>
                <w:vertAlign w:val="superscript"/>
              </w:rPr>
              <w:t>§</w:t>
            </w:r>
            <w:r>
              <w:rPr>
                <w:rFonts w:eastAsia="Times New Roman"/>
                <w:sz w:val="22"/>
                <w:szCs w:val="22"/>
              </w:rPr>
              <w:t>Null hypothesis is that coefficients are equal to 1.</w:t>
            </w:r>
          </w:p>
          <w:p w14:paraId="51B3B53E" w14:textId="47254067" w:rsidR="00B766B2" w:rsidRPr="00ED137A" w:rsidRDefault="00B766B2" w:rsidP="009C3EE2">
            <w:pPr>
              <w:spacing w:line="240" w:lineRule="auto"/>
              <w:ind w:left="1456"/>
              <w:jc w:val="both"/>
              <w:rPr>
                <w:sz w:val="22"/>
                <w:szCs w:val="22"/>
              </w:rPr>
            </w:pPr>
            <w:r>
              <w:rPr>
                <w:rFonts w:eastAsia="Times New Roman"/>
                <w:sz w:val="22"/>
                <w:szCs w:val="22"/>
              </w:rPr>
              <w:t xml:space="preserve">Robust standard errors </w:t>
            </w:r>
            <w:r w:rsidR="009C3EE2">
              <w:rPr>
                <w:rFonts w:eastAsia="Times New Roman"/>
                <w:sz w:val="22"/>
                <w:szCs w:val="22"/>
              </w:rPr>
              <w:t>in</w:t>
            </w:r>
            <w:r w:rsidRPr="00830B09">
              <w:rPr>
                <w:sz w:val="22"/>
                <w:szCs w:val="22"/>
              </w:rPr>
              <w:t xml:space="preserve"> parenthes</w:t>
            </w:r>
            <w:r w:rsidR="003336A3">
              <w:rPr>
                <w:sz w:val="22"/>
                <w:szCs w:val="22"/>
              </w:rPr>
              <w:t>e</w:t>
            </w:r>
            <w:r w:rsidRPr="00830B09">
              <w:rPr>
                <w:sz w:val="22"/>
                <w:szCs w:val="22"/>
              </w:rPr>
              <w:t>s</w:t>
            </w:r>
          </w:p>
          <w:p w14:paraId="7B42B5F8" w14:textId="68631E96" w:rsidR="00B766B2" w:rsidRPr="002221B1" w:rsidRDefault="00B766B2" w:rsidP="00147CE7">
            <w:pPr>
              <w:spacing w:line="240" w:lineRule="auto"/>
              <w:ind w:left="1456"/>
              <w:jc w:val="both"/>
              <w:rPr>
                <w:sz w:val="22"/>
                <w:szCs w:val="22"/>
              </w:rPr>
            </w:pPr>
            <w:r w:rsidRPr="00010E81">
              <w:rPr>
                <w:b/>
                <w:bCs/>
                <w:sz w:val="22"/>
                <w:szCs w:val="22"/>
              </w:rPr>
              <w:t>*** p&lt;0.01</w:t>
            </w:r>
            <w:r w:rsidRPr="00010E81">
              <w:rPr>
                <w:sz w:val="22"/>
                <w:szCs w:val="22"/>
              </w:rPr>
              <w:t>,</w:t>
            </w:r>
            <w:r w:rsidRPr="00010E81">
              <w:rPr>
                <w:b/>
                <w:bCs/>
                <w:sz w:val="22"/>
                <w:szCs w:val="22"/>
              </w:rPr>
              <w:t>** p&lt;0.05</w:t>
            </w:r>
            <w:r w:rsidRPr="00010E81">
              <w:rPr>
                <w:sz w:val="22"/>
                <w:szCs w:val="22"/>
              </w:rPr>
              <w:t>, * p&lt;0.1</w:t>
            </w:r>
          </w:p>
        </w:tc>
        <w:tc>
          <w:tcPr>
            <w:tcW w:w="1702" w:type="dxa"/>
            <w:gridSpan w:val="2"/>
            <w:tcBorders>
              <w:top w:val="single" w:sz="4" w:space="0" w:color="auto"/>
              <w:left w:val="nil"/>
              <w:bottom w:val="nil"/>
              <w:right w:val="nil"/>
            </w:tcBorders>
          </w:tcPr>
          <w:p w14:paraId="4B79EF0A" w14:textId="77777777" w:rsidR="00B766B2" w:rsidRDefault="00B766B2" w:rsidP="00147CE7">
            <w:pPr>
              <w:spacing w:line="240" w:lineRule="auto"/>
              <w:ind w:left="747"/>
              <w:jc w:val="both"/>
              <w:rPr>
                <w:i/>
                <w:iCs/>
                <w:sz w:val="22"/>
                <w:szCs w:val="22"/>
              </w:rPr>
            </w:pPr>
          </w:p>
        </w:tc>
      </w:tr>
    </w:tbl>
    <w:p w14:paraId="240779A9" w14:textId="3B9B5E7E" w:rsidR="00010E81" w:rsidRDefault="00010E81" w:rsidP="00147CE7">
      <w:pPr>
        <w:jc w:val="both"/>
      </w:pPr>
    </w:p>
    <w:p w14:paraId="5284CC42" w14:textId="77777777" w:rsidR="00010E81" w:rsidRDefault="00010E81" w:rsidP="00147CE7">
      <w:pPr>
        <w:spacing w:line="259" w:lineRule="auto"/>
        <w:jc w:val="both"/>
      </w:pPr>
      <w:r>
        <w:br w:type="page"/>
      </w:r>
    </w:p>
    <w:p w14:paraId="0DCE7B1B" w14:textId="453FAF04" w:rsidR="00010E81" w:rsidRPr="00010E81" w:rsidRDefault="00010E81" w:rsidP="00DF64C4">
      <w:pPr>
        <w:pStyle w:val="Heading3"/>
      </w:pPr>
      <w:bookmarkStart w:id="15" w:name="_Toc198794478"/>
      <w:r w:rsidRPr="00010E81">
        <w:t>Table E – Productivity elasticities from various different specifications.</w:t>
      </w:r>
      <w:bookmarkEnd w:id="15"/>
    </w:p>
    <w:tbl>
      <w:tblPr>
        <w:tblStyle w:val="TableGrid"/>
        <w:tblW w:w="0" w:type="auto"/>
        <w:tblLook w:val="04A0" w:firstRow="1" w:lastRow="0" w:firstColumn="1" w:lastColumn="0" w:noHBand="0" w:noVBand="1"/>
      </w:tblPr>
      <w:tblGrid>
        <w:gridCol w:w="1037"/>
        <w:gridCol w:w="1672"/>
        <w:gridCol w:w="1052"/>
        <w:gridCol w:w="1043"/>
        <w:gridCol w:w="10"/>
        <w:gridCol w:w="1053"/>
        <w:gridCol w:w="1014"/>
        <w:gridCol w:w="39"/>
        <w:gridCol w:w="1053"/>
        <w:gridCol w:w="1053"/>
      </w:tblGrid>
      <w:tr w:rsidR="000B3469" w:rsidRPr="00345F36" w14:paraId="393A5744" w14:textId="77777777" w:rsidTr="00CE5FA0">
        <w:tc>
          <w:tcPr>
            <w:tcW w:w="2709" w:type="dxa"/>
            <w:gridSpan w:val="2"/>
            <w:tcBorders>
              <w:top w:val="nil"/>
              <w:left w:val="nil"/>
              <w:bottom w:val="single" w:sz="4" w:space="0" w:color="auto"/>
              <w:right w:val="nil"/>
            </w:tcBorders>
          </w:tcPr>
          <w:p w14:paraId="44931928" w14:textId="77777777" w:rsidR="000B3469" w:rsidRPr="00345F36" w:rsidRDefault="000B3469" w:rsidP="00147CE7">
            <w:pPr>
              <w:spacing w:line="240" w:lineRule="auto"/>
              <w:jc w:val="both"/>
              <w:rPr>
                <w:sz w:val="22"/>
                <w:szCs w:val="22"/>
              </w:rPr>
            </w:pPr>
          </w:p>
        </w:tc>
        <w:tc>
          <w:tcPr>
            <w:tcW w:w="2095" w:type="dxa"/>
            <w:gridSpan w:val="2"/>
            <w:tcBorders>
              <w:top w:val="nil"/>
              <w:left w:val="nil"/>
              <w:bottom w:val="single" w:sz="4" w:space="0" w:color="auto"/>
              <w:right w:val="nil"/>
            </w:tcBorders>
          </w:tcPr>
          <w:p w14:paraId="5A38EDAB" w14:textId="77777777" w:rsidR="000B3469" w:rsidRPr="00345F36" w:rsidRDefault="000B3469" w:rsidP="00493B69">
            <w:pPr>
              <w:spacing w:line="240" w:lineRule="auto"/>
              <w:jc w:val="center"/>
              <w:rPr>
                <w:sz w:val="22"/>
                <w:szCs w:val="22"/>
              </w:rPr>
            </w:pPr>
            <w:r w:rsidRPr="00345F36">
              <w:rPr>
                <w:sz w:val="22"/>
                <w:szCs w:val="22"/>
              </w:rPr>
              <w:t>(1)</w:t>
            </w:r>
          </w:p>
        </w:tc>
        <w:tc>
          <w:tcPr>
            <w:tcW w:w="2077" w:type="dxa"/>
            <w:gridSpan w:val="3"/>
            <w:tcBorders>
              <w:top w:val="nil"/>
              <w:left w:val="nil"/>
              <w:bottom w:val="single" w:sz="4" w:space="0" w:color="auto"/>
              <w:right w:val="nil"/>
            </w:tcBorders>
          </w:tcPr>
          <w:p w14:paraId="5502A6AA" w14:textId="77777777" w:rsidR="000B3469" w:rsidRPr="00345F36" w:rsidRDefault="000B3469" w:rsidP="00493B69">
            <w:pPr>
              <w:spacing w:line="240" w:lineRule="auto"/>
              <w:jc w:val="center"/>
              <w:rPr>
                <w:sz w:val="22"/>
                <w:szCs w:val="22"/>
              </w:rPr>
            </w:pPr>
            <w:r w:rsidRPr="00345F36">
              <w:rPr>
                <w:sz w:val="22"/>
                <w:szCs w:val="22"/>
              </w:rPr>
              <w:t>(2)</w:t>
            </w:r>
          </w:p>
        </w:tc>
        <w:tc>
          <w:tcPr>
            <w:tcW w:w="2145" w:type="dxa"/>
            <w:gridSpan w:val="3"/>
            <w:tcBorders>
              <w:top w:val="nil"/>
              <w:left w:val="nil"/>
              <w:bottom w:val="single" w:sz="4" w:space="0" w:color="auto"/>
              <w:right w:val="nil"/>
            </w:tcBorders>
          </w:tcPr>
          <w:p w14:paraId="61C0B706" w14:textId="77777777" w:rsidR="000B3469" w:rsidRPr="00345F36" w:rsidRDefault="000B3469" w:rsidP="00493B69">
            <w:pPr>
              <w:spacing w:line="240" w:lineRule="auto"/>
              <w:jc w:val="center"/>
              <w:rPr>
                <w:sz w:val="22"/>
                <w:szCs w:val="22"/>
              </w:rPr>
            </w:pPr>
            <w:r w:rsidRPr="00345F36">
              <w:rPr>
                <w:sz w:val="22"/>
                <w:szCs w:val="22"/>
              </w:rPr>
              <w:t>(3)</w:t>
            </w:r>
          </w:p>
        </w:tc>
      </w:tr>
      <w:tr w:rsidR="000B3469" w:rsidRPr="00345F36" w14:paraId="1C9ACC5D" w14:textId="77777777" w:rsidTr="00CE5FA0">
        <w:tc>
          <w:tcPr>
            <w:tcW w:w="2709" w:type="dxa"/>
            <w:gridSpan w:val="2"/>
            <w:tcBorders>
              <w:top w:val="single" w:sz="4" w:space="0" w:color="auto"/>
              <w:left w:val="nil"/>
              <w:bottom w:val="single" w:sz="4" w:space="0" w:color="auto"/>
              <w:right w:val="nil"/>
            </w:tcBorders>
          </w:tcPr>
          <w:p w14:paraId="0E32AFBC" w14:textId="6871ED50" w:rsidR="000B3469" w:rsidRPr="00345F36" w:rsidRDefault="000B3469" w:rsidP="00147CE7">
            <w:pPr>
              <w:spacing w:line="240" w:lineRule="auto"/>
              <w:jc w:val="both"/>
              <w:rPr>
                <w:sz w:val="22"/>
                <w:szCs w:val="22"/>
              </w:rPr>
            </w:pPr>
            <w:r>
              <w:rPr>
                <w:sz w:val="22"/>
                <w:szCs w:val="22"/>
              </w:rPr>
              <w:t>Alternative Specification</w:t>
            </w:r>
          </w:p>
        </w:tc>
        <w:tc>
          <w:tcPr>
            <w:tcW w:w="2095" w:type="dxa"/>
            <w:gridSpan w:val="2"/>
            <w:tcBorders>
              <w:top w:val="single" w:sz="4" w:space="0" w:color="auto"/>
              <w:left w:val="nil"/>
              <w:bottom w:val="single" w:sz="4" w:space="0" w:color="auto"/>
              <w:right w:val="nil"/>
            </w:tcBorders>
          </w:tcPr>
          <w:p w14:paraId="498C8594" w14:textId="77777777" w:rsidR="000B3469" w:rsidRPr="00345F36" w:rsidRDefault="000B3469" w:rsidP="00147CE7">
            <w:pPr>
              <w:spacing w:line="240" w:lineRule="auto"/>
              <w:jc w:val="both"/>
              <w:rPr>
                <w:sz w:val="22"/>
                <w:szCs w:val="22"/>
              </w:rPr>
            </w:pPr>
            <w:r w:rsidRPr="00345F36">
              <w:rPr>
                <w:sz w:val="22"/>
                <w:szCs w:val="22"/>
              </w:rPr>
              <w:t>Median Earnings</w:t>
            </w:r>
          </w:p>
        </w:tc>
        <w:tc>
          <w:tcPr>
            <w:tcW w:w="2077" w:type="dxa"/>
            <w:gridSpan w:val="3"/>
            <w:tcBorders>
              <w:top w:val="single" w:sz="4" w:space="0" w:color="auto"/>
              <w:left w:val="nil"/>
              <w:bottom w:val="single" w:sz="4" w:space="0" w:color="auto"/>
              <w:right w:val="nil"/>
            </w:tcBorders>
          </w:tcPr>
          <w:p w14:paraId="2EED6724" w14:textId="77777777" w:rsidR="000B3469" w:rsidRPr="00345F36" w:rsidRDefault="000B3469" w:rsidP="00147CE7">
            <w:pPr>
              <w:spacing w:line="240" w:lineRule="auto"/>
              <w:jc w:val="both"/>
              <w:rPr>
                <w:sz w:val="22"/>
                <w:szCs w:val="22"/>
              </w:rPr>
            </w:pPr>
            <w:r w:rsidRPr="00345F36">
              <w:rPr>
                <w:sz w:val="22"/>
                <w:szCs w:val="22"/>
              </w:rPr>
              <w:t>Mean Earnings</w:t>
            </w:r>
          </w:p>
        </w:tc>
        <w:tc>
          <w:tcPr>
            <w:tcW w:w="2145" w:type="dxa"/>
            <w:gridSpan w:val="3"/>
            <w:tcBorders>
              <w:top w:val="single" w:sz="4" w:space="0" w:color="auto"/>
              <w:left w:val="nil"/>
              <w:bottom w:val="single" w:sz="4" w:space="0" w:color="auto"/>
              <w:right w:val="nil"/>
            </w:tcBorders>
          </w:tcPr>
          <w:p w14:paraId="649AAAE4" w14:textId="77777777" w:rsidR="000B3469" w:rsidRPr="00345F36" w:rsidRDefault="000B3469" w:rsidP="00147CE7">
            <w:pPr>
              <w:spacing w:line="240" w:lineRule="auto"/>
              <w:jc w:val="both"/>
              <w:rPr>
                <w:sz w:val="22"/>
                <w:szCs w:val="22"/>
              </w:rPr>
            </w:pPr>
            <w:r w:rsidRPr="00345F36">
              <w:rPr>
                <w:sz w:val="22"/>
                <w:szCs w:val="22"/>
              </w:rPr>
              <w:t>Mean Compensation</w:t>
            </w:r>
          </w:p>
        </w:tc>
      </w:tr>
      <w:tr w:rsidR="009F66A2" w:rsidRPr="00345F36" w14:paraId="3BB5E366" w14:textId="77777777" w:rsidTr="00CE5FA0">
        <w:trPr>
          <w:trHeight w:val="570"/>
        </w:trPr>
        <w:tc>
          <w:tcPr>
            <w:tcW w:w="1037" w:type="dxa"/>
            <w:tcBorders>
              <w:top w:val="single" w:sz="4" w:space="0" w:color="auto"/>
              <w:left w:val="nil"/>
              <w:right w:val="nil"/>
            </w:tcBorders>
          </w:tcPr>
          <w:p w14:paraId="587A8822" w14:textId="056EC9F2" w:rsidR="000B3469" w:rsidRPr="00345F36" w:rsidRDefault="000B3469" w:rsidP="00493B69">
            <w:pPr>
              <w:spacing w:line="240" w:lineRule="auto"/>
              <w:jc w:val="right"/>
              <w:rPr>
                <w:sz w:val="22"/>
                <w:szCs w:val="22"/>
              </w:rPr>
            </w:pPr>
            <w:r>
              <w:rPr>
                <w:sz w:val="22"/>
                <w:szCs w:val="22"/>
              </w:rPr>
              <w:t>A1</w:t>
            </w:r>
          </w:p>
        </w:tc>
        <w:tc>
          <w:tcPr>
            <w:tcW w:w="1672" w:type="dxa"/>
            <w:tcBorders>
              <w:top w:val="single" w:sz="4" w:space="0" w:color="auto"/>
              <w:left w:val="nil"/>
              <w:right w:val="nil"/>
            </w:tcBorders>
          </w:tcPr>
          <w:p w14:paraId="799ED5F6" w14:textId="7102CD07" w:rsidR="000B3469" w:rsidRPr="000B3469" w:rsidRDefault="000B3469" w:rsidP="00493B69">
            <w:pPr>
              <w:spacing w:line="240" w:lineRule="auto"/>
              <w:jc w:val="center"/>
              <w:rPr>
                <w:sz w:val="20"/>
                <w:szCs w:val="20"/>
              </w:rPr>
            </w:pPr>
            <w:r w:rsidRPr="000B3469">
              <w:rPr>
                <w:sz w:val="20"/>
                <w:szCs w:val="20"/>
              </w:rPr>
              <w:t>Without unemployment</w:t>
            </w:r>
          </w:p>
        </w:tc>
        <w:tc>
          <w:tcPr>
            <w:tcW w:w="2095" w:type="dxa"/>
            <w:gridSpan w:val="2"/>
            <w:tcBorders>
              <w:top w:val="single" w:sz="4" w:space="0" w:color="auto"/>
              <w:left w:val="nil"/>
              <w:bottom w:val="single" w:sz="4" w:space="0" w:color="auto"/>
              <w:right w:val="nil"/>
            </w:tcBorders>
            <w:shd w:val="clear" w:color="auto" w:fill="E7E6E6" w:themeFill="background2"/>
          </w:tcPr>
          <w:p w14:paraId="4B8FF15D" w14:textId="76BFC0D3" w:rsidR="000B3469" w:rsidRPr="009F66A2" w:rsidRDefault="002B3049" w:rsidP="00493B69">
            <w:pPr>
              <w:spacing w:line="240" w:lineRule="auto"/>
              <w:jc w:val="center"/>
              <w:rPr>
                <w:b/>
                <w:bCs/>
                <w:sz w:val="22"/>
                <w:szCs w:val="22"/>
              </w:rPr>
            </w:pPr>
            <w:r>
              <w:rPr>
                <w:b/>
                <w:bCs/>
                <w:sz w:val="22"/>
                <w:szCs w:val="22"/>
              </w:rPr>
              <w:t>0</w:t>
            </w:r>
            <w:r w:rsidR="008B4E07" w:rsidRPr="009F66A2">
              <w:rPr>
                <w:b/>
                <w:bCs/>
                <w:sz w:val="22"/>
                <w:szCs w:val="22"/>
              </w:rPr>
              <w:t>.</w:t>
            </w:r>
            <w:r w:rsidRPr="002B3049">
              <w:rPr>
                <w:b/>
                <w:bCs/>
                <w:sz w:val="22"/>
                <w:szCs w:val="22"/>
              </w:rPr>
              <w:t>995</w:t>
            </w:r>
            <w:r w:rsidR="009F66A2" w:rsidRPr="009F66A2">
              <w:rPr>
                <w:b/>
                <w:bCs/>
                <w:sz w:val="22"/>
                <w:szCs w:val="22"/>
              </w:rPr>
              <w:t>***</w:t>
            </w:r>
          </w:p>
          <w:p w14:paraId="0E01846E" w14:textId="334865CA" w:rsidR="009F66A2" w:rsidRPr="00345F36" w:rsidRDefault="009F66A2" w:rsidP="00493B69">
            <w:pPr>
              <w:spacing w:line="240" w:lineRule="auto"/>
              <w:jc w:val="center"/>
              <w:rPr>
                <w:sz w:val="22"/>
                <w:szCs w:val="22"/>
              </w:rPr>
            </w:pPr>
            <w:r>
              <w:rPr>
                <w:sz w:val="22"/>
                <w:szCs w:val="22"/>
              </w:rPr>
              <w:t>(0.</w:t>
            </w:r>
            <w:r w:rsidR="002B3049" w:rsidRPr="002B3049">
              <w:rPr>
                <w:sz w:val="22"/>
                <w:szCs w:val="22"/>
              </w:rPr>
              <w:t>1</w:t>
            </w:r>
            <w:r w:rsidR="002B3049">
              <w:rPr>
                <w:sz w:val="22"/>
                <w:szCs w:val="22"/>
              </w:rPr>
              <w:t>90</w:t>
            </w:r>
            <w:r>
              <w:rPr>
                <w:sz w:val="22"/>
                <w:szCs w:val="22"/>
              </w:rPr>
              <w:t>)</w:t>
            </w:r>
          </w:p>
        </w:tc>
        <w:tc>
          <w:tcPr>
            <w:tcW w:w="2077" w:type="dxa"/>
            <w:gridSpan w:val="3"/>
            <w:tcBorders>
              <w:top w:val="single" w:sz="4" w:space="0" w:color="auto"/>
              <w:left w:val="nil"/>
              <w:bottom w:val="single" w:sz="4" w:space="0" w:color="auto"/>
              <w:right w:val="nil"/>
            </w:tcBorders>
            <w:shd w:val="clear" w:color="auto" w:fill="E7E6E6" w:themeFill="background2"/>
          </w:tcPr>
          <w:p w14:paraId="3A401FBB" w14:textId="1211A7D7" w:rsidR="000B3469" w:rsidRPr="009F66A2" w:rsidRDefault="002B3049" w:rsidP="00493B69">
            <w:pPr>
              <w:spacing w:line="240" w:lineRule="auto"/>
              <w:jc w:val="center"/>
              <w:rPr>
                <w:b/>
                <w:bCs/>
                <w:sz w:val="22"/>
                <w:szCs w:val="22"/>
              </w:rPr>
            </w:pPr>
            <w:r w:rsidRPr="002B3049">
              <w:rPr>
                <w:b/>
                <w:bCs/>
                <w:sz w:val="22"/>
                <w:szCs w:val="22"/>
              </w:rPr>
              <w:t>1.291</w:t>
            </w:r>
            <w:r w:rsidR="009F66A2" w:rsidRPr="009F66A2">
              <w:rPr>
                <w:b/>
                <w:bCs/>
                <w:sz w:val="22"/>
                <w:szCs w:val="22"/>
              </w:rPr>
              <w:t>***</w:t>
            </w:r>
          </w:p>
          <w:p w14:paraId="6267BC17" w14:textId="48FCD58E" w:rsidR="009F66A2" w:rsidRPr="00345F36" w:rsidRDefault="009F66A2" w:rsidP="00493B69">
            <w:pPr>
              <w:spacing w:line="240" w:lineRule="auto"/>
              <w:jc w:val="center"/>
              <w:rPr>
                <w:sz w:val="22"/>
                <w:szCs w:val="22"/>
              </w:rPr>
            </w:pPr>
            <w:r>
              <w:rPr>
                <w:sz w:val="22"/>
                <w:szCs w:val="22"/>
              </w:rPr>
              <w:t>(0</w:t>
            </w:r>
            <w:r w:rsidR="002B3049" w:rsidRPr="002B3049">
              <w:rPr>
                <w:sz w:val="22"/>
                <w:szCs w:val="22"/>
              </w:rPr>
              <w:t>.24</w:t>
            </w:r>
            <w:r w:rsidR="002B3049">
              <w:rPr>
                <w:sz w:val="22"/>
                <w:szCs w:val="22"/>
              </w:rPr>
              <w:t>2</w:t>
            </w:r>
            <w:r>
              <w:rPr>
                <w:sz w:val="22"/>
                <w:szCs w:val="22"/>
              </w:rPr>
              <w:t>)</w:t>
            </w:r>
          </w:p>
        </w:tc>
        <w:tc>
          <w:tcPr>
            <w:tcW w:w="2145" w:type="dxa"/>
            <w:gridSpan w:val="3"/>
            <w:tcBorders>
              <w:top w:val="single" w:sz="4" w:space="0" w:color="auto"/>
              <w:left w:val="nil"/>
              <w:bottom w:val="single" w:sz="4" w:space="0" w:color="auto"/>
              <w:right w:val="nil"/>
            </w:tcBorders>
          </w:tcPr>
          <w:p w14:paraId="3D797D0A" w14:textId="6C2C135D" w:rsidR="000B3469" w:rsidRPr="009F66A2" w:rsidRDefault="002B3049" w:rsidP="00493B69">
            <w:pPr>
              <w:spacing w:line="240" w:lineRule="auto"/>
              <w:jc w:val="center"/>
              <w:rPr>
                <w:b/>
                <w:bCs/>
                <w:sz w:val="22"/>
                <w:szCs w:val="22"/>
              </w:rPr>
            </w:pPr>
            <w:r w:rsidRPr="002B3049">
              <w:rPr>
                <w:b/>
                <w:bCs/>
                <w:sz w:val="22"/>
                <w:szCs w:val="22"/>
              </w:rPr>
              <w:t>1.687</w:t>
            </w:r>
            <w:r w:rsidR="009F66A2" w:rsidRPr="009F66A2">
              <w:rPr>
                <w:b/>
                <w:bCs/>
                <w:sz w:val="22"/>
                <w:szCs w:val="22"/>
              </w:rPr>
              <w:t>***</w:t>
            </w:r>
          </w:p>
          <w:p w14:paraId="7DBC4BD3" w14:textId="3AF805CF" w:rsidR="009F66A2" w:rsidRPr="004E3C44" w:rsidRDefault="009F66A2" w:rsidP="00493B69">
            <w:pPr>
              <w:spacing w:line="240" w:lineRule="auto"/>
              <w:jc w:val="center"/>
              <w:rPr>
                <w:sz w:val="22"/>
                <w:szCs w:val="22"/>
              </w:rPr>
            </w:pPr>
            <w:r>
              <w:rPr>
                <w:sz w:val="22"/>
                <w:szCs w:val="22"/>
              </w:rPr>
              <w:t>(0</w:t>
            </w:r>
            <w:r w:rsidR="002B3049" w:rsidRPr="002B3049">
              <w:rPr>
                <w:sz w:val="22"/>
                <w:szCs w:val="22"/>
              </w:rPr>
              <w:t>.23</w:t>
            </w:r>
            <w:r w:rsidR="002B3049">
              <w:rPr>
                <w:sz w:val="22"/>
                <w:szCs w:val="22"/>
              </w:rPr>
              <w:t>2</w:t>
            </w:r>
            <w:r>
              <w:rPr>
                <w:sz w:val="22"/>
                <w:szCs w:val="22"/>
              </w:rPr>
              <w:t>)</w:t>
            </w:r>
          </w:p>
        </w:tc>
      </w:tr>
      <w:tr w:rsidR="000B3469" w:rsidRPr="00345F36" w14:paraId="28255A63" w14:textId="77777777" w:rsidTr="00CE5FA0">
        <w:trPr>
          <w:trHeight w:val="570"/>
        </w:trPr>
        <w:tc>
          <w:tcPr>
            <w:tcW w:w="1037" w:type="dxa"/>
            <w:tcBorders>
              <w:top w:val="single" w:sz="4" w:space="0" w:color="auto"/>
              <w:left w:val="nil"/>
              <w:right w:val="nil"/>
            </w:tcBorders>
          </w:tcPr>
          <w:p w14:paraId="30561FF3" w14:textId="4A31649A" w:rsidR="000B3469" w:rsidRDefault="000B3469" w:rsidP="00493B69">
            <w:pPr>
              <w:spacing w:line="240" w:lineRule="auto"/>
              <w:jc w:val="right"/>
              <w:rPr>
                <w:sz w:val="22"/>
                <w:szCs w:val="22"/>
              </w:rPr>
            </w:pPr>
            <w:r>
              <w:rPr>
                <w:sz w:val="22"/>
                <w:szCs w:val="22"/>
              </w:rPr>
              <w:t>A2</w:t>
            </w:r>
          </w:p>
        </w:tc>
        <w:tc>
          <w:tcPr>
            <w:tcW w:w="1672" w:type="dxa"/>
            <w:tcBorders>
              <w:top w:val="single" w:sz="4" w:space="0" w:color="auto"/>
              <w:left w:val="nil"/>
              <w:right w:val="nil"/>
            </w:tcBorders>
          </w:tcPr>
          <w:p w14:paraId="73146DA3" w14:textId="3C925A9B" w:rsidR="000B3469" w:rsidRPr="000B3469" w:rsidRDefault="000B3469" w:rsidP="00493B69">
            <w:pPr>
              <w:spacing w:line="240" w:lineRule="auto"/>
              <w:jc w:val="center"/>
              <w:rPr>
                <w:sz w:val="20"/>
                <w:szCs w:val="20"/>
              </w:rPr>
            </w:pPr>
            <w:r>
              <w:rPr>
                <w:sz w:val="20"/>
                <w:szCs w:val="20"/>
              </w:rPr>
              <w:t>Without inflation</w:t>
            </w:r>
          </w:p>
        </w:tc>
        <w:tc>
          <w:tcPr>
            <w:tcW w:w="2095" w:type="dxa"/>
            <w:gridSpan w:val="2"/>
            <w:tcBorders>
              <w:top w:val="single" w:sz="4" w:space="0" w:color="auto"/>
              <w:left w:val="nil"/>
              <w:bottom w:val="single" w:sz="4" w:space="0" w:color="auto"/>
              <w:right w:val="nil"/>
            </w:tcBorders>
            <w:shd w:val="clear" w:color="auto" w:fill="E7E6E6" w:themeFill="background2"/>
          </w:tcPr>
          <w:p w14:paraId="5DAB3AFC" w14:textId="0A48AF70" w:rsidR="000B3469" w:rsidRPr="009F66A2" w:rsidRDefault="009F66A2" w:rsidP="00493B69">
            <w:pPr>
              <w:spacing w:line="240" w:lineRule="auto"/>
              <w:jc w:val="center"/>
              <w:rPr>
                <w:b/>
                <w:bCs/>
                <w:sz w:val="22"/>
                <w:szCs w:val="22"/>
              </w:rPr>
            </w:pPr>
            <w:r w:rsidRPr="009F66A2">
              <w:rPr>
                <w:b/>
                <w:bCs/>
                <w:sz w:val="22"/>
                <w:szCs w:val="22"/>
              </w:rPr>
              <w:t>0</w:t>
            </w:r>
            <w:r w:rsidR="008B4E07" w:rsidRPr="009F66A2">
              <w:rPr>
                <w:b/>
                <w:bCs/>
                <w:sz w:val="22"/>
                <w:szCs w:val="22"/>
              </w:rPr>
              <w:t>.984</w:t>
            </w:r>
            <w:r w:rsidRPr="009F66A2">
              <w:rPr>
                <w:b/>
                <w:bCs/>
                <w:sz w:val="22"/>
                <w:szCs w:val="22"/>
              </w:rPr>
              <w:t>***</w:t>
            </w:r>
          </w:p>
          <w:p w14:paraId="71BF078A" w14:textId="06D22408" w:rsidR="009F66A2" w:rsidRPr="00345F36" w:rsidRDefault="009F66A2" w:rsidP="00493B69">
            <w:pPr>
              <w:spacing w:line="240" w:lineRule="auto"/>
              <w:jc w:val="center"/>
              <w:rPr>
                <w:sz w:val="22"/>
                <w:szCs w:val="22"/>
              </w:rPr>
            </w:pPr>
            <w:r>
              <w:rPr>
                <w:sz w:val="22"/>
                <w:szCs w:val="22"/>
              </w:rPr>
              <w:t>(</w:t>
            </w:r>
            <w:r w:rsidR="00CE5FA0">
              <w:rPr>
                <w:sz w:val="22"/>
                <w:szCs w:val="22"/>
              </w:rPr>
              <w:t>0</w:t>
            </w:r>
            <w:r w:rsidR="00CE5FA0" w:rsidRPr="00CE5FA0">
              <w:rPr>
                <w:sz w:val="22"/>
                <w:szCs w:val="22"/>
              </w:rPr>
              <w:t>.1</w:t>
            </w:r>
            <w:r w:rsidR="00CE5FA0">
              <w:rPr>
                <w:sz w:val="22"/>
                <w:szCs w:val="22"/>
              </w:rPr>
              <w:t>90</w:t>
            </w:r>
            <w:r>
              <w:rPr>
                <w:sz w:val="22"/>
                <w:szCs w:val="22"/>
              </w:rPr>
              <w:t>)</w:t>
            </w:r>
          </w:p>
        </w:tc>
        <w:tc>
          <w:tcPr>
            <w:tcW w:w="2077" w:type="dxa"/>
            <w:gridSpan w:val="3"/>
            <w:tcBorders>
              <w:top w:val="single" w:sz="4" w:space="0" w:color="auto"/>
              <w:left w:val="nil"/>
              <w:bottom w:val="single" w:sz="4" w:space="0" w:color="auto"/>
              <w:right w:val="nil"/>
            </w:tcBorders>
            <w:shd w:val="clear" w:color="auto" w:fill="E7E6E6" w:themeFill="background2"/>
          </w:tcPr>
          <w:p w14:paraId="6D5379C0" w14:textId="6E6176E9" w:rsidR="000B3469" w:rsidRPr="009F66A2" w:rsidRDefault="008B4E07" w:rsidP="00493B69">
            <w:pPr>
              <w:spacing w:line="240" w:lineRule="auto"/>
              <w:jc w:val="center"/>
              <w:rPr>
                <w:b/>
                <w:bCs/>
                <w:sz w:val="22"/>
                <w:szCs w:val="22"/>
              </w:rPr>
            </w:pPr>
            <w:r w:rsidRPr="009F66A2">
              <w:rPr>
                <w:b/>
                <w:bCs/>
                <w:sz w:val="22"/>
                <w:szCs w:val="22"/>
              </w:rPr>
              <w:t>1.364</w:t>
            </w:r>
            <w:r w:rsidR="009F66A2" w:rsidRPr="009F66A2">
              <w:rPr>
                <w:b/>
                <w:bCs/>
                <w:sz w:val="22"/>
                <w:szCs w:val="22"/>
              </w:rPr>
              <w:t>***</w:t>
            </w:r>
          </w:p>
          <w:p w14:paraId="489126C1" w14:textId="363EA050" w:rsidR="009F66A2" w:rsidRPr="00345F36" w:rsidRDefault="009F66A2" w:rsidP="00493B69">
            <w:pPr>
              <w:spacing w:line="240" w:lineRule="auto"/>
              <w:jc w:val="center"/>
              <w:rPr>
                <w:sz w:val="22"/>
                <w:szCs w:val="22"/>
              </w:rPr>
            </w:pPr>
            <w:r>
              <w:rPr>
                <w:sz w:val="22"/>
                <w:szCs w:val="22"/>
              </w:rPr>
              <w:t>(0</w:t>
            </w:r>
            <w:r w:rsidR="00CE5FA0">
              <w:rPr>
                <w:sz w:val="22"/>
                <w:szCs w:val="22"/>
              </w:rPr>
              <w:t>.</w:t>
            </w:r>
            <w:r w:rsidR="00CE5FA0" w:rsidRPr="00CE5FA0">
              <w:rPr>
                <w:sz w:val="22"/>
                <w:szCs w:val="22"/>
              </w:rPr>
              <w:t>2</w:t>
            </w:r>
            <w:r w:rsidR="00CE5FA0">
              <w:rPr>
                <w:sz w:val="22"/>
                <w:szCs w:val="22"/>
              </w:rPr>
              <w:t>20</w:t>
            </w:r>
            <w:r>
              <w:rPr>
                <w:sz w:val="22"/>
                <w:szCs w:val="22"/>
              </w:rPr>
              <w:t>)</w:t>
            </w:r>
          </w:p>
        </w:tc>
        <w:tc>
          <w:tcPr>
            <w:tcW w:w="2145" w:type="dxa"/>
            <w:gridSpan w:val="3"/>
            <w:tcBorders>
              <w:top w:val="single" w:sz="4" w:space="0" w:color="auto"/>
              <w:left w:val="nil"/>
              <w:bottom w:val="single" w:sz="4" w:space="0" w:color="auto"/>
              <w:right w:val="nil"/>
            </w:tcBorders>
          </w:tcPr>
          <w:p w14:paraId="163745F9" w14:textId="1EDE0B17" w:rsidR="000B3469" w:rsidRPr="009F66A2" w:rsidRDefault="008B4E07" w:rsidP="00493B69">
            <w:pPr>
              <w:spacing w:line="240" w:lineRule="auto"/>
              <w:jc w:val="center"/>
              <w:rPr>
                <w:b/>
                <w:bCs/>
                <w:sz w:val="22"/>
                <w:szCs w:val="22"/>
              </w:rPr>
            </w:pPr>
            <w:r w:rsidRPr="009F66A2">
              <w:rPr>
                <w:b/>
                <w:bCs/>
                <w:sz w:val="22"/>
                <w:szCs w:val="22"/>
              </w:rPr>
              <w:t>1.740</w:t>
            </w:r>
            <w:r w:rsidR="009F66A2" w:rsidRPr="009F66A2">
              <w:rPr>
                <w:b/>
                <w:bCs/>
                <w:sz w:val="22"/>
                <w:szCs w:val="22"/>
              </w:rPr>
              <w:t>***</w:t>
            </w:r>
          </w:p>
          <w:p w14:paraId="03888A11" w14:textId="7D39F448" w:rsidR="009F66A2" w:rsidRPr="004E3C44" w:rsidRDefault="009F66A2" w:rsidP="00493B69">
            <w:pPr>
              <w:spacing w:line="240" w:lineRule="auto"/>
              <w:jc w:val="center"/>
              <w:rPr>
                <w:sz w:val="22"/>
                <w:szCs w:val="22"/>
              </w:rPr>
            </w:pPr>
            <w:r>
              <w:rPr>
                <w:sz w:val="22"/>
                <w:szCs w:val="22"/>
              </w:rPr>
              <w:t>(0.</w:t>
            </w:r>
            <w:r w:rsidR="00CE5FA0" w:rsidRPr="00CE5FA0">
              <w:rPr>
                <w:sz w:val="22"/>
                <w:szCs w:val="22"/>
              </w:rPr>
              <w:t>22</w:t>
            </w:r>
            <w:r w:rsidR="00CE5FA0">
              <w:rPr>
                <w:sz w:val="22"/>
                <w:szCs w:val="22"/>
              </w:rPr>
              <w:t>2</w:t>
            </w:r>
            <w:r>
              <w:rPr>
                <w:sz w:val="22"/>
                <w:szCs w:val="22"/>
              </w:rPr>
              <w:t>)</w:t>
            </w:r>
          </w:p>
        </w:tc>
      </w:tr>
      <w:tr w:rsidR="00CE5FA0" w:rsidRPr="00345F36" w14:paraId="717CBB10" w14:textId="77777777" w:rsidTr="00CE5FA0">
        <w:trPr>
          <w:trHeight w:val="570"/>
        </w:trPr>
        <w:tc>
          <w:tcPr>
            <w:tcW w:w="1037" w:type="dxa"/>
            <w:tcBorders>
              <w:left w:val="nil"/>
              <w:right w:val="nil"/>
            </w:tcBorders>
          </w:tcPr>
          <w:p w14:paraId="2FE9CB51" w14:textId="0963D7AC" w:rsidR="00CE5FA0" w:rsidRPr="00345F36" w:rsidRDefault="00CE5FA0" w:rsidP="00CE5FA0">
            <w:pPr>
              <w:spacing w:line="240" w:lineRule="auto"/>
              <w:jc w:val="right"/>
              <w:rPr>
                <w:sz w:val="22"/>
                <w:szCs w:val="22"/>
              </w:rPr>
            </w:pPr>
            <w:r w:rsidRPr="006C71F1">
              <w:t>A3</w:t>
            </w:r>
          </w:p>
        </w:tc>
        <w:tc>
          <w:tcPr>
            <w:tcW w:w="1672" w:type="dxa"/>
            <w:tcBorders>
              <w:left w:val="nil"/>
              <w:right w:val="nil"/>
            </w:tcBorders>
          </w:tcPr>
          <w:p w14:paraId="7734B196" w14:textId="3D67BF08" w:rsidR="00CE5FA0" w:rsidRPr="00E3148A" w:rsidRDefault="00CE5FA0" w:rsidP="00CE5FA0">
            <w:pPr>
              <w:spacing w:line="240" w:lineRule="auto"/>
              <w:jc w:val="center"/>
              <w:rPr>
                <w:sz w:val="20"/>
                <w:szCs w:val="20"/>
                <w:vertAlign w:val="superscript"/>
              </w:rPr>
            </w:pPr>
            <w:r w:rsidRPr="000B3469">
              <w:rPr>
                <w:sz w:val="20"/>
                <w:szCs w:val="20"/>
              </w:rPr>
              <w:t>With pre-2008 dummy variable</w:t>
            </w:r>
            <w:r w:rsidR="00E3148A">
              <w:rPr>
                <w:sz w:val="20"/>
                <w:szCs w:val="20"/>
                <w:vertAlign w:val="superscript"/>
              </w:rPr>
              <w:t>╬</w:t>
            </w:r>
          </w:p>
        </w:tc>
        <w:tc>
          <w:tcPr>
            <w:tcW w:w="1052" w:type="dxa"/>
            <w:tcBorders>
              <w:top w:val="single" w:sz="4" w:space="0" w:color="auto"/>
              <w:left w:val="nil"/>
              <w:bottom w:val="single" w:sz="4" w:space="0" w:color="auto"/>
              <w:right w:val="single" w:sz="4" w:space="0" w:color="auto"/>
            </w:tcBorders>
            <w:shd w:val="clear" w:color="auto" w:fill="E7E6E6" w:themeFill="background2"/>
          </w:tcPr>
          <w:p w14:paraId="5974A527" w14:textId="77777777" w:rsidR="00CE5FA0" w:rsidRDefault="00CE5FA0" w:rsidP="00CE5FA0">
            <w:pPr>
              <w:spacing w:line="240" w:lineRule="auto"/>
              <w:jc w:val="right"/>
              <w:rPr>
                <w:sz w:val="22"/>
                <w:szCs w:val="22"/>
              </w:rPr>
            </w:pPr>
            <w:r w:rsidRPr="00CE5FA0">
              <w:rPr>
                <w:sz w:val="22"/>
                <w:szCs w:val="22"/>
              </w:rPr>
              <w:t>-</w:t>
            </w:r>
            <w:r>
              <w:rPr>
                <w:sz w:val="22"/>
                <w:szCs w:val="22"/>
              </w:rPr>
              <w:t>0</w:t>
            </w:r>
            <w:r w:rsidRPr="00CE5FA0">
              <w:rPr>
                <w:sz w:val="22"/>
                <w:szCs w:val="22"/>
              </w:rPr>
              <w:t>.204</w:t>
            </w:r>
          </w:p>
          <w:p w14:paraId="67EA6DC6" w14:textId="6AF0A88D" w:rsidR="00CE5FA0" w:rsidRDefault="00CE5FA0" w:rsidP="00CE5FA0">
            <w:pPr>
              <w:spacing w:line="240" w:lineRule="auto"/>
              <w:jc w:val="right"/>
              <w:rPr>
                <w:sz w:val="22"/>
                <w:szCs w:val="22"/>
              </w:rPr>
            </w:pPr>
            <w:r>
              <w:rPr>
                <w:sz w:val="22"/>
                <w:szCs w:val="22"/>
              </w:rPr>
              <w:t>(</w:t>
            </w:r>
            <w:r w:rsidRPr="009F66A2">
              <w:rPr>
                <w:sz w:val="22"/>
                <w:szCs w:val="22"/>
              </w:rPr>
              <w:t>0</w:t>
            </w:r>
            <w:r w:rsidRPr="00CE5FA0">
              <w:rPr>
                <w:sz w:val="22"/>
                <w:szCs w:val="22"/>
              </w:rPr>
              <w:t>.420</w:t>
            </w:r>
            <w:r>
              <w:rPr>
                <w:sz w:val="22"/>
                <w:szCs w:val="22"/>
              </w:rPr>
              <w:t>)</w:t>
            </w:r>
          </w:p>
        </w:tc>
        <w:tc>
          <w:tcPr>
            <w:tcW w:w="1053"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4B71728F" w14:textId="7E5DDBF3" w:rsidR="00CE5FA0" w:rsidRPr="00B9467F" w:rsidRDefault="00CE5FA0" w:rsidP="00CE5FA0">
            <w:pPr>
              <w:spacing w:line="240" w:lineRule="auto"/>
              <w:rPr>
                <w:b/>
                <w:bCs/>
                <w:color w:val="FF0000"/>
                <w:sz w:val="22"/>
                <w:szCs w:val="22"/>
              </w:rPr>
            </w:pPr>
            <w:r w:rsidRPr="00B9467F">
              <w:rPr>
                <w:b/>
                <w:bCs/>
                <w:color w:val="FF0000"/>
                <w:sz w:val="22"/>
                <w:szCs w:val="22"/>
              </w:rPr>
              <w:t>1.147**</w:t>
            </w:r>
          </w:p>
          <w:p w14:paraId="3C14FADA" w14:textId="446F0135" w:rsidR="00CE5FA0" w:rsidRPr="00B9467F" w:rsidRDefault="00CE5FA0" w:rsidP="00CE5FA0">
            <w:pPr>
              <w:spacing w:line="240" w:lineRule="auto"/>
              <w:rPr>
                <w:b/>
                <w:bCs/>
                <w:sz w:val="22"/>
                <w:szCs w:val="22"/>
              </w:rPr>
            </w:pPr>
            <w:r w:rsidRPr="00B9467F">
              <w:rPr>
                <w:b/>
                <w:bCs/>
                <w:color w:val="FF0000"/>
                <w:sz w:val="22"/>
                <w:szCs w:val="22"/>
              </w:rPr>
              <w:t>(0.397)</w:t>
            </w:r>
          </w:p>
        </w:tc>
        <w:tc>
          <w:tcPr>
            <w:tcW w:w="1053" w:type="dxa"/>
            <w:tcBorders>
              <w:top w:val="single" w:sz="4" w:space="0" w:color="auto"/>
              <w:left w:val="single" w:sz="4" w:space="0" w:color="auto"/>
              <w:bottom w:val="single" w:sz="4" w:space="0" w:color="auto"/>
              <w:right w:val="single" w:sz="4" w:space="0" w:color="auto"/>
            </w:tcBorders>
            <w:shd w:val="clear" w:color="auto" w:fill="auto"/>
          </w:tcPr>
          <w:p w14:paraId="637FD0D5" w14:textId="77777777" w:rsidR="00CE5FA0" w:rsidRDefault="00CE5FA0" w:rsidP="00CE5FA0">
            <w:pPr>
              <w:spacing w:line="240" w:lineRule="auto"/>
              <w:jc w:val="right"/>
              <w:rPr>
                <w:sz w:val="22"/>
                <w:szCs w:val="22"/>
              </w:rPr>
            </w:pPr>
            <w:r>
              <w:rPr>
                <w:sz w:val="22"/>
                <w:szCs w:val="22"/>
              </w:rPr>
              <w:t>0</w:t>
            </w:r>
            <w:r w:rsidRPr="00CE5FA0">
              <w:rPr>
                <w:sz w:val="22"/>
                <w:szCs w:val="22"/>
              </w:rPr>
              <w:t>.2</w:t>
            </w:r>
            <w:r>
              <w:rPr>
                <w:sz w:val="22"/>
                <w:szCs w:val="22"/>
              </w:rPr>
              <w:t>90</w:t>
            </w:r>
          </w:p>
          <w:p w14:paraId="27BAE780" w14:textId="3D7EF432" w:rsidR="00CE5FA0" w:rsidRDefault="00CE5FA0" w:rsidP="00CE5FA0">
            <w:pPr>
              <w:spacing w:line="240" w:lineRule="auto"/>
              <w:jc w:val="right"/>
              <w:rPr>
                <w:sz w:val="22"/>
                <w:szCs w:val="22"/>
              </w:rPr>
            </w:pPr>
            <w:r>
              <w:rPr>
                <w:sz w:val="22"/>
                <w:szCs w:val="22"/>
              </w:rPr>
              <w:t>(0.558)</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tcPr>
          <w:p w14:paraId="1D7E8435" w14:textId="77777777" w:rsidR="00CE5FA0" w:rsidRPr="00CE5FA0" w:rsidRDefault="00CE5FA0" w:rsidP="00CE5FA0">
            <w:pPr>
              <w:spacing w:line="240" w:lineRule="auto"/>
              <w:rPr>
                <w:color w:val="FF0000"/>
                <w:sz w:val="22"/>
                <w:szCs w:val="22"/>
              </w:rPr>
            </w:pPr>
            <w:r w:rsidRPr="00CE5FA0">
              <w:rPr>
                <w:color w:val="FF0000"/>
                <w:sz w:val="22"/>
                <w:szCs w:val="22"/>
              </w:rPr>
              <w:t>1.044*</w:t>
            </w:r>
          </w:p>
          <w:p w14:paraId="500FFE75" w14:textId="6FAAE911" w:rsidR="00CE5FA0" w:rsidRPr="00345F36" w:rsidRDefault="00CE5FA0" w:rsidP="00CE5FA0">
            <w:pPr>
              <w:spacing w:line="240" w:lineRule="auto"/>
              <w:rPr>
                <w:sz w:val="22"/>
                <w:szCs w:val="22"/>
              </w:rPr>
            </w:pPr>
            <w:r w:rsidRPr="00CE5FA0">
              <w:rPr>
                <w:color w:val="FF0000"/>
                <w:sz w:val="22"/>
                <w:szCs w:val="22"/>
              </w:rPr>
              <w:t>(0.531)</w:t>
            </w:r>
          </w:p>
        </w:tc>
        <w:tc>
          <w:tcPr>
            <w:tcW w:w="1053" w:type="dxa"/>
            <w:tcBorders>
              <w:top w:val="single" w:sz="4" w:space="0" w:color="auto"/>
              <w:left w:val="single" w:sz="4" w:space="0" w:color="auto"/>
              <w:bottom w:val="single" w:sz="4" w:space="0" w:color="auto"/>
              <w:right w:val="single" w:sz="4" w:space="0" w:color="auto"/>
            </w:tcBorders>
            <w:shd w:val="clear" w:color="auto" w:fill="auto"/>
          </w:tcPr>
          <w:p w14:paraId="4452A50B" w14:textId="77777777" w:rsidR="00CE5FA0" w:rsidRDefault="00CE5FA0" w:rsidP="00CE5FA0">
            <w:pPr>
              <w:spacing w:line="240" w:lineRule="auto"/>
              <w:jc w:val="right"/>
              <w:rPr>
                <w:sz w:val="22"/>
                <w:szCs w:val="22"/>
              </w:rPr>
            </w:pPr>
            <w:r w:rsidRPr="00CE5FA0">
              <w:rPr>
                <w:sz w:val="22"/>
                <w:szCs w:val="22"/>
              </w:rPr>
              <w:t>.755*</w:t>
            </w:r>
          </w:p>
          <w:p w14:paraId="59E093F1" w14:textId="2B3A7A3D" w:rsidR="00CE5FA0" w:rsidRPr="00CE5FA0" w:rsidRDefault="00CE5FA0" w:rsidP="00CE5FA0">
            <w:pPr>
              <w:spacing w:line="240" w:lineRule="auto"/>
              <w:jc w:val="right"/>
              <w:rPr>
                <w:sz w:val="22"/>
                <w:szCs w:val="22"/>
              </w:rPr>
            </w:pPr>
            <w:r>
              <w:rPr>
                <w:sz w:val="22"/>
                <w:szCs w:val="22"/>
              </w:rPr>
              <w:t>(0.430)</w:t>
            </w:r>
          </w:p>
        </w:tc>
        <w:tc>
          <w:tcPr>
            <w:tcW w:w="1053" w:type="dxa"/>
            <w:tcBorders>
              <w:top w:val="single" w:sz="4" w:space="0" w:color="auto"/>
              <w:left w:val="single" w:sz="4" w:space="0" w:color="auto"/>
              <w:bottom w:val="single" w:sz="4" w:space="0" w:color="auto"/>
              <w:right w:val="nil"/>
            </w:tcBorders>
            <w:shd w:val="clear" w:color="auto" w:fill="auto"/>
          </w:tcPr>
          <w:p w14:paraId="55196B71" w14:textId="77777777" w:rsidR="00CE5FA0" w:rsidRPr="00B9467F" w:rsidRDefault="00CE5FA0" w:rsidP="00CE5FA0">
            <w:pPr>
              <w:spacing w:line="240" w:lineRule="auto"/>
              <w:rPr>
                <w:b/>
                <w:bCs/>
                <w:color w:val="FF0000"/>
                <w:sz w:val="22"/>
                <w:szCs w:val="22"/>
              </w:rPr>
            </w:pPr>
            <w:r w:rsidRPr="00B9467F">
              <w:rPr>
                <w:b/>
                <w:bCs/>
                <w:color w:val="FF0000"/>
                <w:sz w:val="22"/>
                <w:szCs w:val="22"/>
              </w:rPr>
              <w:t>.958**</w:t>
            </w:r>
          </w:p>
          <w:p w14:paraId="1D697365" w14:textId="230BE408" w:rsidR="00CE5FA0" w:rsidRPr="00B9467F" w:rsidRDefault="00CE5FA0" w:rsidP="00CE5FA0">
            <w:pPr>
              <w:spacing w:line="240" w:lineRule="auto"/>
              <w:rPr>
                <w:b/>
                <w:bCs/>
                <w:color w:val="FF0000"/>
                <w:sz w:val="22"/>
                <w:szCs w:val="22"/>
              </w:rPr>
            </w:pPr>
            <w:r w:rsidRPr="00B9467F">
              <w:rPr>
                <w:b/>
                <w:bCs/>
                <w:color w:val="FF0000"/>
                <w:sz w:val="22"/>
                <w:szCs w:val="22"/>
              </w:rPr>
              <w:t>(0.355)</w:t>
            </w:r>
          </w:p>
        </w:tc>
      </w:tr>
      <w:tr w:rsidR="00CE5FA0" w:rsidRPr="00345F36" w14:paraId="1B64A1BD" w14:textId="77777777" w:rsidTr="00943268">
        <w:trPr>
          <w:trHeight w:val="570"/>
        </w:trPr>
        <w:tc>
          <w:tcPr>
            <w:tcW w:w="1037" w:type="dxa"/>
            <w:tcBorders>
              <w:left w:val="nil"/>
              <w:bottom w:val="single" w:sz="4" w:space="0" w:color="auto"/>
              <w:right w:val="nil"/>
            </w:tcBorders>
          </w:tcPr>
          <w:p w14:paraId="4185C7A3" w14:textId="5655A285" w:rsidR="00CE5FA0" w:rsidRPr="00345F36" w:rsidRDefault="00CE5FA0" w:rsidP="00CE5FA0">
            <w:pPr>
              <w:spacing w:line="240" w:lineRule="auto"/>
              <w:jc w:val="right"/>
              <w:rPr>
                <w:sz w:val="22"/>
                <w:szCs w:val="22"/>
              </w:rPr>
            </w:pPr>
            <w:r w:rsidRPr="006C71F1">
              <w:t>A4</w:t>
            </w:r>
          </w:p>
        </w:tc>
        <w:tc>
          <w:tcPr>
            <w:tcW w:w="1672" w:type="dxa"/>
            <w:tcBorders>
              <w:left w:val="nil"/>
              <w:bottom w:val="single" w:sz="4" w:space="0" w:color="auto"/>
              <w:right w:val="nil"/>
            </w:tcBorders>
          </w:tcPr>
          <w:p w14:paraId="592138B1" w14:textId="1958667C" w:rsidR="00CE5FA0" w:rsidRPr="000B3469" w:rsidRDefault="00CE5FA0" w:rsidP="00CE5FA0">
            <w:pPr>
              <w:spacing w:line="240" w:lineRule="auto"/>
              <w:jc w:val="center"/>
              <w:rPr>
                <w:sz w:val="20"/>
                <w:szCs w:val="20"/>
              </w:rPr>
            </w:pPr>
            <w:r w:rsidRPr="000B3469">
              <w:rPr>
                <w:sz w:val="20"/>
                <w:szCs w:val="20"/>
              </w:rPr>
              <w:t>Contemporaneous</w:t>
            </w:r>
          </w:p>
        </w:tc>
        <w:tc>
          <w:tcPr>
            <w:tcW w:w="2095" w:type="dxa"/>
            <w:gridSpan w:val="2"/>
            <w:tcBorders>
              <w:top w:val="single" w:sz="4" w:space="0" w:color="auto"/>
              <w:left w:val="nil"/>
              <w:bottom w:val="single" w:sz="4" w:space="0" w:color="auto"/>
              <w:right w:val="nil"/>
            </w:tcBorders>
            <w:shd w:val="clear" w:color="auto" w:fill="E7E6E6" w:themeFill="background2"/>
          </w:tcPr>
          <w:p w14:paraId="3606B3F2" w14:textId="785A2C70" w:rsidR="00CE5FA0" w:rsidRPr="00B9467F" w:rsidRDefault="00CE5FA0" w:rsidP="00CE5FA0">
            <w:pPr>
              <w:spacing w:line="240" w:lineRule="auto"/>
              <w:jc w:val="center"/>
              <w:rPr>
                <w:b/>
                <w:bCs/>
                <w:sz w:val="22"/>
                <w:szCs w:val="22"/>
              </w:rPr>
            </w:pPr>
            <w:r w:rsidRPr="00B9467F">
              <w:rPr>
                <w:b/>
                <w:bCs/>
                <w:sz w:val="22"/>
                <w:szCs w:val="22"/>
              </w:rPr>
              <w:t>0.621***</w:t>
            </w:r>
          </w:p>
          <w:p w14:paraId="1ACAC638" w14:textId="50048AE7" w:rsidR="00CE5FA0" w:rsidRPr="00B9467F" w:rsidRDefault="00CE5FA0" w:rsidP="00CE5FA0">
            <w:pPr>
              <w:spacing w:line="240" w:lineRule="auto"/>
              <w:jc w:val="center"/>
              <w:rPr>
                <w:b/>
                <w:bCs/>
                <w:sz w:val="22"/>
                <w:szCs w:val="22"/>
              </w:rPr>
            </w:pPr>
            <w:r w:rsidRPr="00B9467F">
              <w:rPr>
                <w:b/>
                <w:bCs/>
                <w:sz w:val="22"/>
                <w:szCs w:val="22"/>
              </w:rPr>
              <w:t>(0.200)</w:t>
            </w:r>
          </w:p>
        </w:tc>
        <w:tc>
          <w:tcPr>
            <w:tcW w:w="2077" w:type="dxa"/>
            <w:gridSpan w:val="3"/>
            <w:tcBorders>
              <w:top w:val="single" w:sz="4" w:space="0" w:color="auto"/>
              <w:left w:val="nil"/>
              <w:bottom w:val="single" w:sz="4" w:space="0" w:color="auto"/>
              <w:right w:val="nil"/>
            </w:tcBorders>
            <w:shd w:val="clear" w:color="auto" w:fill="E7E6E6" w:themeFill="background2"/>
          </w:tcPr>
          <w:p w14:paraId="2CEE233C" w14:textId="3DE1070E" w:rsidR="00CE5FA0" w:rsidRPr="00B9467F" w:rsidRDefault="00CE5FA0" w:rsidP="00CE5FA0">
            <w:pPr>
              <w:spacing w:line="240" w:lineRule="auto"/>
              <w:jc w:val="center"/>
              <w:rPr>
                <w:b/>
                <w:bCs/>
                <w:sz w:val="22"/>
                <w:szCs w:val="22"/>
              </w:rPr>
            </w:pPr>
            <w:r w:rsidRPr="00B9467F">
              <w:rPr>
                <w:b/>
                <w:bCs/>
                <w:sz w:val="22"/>
                <w:szCs w:val="22"/>
              </w:rPr>
              <w:t>0.827***</w:t>
            </w:r>
          </w:p>
          <w:p w14:paraId="0A0DA1B1" w14:textId="5CAD73D7" w:rsidR="00CE5FA0" w:rsidRPr="00B9467F" w:rsidRDefault="00CE5FA0" w:rsidP="00CE5FA0">
            <w:pPr>
              <w:spacing w:line="240" w:lineRule="auto"/>
              <w:jc w:val="center"/>
              <w:rPr>
                <w:b/>
                <w:bCs/>
                <w:sz w:val="22"/>
                <w:szCs w:val="22"/>
              </w:rPr>
            </w:pPr>
            <w:r w:rsidRPr="00B9467F">
              <w:rPr>
                <w:b/>
                <w:bCs/>
                <w:sz w:val="22"/>
                <w:szCs w:val="22"/>
              </w:rPr>
              <w:t>(0.245)</w:t>
            </w:r>
          </w:p>
        </w:tc>
        <w:tc>
          <w:tcPr>
            <w:tcW w:w="2145" w:type="dxa"/>
            <w:gridSpan w:val="3"/>
            <w:tcBorders>
              <w:top w:val="single" w:sz="4" w:space="0" w:color="auto"/>
              <w:left w:val="nil"/>
              <w:bottom w:val="single" w:sz="4" w:space="0" w:color="auto"/>
              <w:right w:val="nil"/>
            </w:tcBorders>
            <w:shd w:val="clear" w:color="auto" w:fill="E7E6E6" w:themeFill="background2"/>
          </w:tcPr>
          <w:p w14:paraId="5D85FA47" w14:textId="5B16E048" w:rsidR="00CE5FA0" w:rsidRPr="00B9467F" w:rsidRDefault="00943268" w:rsidP="00CE5FA0">
            <w:pPr>
              <w:spacing w:line="240" w:lineRule="auto"/>
              <w:jc w:val="center"/>
              <w:rPr>
                <w:b/>
                <w:bCs/>
                <w:sz w:val="22"/>
                <w:szCs w:val="22"/>
              </w:rPr>
            </w:pPr>
            <w:r w:rsidRPr="00B9467F">
              <w:rPr>
                <w:b/>
                <w:bCs/>
                <w:sz w:val="22"/>
                <w:szCs w:val="22"/>
              </w:rPr>
              <w:t>1.486***</w:t>
            </w:r>
          </w:p>
          <w:p w14:paraId="5C03DDE6" w14:textId="76D29930" w:rsidR="00943268" w:rsidRPr="00B9467F" w:rsidRDefault="00943268" w:rsidP="00CE5FA0">
            <w:pPr>
              <w:spacing w:line="240" w:lineRule="auto"/>
              <w:jc w:val="center"/>
              <w:rPr>
                <w:b/>
                <w:bCs/>
                <w:sz w:val="22"/>
                <w:szCs w:val="22"/>
              </w:rPr>
            </w:pPr>
            <w:r w:rsidRPr="00B9467F">
              <w:rPr>
                <w:b/>
                <w:bCs/>
                <w:sz w:val="22"/>
                <w:szCs w:val="22"/>
              </w:rPr>
              <w:t>(0.242)</w:t>
            </w:r>
          </w:p>
        </w:tc>
      </w:tr>
      <w:tr w:rsidR="00CE5FA0" w:rsidRPr="00345F36" w14:paraId="5BD4C14E" w14:textId="77777777" w:rsidTr="00943268">
        <w:trPr>
          <w:trHeight w:val="570"/>
        </w:trPr>
        <w:tc>
          <w:tcPr>
            <w:tcW w:w="1037" w:type="dxa"/>
            <w:tcBorders>
              <w:left w:val="nil"/>
              <w:bottom w:val="single" w:sz="4" w:space="0" w:color="auto"/>
              <w:right w:val="nil"/>
            </w:tcBorders>
          </w:tcPr>
          <w:p w14:paraId="101082A3" w14:textId="2E48BBA2" w:rsidR="00CE5FA0" w:rsidRDefault="00CE5FA0" w:rsidP="00CE5FA0">
            <w:pPr>
              <w:spacing w:line="240" w:lineRule="auto"/>
              <w:jc w:val="right"/>
              <w:rPr>
                <w:sz w:val="22"/>
                <w:szCs w:val="22"/>
              </w:rPr>
            </w:pPr>
            <w:r w:rsidRPr="006C71F1">
              <w:t>A5</w:t>
            </w:r>
          </w:p>
        </w:tc>
        <w:tc>
          <w:tcPr>
            <w:tcW w:w="1672" w:type="dxa"/>
            <w:tcBorders>
              <w:left w:val="nil"/>
              <w:bottom w:val="single" w:sz="4" w:space="0" w:color="auto"/>
              <w:right w:val="nil"/>
            </w:tcBorders>
          </w:tcPr>
          <w:p w14:paraId="64706135" w14:textId="025DFD98" w:rsidR="00CE5FA0" w:rsidRPr="000B3469" w:rsidRDefault="00CE5FA0" w:rsidP="00CE5FA0">
            <w:pPr>
              <w:spacing w:line="240" w:lineRule="auto"/>
              <w:jc w:val="center"/>
              <w:rPr>
                <w:sz w:val="20"/>
                <w:szCs w:val="20"/>
              </w:rPr>
            </w:pPr>
            <w:r>
              <w:rPr>
                <w:sz w:val="20"/>
                <w:szCs w:val="20"/>
              </w:rPr>
              <w:t>Contemporaneous w/o inflation</w:t>
            </w:r>
          </w:p>
        </w:tc>
        <w:tc>
          <w:tcPr>
            <w:tcW w:w="2095" w:type="dxa"/>
            <w:gridSpan w:val="2"/>
            <w:tcBorders>
              <w:top w:val="single" w:sz="4" w:space="0" w:color="auto"/>
              <w:left w:val="nil"/>
              <w:bottom w:val="single" w:sz="4" w:space="0" w:color="auto"/>
              <w:right w:val="nil"/>
            </w:tcBorders>
            <w:shd w:val="clear" w:color="auto" w:fill="auto"/>
          </w:tcPr>
          <w:p w14:paraId="5B90C460" w14:textId="77777777" w:rsidR="00CE5FA0" w:rsidRDefault="00943268" w:rsidP="00CE5FA0">
            <w:pPr>
              <w:spacing w:line="240" w:lineRule="auto"/>
              <w:jc w:val="center"/>
              <w:rPr>
                <w:sz w:val="22"/>
                <w:szCs w:val="22"/>
              </w:rPr>
            </w:pPr>
            <w:r>
              <w:rPr>
                <w:sz w:val="22"/>
                <w:szCs w:val="22"/>
              </w:rPr>
              <w:t>0.320</w:t>
            </w:r>
          </w:p>
          <w:p w14:paraId="464E1EB9" w14:textId="065DA93F" w:rsidR="00943268" w:rsidRPr="00345F36" w:rsidRDefault="00943268" w:rsidP="00CE5FA0">
            <w:pPr>
              <w:spacing w:line="240" w:lineRule="auto"/>
              <w:jc w:val="center"/>
              <w:rPr>
                <w:sz w:val="22"/>
                <w:szCs w:val="22"/>
              </w:rPr>
            </w:pPr>
            <w:r>
              <w:rPr>
                <w:sz w:val="22"/>
                <w:szCs w:val="22"/>
              </w:rPr>
              <w:t>(0.229)</w:t>
            </w:r>
          </w:p>
        </w:tc>
        <w:tc>
          <w:tcPr>
            <w:tcW w:w="2077" w:type="dxa"/>
            <w:gridSpan w:val="3"/>
            <w:tcBorders>
              <w:top w:val="single" w:sz="4" w:space="0" w:color="auto"/>
              <w:left w:val="nil"/>
              <w:bottom w:val="single" w:sz="4" w:space="0" w:color="auto"/>
              <w:right w:val="nil"/>
            </w:tcBorders>
            <w:shd w:val="clear" w:color="auto" w:fill="E7E6E6" w:themeFill="background2"/>
          </w:tcPr>
          <w:p w14:paraId="77BE48F0" w14:textId="0DFF617C" w:rsidR="00CE5FA0" w:rsidRPr="00B9467F" w:rsidRDefault="00943268" w:rsidP="00CE5FA0">
            <w:pPr>
              <w:spacing w:line="240" w:lineRule="auto"/>
              <w:jc w:val="center"/>
              <w:rPr>
                <w:b/>
                <w:bCs/>
                <w:sz w:val="22"/>
                <w:szCs w:val="22"/>
              </w:rPr>
            </w:pPr>
            <w:r w:rsidRPr="00B9467F">
              <w:rPr>
                <w:b/>
                <w:bCs/>
                <w:sz w:val="22"/>
                <w:szCs w:val="22"/>
              </w:rPr>
              <w:t>0.543</w:t>
            </w:r>
            <w:r w:rsidR="00B9467F" w:rsidRPr="00B9467F">
              <w:rPr>
                <w:b/>
                <w:bCs/>
                <w:sz w:val="22"/>
                <w:szCs w:val="22"/>
              </w:rPr>
              <w:t>**</w:t>
            </w:r>
          </w:p>
          <w:p w14:paraId="3DFD6B56" w14:textId="49810731" w:rsidR="00943268" w:rsidRPr="00B9467F" w:rsidRDefault="00943268" w:rsidP="00CE5FA0">
            <w:pPr>
              <w:spacing w:line="240" w:lineRule="auto"/>
              <w:jc w:val="center"/>
              <w:rPr>
                <w:b/>
                <w:bCs/>
                <w:sz w:val="22"/>
                <w:szCs w:val="22"/>
              </w:rPr>
            </w:pPr>
            <w:r w:rsidRPr="00B9467F">
              <w:rPr>
                <w:b/>
                <w:bCs/>
                <w:sz w:val="22"/>
                <w:szCs w:val="22"/>
              </w:rPr>
              <w:t>(0.255)</w:t>
            </w:r>
          </w:p>
        </w:tc>
        <w:tc>
          <w:tcPr>
            <w:tcW w:w="2145" w:type="dxa"/>
            <w:gridSpan w:val="3"/>
            <w:tcBorders>
              <w:top w:val="single" w:sz="4" w:space="0" w:color="auto"/>
              <w:left w:val="nil"/>
              <w:bottom w:val="single" w:sz="4" w:space="0" w:color="auto"/>
              <w:right w:val="nil"/>
            </w:tcBorders>
            <w:shd w:val="clear" w:color="auto" w:fill="E7E6E6" w:themeFill="background2"/>
          </w:tcPr>
          <w:p w14:paraId="6877A447" w14:textId="1FA50C73" w:rsidR="00CE5FA0" w:rsidRPr="00B9467F" w:rsidRDefault="00943268" w:rsidP="00CE5FA0">
            <w:pPr>
              <w:spacing w:line="240" w:lineRule="auto"/>
              <w:jc w:val="center"/>
              <w:rPr>
                <w:b/>
                <w:bCs/>
                <w:sz w:val="22"/>
                <w:szCs w:val="22"/>
              </w:rPr>
            </w:pPr>
            <w:r w:rsidRPr="00B9467F">
              <w:rPr>
                <w:b/>
                <w:bCs/>
                <w:sz w:val="22"/>
                <w:szCs w:val="22"/>
              </w:rPr>
              <w:t>1.164</w:t>
            </w:r>
            <w:r w:rsidR="00B9467F" w:rsidRPr="00B9467F">
              <w:rPr>
                <w:b/>
                <w:bCs/>
                <w:sz w:val="22"/>
                <w:szCs w:val="22"/>
              </w:rPr>
              <w:t>***</w:t>
            </w:r>
          </w:p>
          <w:p w14:paraId="3E0B8AB3" w14:textId="0D80670A" w:rsidR="00943268" w:rsidRPr="00B9467F" w:rsidRDefault="00943268" w:rsidP="00CE5FA0">
            <w:pPr>
              <w:spacing w:line="240" w:lineRule="auto"/>
              <w:jc w:val="center"/>
              <w:rPr>
                <w:b/>
                <w:bCs/>
                <w:sz w:val="22"/>
                <w:szCs w:val="22"/>
              </w:rPr>
            </w:pPr>
            <w:r w:rsidRPr="00B9467F">
              <w:rPr>
                <w:b/>
                <w:bCs/>
                <w:sz w:val="22"/>
                <w:szCs w:val="22"/>
              </w:rPr>
              <w:t>(0.339)</w:t>
            </w:r>
          </w:p>
        </w:tc>
      </w:tr>
      <w:tr w:rsidR="00CE5FA0" w:rsidRPr="00345F36" w14:paraId="6DDCA0B5" w14:textId="77777777" w:rsidTr="00943268">
        <w:trPr>
          <w:trHeight w:val="570"/>
        </w:trPr>
        <w:tc>
          <w:tcPr>
            <w:tcW w:w="1037" w:type="dxa"/>
            <w:tcBorders>
              <w:left w:val="nil"/>
              <w:bottom w:val="single" w:sz="4" w:space="0" w:color="auto"/>
              <w:right w:val="nil"/>
            </w:tcBorders>
          </w:tcPr>
          <w:p w14:paraId="2872D539" w14:textId="3752FE3C" w:rsidR="00CE5FA0" w:rsidRDefault="00CE5FA0" w:rsidP="00CE5FA0">
            <w:pPr>
              <w:spacing w:line="240" w:lineRule="auto"/>
              <w:jc w:val="right"/>
              <w:rPr>
                <w:sz w:val="22"/>
                <w:szCs w:val="22"/>
              </w:rPr>
            </w:pPr>
            <w:r w:rsidRPr="006C71F1">
              <w:t>A6</w:t>
            </w:r>
          </w:p>
        </w:tc>
        <w:tc>
          <w:tcPr>
            <w:tcW w:w="1672" w:type="dxa"/>
            <w:tcBorders>
              <w:left w:val="nil"/>
              <w:bottom w:val="single" w:sz="4" w:space="0" w:color="auto"/>
              <w:right w:val="nil"/>
            </w:tcBorders>
          </w:tcPr>
          <w:p w14:paraId="586AC2D9" w14:textId="4CB68D2F" w:rsidR="00CE5FA0" w:rsidRDefault="00CE5FA0" w:rsidP="00CE5FA0">
            <w:pPr>
              <w:spacing w:line="240" w:lineRule="auto"/>
              <w:jc w:val="center"/>
              <w:rPr>
                <w:sz w:val="20"/>
                <w:szCs w:val="20"/>
              </w:rPr>
            </w:pPr>
            <w:r>
              <w:rPr>
                <w:sz w:val="20"/>
                <w:szCs w:val="20"/>
              </w:rPr>
              <w:t>2-year moving average</w:t>
            </w:r>
          </w:p>
        </w:tc>
        <w:tc>
          <w:tcPr>
            <w:tcW w:w="2095" w:type="dxa"/>
            <w:gridSpan w:val="2"/>
            <w:tcBorders>
              <w:top w:val="single" w:sz="4" w:space="0" w:color="auto"/>
              <w:left w:val="nil"/>
              <w:bottom w:val="single" w:sz="4" w:space="0" w:color="auto"/>
              <w:right w:val="nil"/>
            </w:tcBorders>
            <w:shd w:val="clear" w:color="auto" w:fill="E7E6E6" w:themeFill="background2"/>
          </w:tcPr>
          <w:p w14:paraId="60F394E3" w14:textId="69522D8F" w:rsidR="00CE5FA0" w:rsidRPr="00B9467F" w:rsidRDefault="00943268" w:rsidP="00CE5FA0">
            <w:pPr>
              <w:spacing w:line="240" w:lineRule="auto"/>
              <w:jc w:val="center"/>
              <w:rPr>
                <w:b/>
                <w:bCs/>
                <w:sz w:val="22"/>
                <w:szCs w:val="22"/>
              </w:rPr>
            </w:pPr>
            <w:r w:rsidRPr="00B9467F">
              <w:rPr>
                <w:b/>
                <w:bCs/>
                <w:sz w:val="22"/>
                <w:szCs w:val="22"/>
              </w:rPr>
              <w:t>0.811***</w:t>
            </w:r>
          </w:p>
          <w:p w14:paraId="12C1E231" w14:textId="28492971" w:rsidR="00943268" w:rsidRPr="00B9467F" w:rsidRDefault="00943268" w:rsidP="00CE5FA0">
            <w:pPr>
              <w:spacing w:line="240" w:lineRule="auto"/>
              <w:jc w:val="center"/>
              <w:rPr>
                <w:b/>
                <w:bCs/>
                <w:sz w:val="22"/>
                <w:szCs w:val="22"/>
              </w:rPr>
            </w:pPr>
            <w:r w:rsidRPr="00B9467F">
              <w:rPr>
                <w:b/>
                <w:bCs/>
                <w:sz w:val="22"/>
                <w:szCs w:val="22"/>
              </w:rPr>
              <w:t>(0.190)</w:t>
            </w:r>
          </w:p>
        </w:tc>
        <w:tc>
          <w:tcPr>
            <w:tcW w:w="2077" w:type="dxa"/>
            <w:gridSpan w:val="3"/>
            <w:tcBorders>
              <w:top w:val="single" w:sz="4" w:space="0" w:color="auto"/>
              <w:left w:val="nil"/>
              <w:bottom w:val="single" w:sz="4" w:space="0" w:color="auto"/>
              <w:right w:val="nil"/>
            </w:tcBorders>
            <w:shd w:val="clear" w:color="auto" w:fill="E7E6E6" w:themeFill="background2"/>
          </w:tcPr>
          <w:p w14:paraId="68F4ED9F" w14:textId="77777777" w:rsidR="00CE5FA0" w:rsidRPr="00B9467F" w:rsidRDefault="00943268" w:rsidP="00CE5FA0">
            <w:pPr>
              <w:spacing w:line="240" w:lineRule="auto"/>
              <w:jc w:val="center"/>
              <w:rPr>
                <w:b/>
                <w:bCs/>
                <w:sz w:val="22"/>
                <w:szCs w:val="22"/>
              </w:rPr>
            </w:pPr>
            <w:r w:rsidRPr="00B9467F">
              <w:rPr>
                <w:b/>
                <w:bCs/>
                <w:sz w:val="22"/>
                <w:szCs w:val="22"/>
              </w:rPr>
              <w:t>1.109***</w:t>
            </w:r>
          </w:p>
          <w:p w14:paraId="330F1FBC" w14:textId="427F7EB0" w:rsidR="00943268" w:rsidRPr="00B9467F" w:rsidRDefault="00943268" w:rsidP="00CE5FA0">
            <w:pPr>
              <w:spacing w:line="240" w:lineRule="auto"/>
              <w:jc w:val="center"/>
              <w:rPr>
                <w:b/>
                <w:bCs/>
                <w:sz w:val="22"/>
                <w:szCs w:val="22"/>
              </w:rPr>
            </w:pPr>
            <w:r w:rsidRPr="00B9467F">
              <w:rPr>
                <w:b/>
                <w:bCs/>
                <w:sz w:val="22"/>
                <w:szCs w:val="22"/>
              </w:rPr>
              <w:t>(0.236)</w:t>
            </w:r>
          </w:p>
        </w:tc>
        <w:tc>
          <w:tcPr>
            <w:tcW w:w="2145" w:type="dxa"/>
            <w:gridSpan w:val="3"/>
            <w:tcBorders>
              <w:top w:val="single" w:sz="4" w:space="0" w:color="auto"/>
              <w:left w:val="nil"/>
              <w:bottom w:val="single" w:sz="4" w:space="0" w:color="auto"/>
              <w:right w:val="nil"/>
            </w:tcBorders>
            <w:shd w:val="clear" w:color="auto" w:fill="auto"/>
          </w:tcPr>
          <w:p w14:paraId="08528F55" w14:textId="15653071" w:rsidR="00CE5FA0" w:rsidRPr="00B9467F" w:rsidRDefault="00943268" w:rsidP="00CE5FA0">
            <w:pPr>
              <w:spacing w:line="240" w:lineRule="auto"/>
              <w:jc w:val="center"/>
              <w:rPr>
                <w:b/>
                <w:bCs/>
                <w:sz w:val="22"/>
                <w:szCs w:val="22"/>
              </w:rPr>
            </w:pPr>
            <w:r w:rsidRPr="00B9467F">
              <w:rPr>
                <w:b/>
                <w:bCs/>
                <w:sz w:val="22"/>
                <w:szCs w:val="22"/>
              </w:rPr>
              <w:t>1.627***</w:t>
            </w:r>
          </w:p>
          <w:p w14:paraId="66413008" w14:textId="3A49B6A3" w:rsidR="00943268" w:rsidRPr="00B9467F" w:rsidRDefault="00943268" w:rsidP="00CE5FA0">
            <w:pPr>
              <w:spacing w:line="240" w:lineRule="auto"/>
              <w:jc w:val="center"/>
              <w:rPr>
                <w:b/>
                <w:bCs/>
                <w:sz w:val="22"/>
                <w:szCs w:val="22"/>
              </w:rPr>
            </w:pPr>
            <w:r w:rsidRPr="00B9467F">
              <w:rPr>
                <w:b/>
                <w:bCs/>
                <w:sz w:val="22"/>
                <w:szCs w:val="22"/>
              </w:rPr>
              <w:t>(0.215)</w:t>
            </w:r>
          </w:p>
        </w:tc>
      </w:tr>
      <w:tr w:rsidR="00943268" w:rsidRPr="00345F36" w14:paraId="478C6564" w14:textId="77777777" w:rsidTr="00943268">
        <w:trPr>
          <w:trHeight w:val="570"/>
        </w:trPr>
        <w:tc>
          <w:tcPr>
            <w:tcW w:w="1037" w:type="dxa"/>
            <w:tcBorders>
              <w:left w:val="nil"/>
              <w:bottom w:val="single" w:sz="4" w:space="0" w:color="auto"/>
              <w:right w:val="nil"/>
            </w:tcBorders>
          </w:tcPr>
          <w:p w14:paraId="1F92415D" w14:textId="05F0091C" w:rsidR="00CE5FA0" w:rsidRDefault="00CE5FA0" w:rsidP="00CE5FA0">
            <w:pPr>
              <w:spacing w:line="240" w:lineRule="auto"/>
              <w:jc w:val="right"/>
              <w:rPr>
                <w:sz w:val="22"/>
                <w:szCs w:val="22"/>
              </w:rPr>
            </w:pPr>
            <w:r w:rsidRPr="006C71F1">
              <w:t>A7</w:t>
            </w:r>
          </w:p>
        </w:tc>
        <w:tc>
          <w:tcPr>
            <w:tcW w:w="1672" w:type="dxa"/>
            <w:tcBorders>
              <w:left w:val="nil"/>
              <w:bottom w:val="single" w:sz="4" w:space="0" w:color="auto"/>
              <w:right w:val="nil"/>
            </w:tcBorders>
          </w:tcPr>
          <w:p w14:paraId="48E2468E" w14:textId="18595B12" w:rsidR="00CE5FA0" w:rsidRDefault="00CE5FA0" w:rsidP="00CE5FA0">
            <w:pPr>
              <w:spacing w:line="240" w:lineRule="auto"/>
              <w:jc w:val="center"/>
              <w:rPr>
                <w:sz w:val="20"/>
                <w:szCs w:val="20"/>
              </w:rPr>
            </w:pPr>
            <w:r>
              <w:rPr>
                <w:sz w:val="20"/>
                <w:szCs w:val="20"/>
              </w:rPr>
              <w:t>4-year moving average</w:t>
            </w:r>
          </w:p>
        </w:tc>
        <w:tc>
          <w:tcPr>
            <w:tcW w:w="2095" w:type="dxa"/>
            <w:gridSpan w:val="2"/>
            <w:tcBorders>
              <w:top w:val="single" w:sz="4" w:space="0" w:color="auto"/>
              <w:left w:val="nil"/>
              <w:bottom w:val="single" w:sz="4" w:space="0" w:color="auto"/>
              <w:right w:val="nil"/>
            </w:tcBorders>
            <w:shd w:val="clear" w:color="auto" w:fill="E7E6E6" w:themeFill="background2"/>
          </w:tcPr>
          <w:p w14:paraId="24F4A80D" w14:textId="67DB79D1" w:rsidR="00CE5FA0" w:rsidRPr="00B9467F" w:rsidRDefault="00943268" w:rsidP="00CE5FA0">
            <w:pPr>
              <w:spacing w:line="240" w:lineRule="auto"/>
              <w:jc w:val="center"/>
              <w:rPr>
                <w:b/>
                <w:bCs/>
                <w:sz w:val="22"/>
                <w:szCs w:val="22"/>
              </w:rPr>
            </w:pPr>
            <w:r w:rsidRPr="00B9467F">
              <w:rPr>
                <w:b/>
                <w:bCs/>
                <w:sz w:val="22"/>
                <w:szCs w:val="22"/>
              </w:rPr>
              <w:t>1.165***</w:t>
            </w:r>
          </w:p>
          <w:p w14:paraId="2BB99126" w14:textId="5A9CAEA8" w:rsidR="00943268" w:rsidRPr="00B9467F" w:rsidRDefault="00943268" w:rsidP="00CE5FA0">
            <w:pPr>
              <w:spacing w:line="240" w:lineRule="auto"/>
              <w:jc w:val="center"/>
              <w:rPr>
                <w:b/>
                <w:bCs/>
                <w:sz w:val="22"/>
                <w:szCs w:val="22"/>
              </w:rPr>
            </w:pPr>
            <w:r w:rsidRPr="00B9467F">
              <w:rPr>
                <w:b/>
                <w:bCs/>
                <w:sz w:val="22"/>
                <w:szCs w:val="22"/>
              </w:rPr>
              <w:t>(0.104)</w:t>
            </w:r>
          </w:p>
        </w:tc>
        <w:tc>
          <w:tcPr>
            <w:tcW w:w="2077" w:type="dxa"/>
            <w:gridSpan w:val="3"/>
            <w:tcBorders>
              <w:top w:val="single" w:sz="4" w:space="0" w:color="auto"/>
              <w:left w:val="nil"/>
              <w:bottom w:val="single" w:sz="4" w:space="0" w:color="auto"/>
              <w:right w:val="nil"/>
            </w:tcBorders>
            <w:shd w:val="clear" w:color="auto" w:fill="auto"/>
          </w:tcPr>
          <w:p w14:paraId="787AC30D" w14:textId="0D5D8B09" w:rsidR="00CE5FA0" w:rsidRPr="00B9467F" w:rsidRDefault="00943268" w:rsidP="00CE5FA0">
            <w:pPr>
              <w:spacing w:line="240" w:lineRule="auto"/>
              <w:jc w:val="center"/>
              <w:rPr>
                <w:b/>
                <w:bCs/>
                <w:sz w:val="22"/>
                <w:szCs w:val="22"/>
              </w:rPr>
            </w:pPr>
            <w:r w:rsidRPr="00B9467F">
              <w:rPr>
                <w:b/>
                <w:bCs/>
                <w:sz w:val="22"/>
                <w:szCs w:val="22"/>
              </w:rPr>
              <w:t>1.552***</w:t>
            </w:r>
          </w:p>
          <w:p w14:paraId="0902374C" w14:textId="599407E5" w:rsidR="00943268" w:rsidRPr="00B9467F" w:rsidRDefault="00943268" w:rsidP="00CE5FA0">
            <w:pPr>
              <w:spacing w:line="240" w:lineRule="auto"/>
              <w:jc w:val="center"/>
              <w:rPr>
                <w:b/>
                <w:bCs/>
                <w:sz w:val="22"/>
                <w:szCs w:val="22"/>
              </w:rPr>
            </w:pPr>
            <w:r w:rsidRPr="00B9467F">
              <w:rPr>
                <w:b/>
                <w:bCs/>
                <w:sz w:val="22"/>
                <w:szCs w:val="22"/>
              </w:rPr>
              <w:t>(0.142)</w:t>
            </w:r>
          </w:p>
        </w:tc>
        <w:tc>
          <w:tcPr>
            <w:tcW w:w="2145" w:type="dxa"/>
            <w:gridSpan w:val="3"/>
            <w:tcBorders>
              <w:top w:val="single" w:sz="4" w:space="0" w:color="auto"/>
              <w:left w:val="nil"/>
              <w:bottom w:val="single" w:sz="4" w:space="0" w:color="auto"/>
              <w:right w:val="nil"/>
            </w:tcBorders>
            <w:shd w:val="clear" w:color="auto" w:fill="auto"/>
          </w:tcPr>
          <w:p w14:paraId="0BC21B19" w14:textId="72252FA2" w:rsidR="00CE5FA0" w:rsidRPr="00B9467F" w:rsidRDefault="00943268" w:rsidP="00CE5FA0">
            <w:pPr>
              <w:spacing w:line="240" w:lineRule="auto"/>
              <w:jc w:val="center"/>
              <w:rPr>
                <w:b/>
                <w:bCs/>
                <w:sz w:val="22"/>
                <w:szCs w:val="22"/>
              </w:rPr>
            </w:pPr>
            <w:r w:rsidRPr="00B9467F">
              <w:rPr>
                <w:b/>
                <w:bCs/>
                <w:sz w:val="22"/>
                <w:szCs w:val="22"/>
              </w:rPr>
              <w:t>1.892***</w:t>
            </w:r>
          </w:p>
          <w:p w14:paraId="351025F1" w14:textId="0B00707E" w:rsidR="00943268" w:rsidRPr="00B9467F" w:rsidRDefault="00943268" w:rsidP="00CE5FA0">
            <w:pPr>
              <w:spacing w:line="240" w:lineRule="auto"/>
              <w:jc w:val="center"/>
              <w:rPr>
                <w:b/>
                <w:bCs/>
                <w:sz w:val="22"/>
                <w:szCs w:val="22"/>
              </w:rPr>
            </w:pPr>
            <w:r w:rsidRPr="00B9467F">
              <w:rPr>
                <w:b/>
                <w:bCs/>
                <w:sz w:val="22"/>
                <w:szCs w:val="22"/>
              </w:rPr>
              <w:t>(0.124)</w:t>
            </w:r>
          </w:p>
        </w:tc>
      </w:tr>
      <w:tr w:rsidR="00CE5FA0" w:rsidRPr="00345F36" w14:paraId="58E6E9A0" w14:textId="77777777" w:rsidTr="00CE5FA0">
        <w:trPr>
          <w:trHeight w:val="570"/>
        </w:trPr>
        <w:tc>
          <w:tcPr>
            <w:tcW w:w="1037" w:type="dxa"/>
            <w:tcBorders>
              <w:left w:val="nil"/>
              <w:bottom w:val="single" w:sz="4" w:space="0" w:color="auto"/>
              <w:right w:val="nil"/>
            </w:tcBorders>
          </w:tcPr>
          <w:p w14:paraId="378F7E2B" w14:textId="649A2B52" w:rsidR="00CE5FA0" w:rsidRDefault="00CE5FA0" w:rsidP="00CE5FA0">
            <w:pPr>
              <w:spacing w:line="240" w:lineRule="auto"/>
              <w:jc w:val="right"/>
              <w:rPr>
                <w:sz w:val="22"/>
                <w:szCs w:val="22"/>
              </w:rPr>
            </w:pPr>
            <w:r w:rsidRPr="006C71F1">
              <w:t>A8</w:t>
            </w:r>
          </w:p>
        </w:tc>
        <w:tc>
          <w:tcPr>
            <w:tcW w:w="1672" w:type="dxa"/>
            <w:tcBorders>
              <w:left w:val="nil"/>
              <w:bottom w:val="single" w:sz="4" w:space="0" w:color="auto"/>
              <w:right w:val="nil"/>
            </w:tcBorders>
          </w:tcPr>
          <w:p w14:paraId="16E81369" w14:textId="3890590B" w:rsidR="00CE5FA0" w:rsidRDefault="00CE5FA0" w:rsidP="00CE5FA0">
            <w:pPr>
              <w:spacing w:line="240" w:lineRule="auto"/>
              <w:jc w:val="center"/>
              <w:rPr>
                <w:sz w:val="20"/>
                <w:szCs w:val="20"/>
              </w:rPr>
            </w:pPr>
            <w:r>
              <w:rPr>
                <w:sz w:val="20"/>
                <w:szCs w:val="20"/>
              </w:rPr>
              <w:t>5-year moving average</w:t>
            </w:r>
          </w:p>
        </w:tc>
        <w:tc>
          <w:tcPr>
            <w:tcW w:w="2095" w:type="dxa"/>
            <w:gridSpan w:val="2"/>
            <w:tcBorders>
              <w:top w:val="single" w:sz="4" w:space="0" w:color="auto"/>
              <w:left w:val="nil"/>
              <w:bottom w:val="single" w:sz="4" w:space="0" w:color="auto"/>
              <w:right w:val="nil"/>
            </w:tcBorders>
            <w:shd w:val="clear" w:color="auto" w:fill="auto"/>
          </w:tcPr>
          <w:p w14:paraId="4D19EA8C" w14:textId="27E127C7" w:rsidR="00CE5FA0" w:rsidRPr="00B9467F" w:rsidRDefault="00943268" w:rsidP="00CE5FA0">
            <w:pPr>
              <w:spacing w:line="240" w:lineRule="auto"/>
              <w:jc w:val="center"/>
              <w:rPr>
                <w:b/>
                <w:bCs/>
                <w:sz w:val="22"/>
                <w:szCs w:val="22"/>
              </w:rPr>
            </w:pPr>
            <w:r w:rsidRPr="00B9467F">
              <w:rPr>
                <w:b/>
                <w:bCs/>
                <w:sz w:val="22"/>
                <w:szCs w:val="22"/>
              </w:rPr>
              <w:t>1.212***</w:t>
            </w:r>
          </w:p>
          <w:p w14:paraId="603D6A2D" w14:textId="4FE9C741" w:rsidR="00943268" w:rsidRPr="00B9467F" w:rsidRDefault="00943268" w:rsidP="00CE5FA0">
            <w:pPr>
              <w:spacing w:line="240" w:lineRule="auto"/>
              <w:jc w:val="center"/>
              <w:rPr>
                <w:b/>
                <w:bCs/>
                <w:sz w:val="22"/>
                <w:szCs w:val="22"/>
              </w:rPr>
            </w:pPr>
            <w:r w:rsidRPr="00B9467F">
              <w:rPr>
                <w:b/>
                <w:bCs/>
                <w:sz w:val="22"/>
                <w:szCs w:val="22"/>
              </w:rPr>
              <w:t>(0.094)</w:t>
            </w:r>
          </w:p>
        </w:tc>
        <w:tc>
          <w:tcPr>
            <w:tcW w:w="2077" w:type="dxa"/>
            <w:gridSpan w:val="3"/>
            <w:tcBorders>
              <w:top w:val="single" w:sz="4" w:space="0" w:color="auto"/>
              <w:left w:val="nil"/>
              <w:bottom w:val="single" w:sz="4" w:space="0" w:color="auto"/>
              <w:right w:val="nil"/>
            </w:tcBorders>
            <w:shd w:val="clear" w:color="auto" w:fill="auto"/>
          </w:tcPr>
          <w:p w14:paraId="6C3362D3" w14:textId="77777777" w:rsidR="00CE5FA0" w:rsidRPr="00B9467F" w:rsidRDefault="00943268" w:rsidP="00CE5FA0">
            <w:pPr>
              <w:spacing w:line="240" w:lineRule="auto"/>
              <w:jc w:val="center"/>
              <w:rPr>
                <w:b/>
                <w:bCs/>
                <w:sz w:val="22"/>
                <w:szCs w:val="22"/>
              </w:rPr>
            </w:pPr>
            <w:r w:rsidRPr="00B9467F">
              <w:rPr>
                <w:b/>
                <w:bCs/>
                <w:sz w:val="22"/>
                <w:szCs w:val="22"/>
              </w:rPr>
              <w:t>1.601***</w:t>
            </w:r>
          </w:p>
          <w:p w14:paraId="2F1F21AE" w14:textId="57BD74A5" w:rsidR="00943268" w:rsidRPr="00B9467F" w:rsidRDefault="00943268" w:rsidP="00CE5FA0">
            <w:pPr>
              <w:spacing w:line="240" w:lineRule="auto"/>
              <w:jc w:val="center"/>
              <w:rPr>
                <w:b/>
                <w:bCs/>
                <w:sz w:val="22"/>
                <w:szCs w:val="22"/>
              </w:rPr>
            </w:pPr>
            <w:r w:rsidRPr="00B9467F">
              <w:rPr>
                <w:b/>
                <w:bCs/>
                <w:sz w:val="22"/>
                <w:szCs w:val="22"/>
              </w:rPr>
              <w:t>(0.131)</w:t>
            </w:r>
          </w:p>
        </w:tc>
        <w:tc>
          <w:tcPr>
            <w:tcW w:w="2145" w:type="dxa"/>
            <w:gridSpan w:val="3"/>
            <w:tcBorders>
              <w:top w:val="single" w:sz="4" w:space="0" w:color="auto"/>
              <w:left w:val="nil"/>
              <w:bottom w:val="single" w:sz="4" w:space="0" w:color="auto"/>
              <w:right w:val="nil"/>
            </w:tcBorders>
            <w:shd w:val="clear" w:color="auto" w:fill="auto"/>
          </w:tcPr>
          <w:p w14:paraId="02CB06F8" w14:textId="4EA0C78D" w:rsidR="00CE5FA0" w:rsidRPr="00B9467F" w:rsidRDefault="00943268" w:rsidP="00CE5FA0">
            <w:pPr>
              <w:spacing w:line="240" w:lineRule="auto"/>
              <w:jc w:val="center"/>
              <w:rPr>
                <w:b/>
                <w:bCs/>
                <w:sz w:val="22"/>
                <w:szCs w:val="22"/>
              </w:rPr>
            </w:pPr>
            <w:r w:rsidRPr="00B9467F">
              <w:rPr>
                <w:b/>
                <w:bCs/>
                <w:sz w:val="22"/>
                <w:szCs w:val="22"/>
              </w:rPr>
              <w:t>1.930***</w:t>
            </w:r>
          </w:p>
          <w:p w14:paraId="585BE82D" w14:textId="4FAB7E8B" w:rsidR="00943268" w:rsidRPr="00B9467F" w:rsidRDefault="00943268" w:rsidP="00CE5FA0">
            <w:pPr>
              <w:spacing w:line="240" w:lineRule="auto"/>
              <w:jc w:val="center"/>
              <w:rPr>
                <w:b/>
                <w:bCs/>
                <w:sz w:val="22"/>
                <w:szCs w:val="22"/>
              </w:rPr>
            </w:pPr>
            <w:r w:rsidRPr="00B9467F">
              <w:rPr>
                <w:b/>
                <w:bCs/>
                <w:sz w:val="22"/>
                <w:szCs w:val="22"/>
              </w:rPr>
              <w:t>(0.103)</w:t>
            </w:r>
          </w:p>
        </w:tc>
      </w:tr>
      <w:tr w:rsidR="00CE5FA0" w:rsidRPr="00345F36" w14:paraId="2242F3D9" w14:textId="77777777" w:rsidTr="00943268">
        <w:trPr>
          <w:trHeight w:val="570"/>
        </w:trPr>
        <w:tc>
          <w:tcPr>
            <w:tcW w:w="1037" w:type="dxa"/>
            <w:tcBorders>
              <w:left w:val="nil"/>
              <w:bottom w:val="single" w:sz="4" w:space="0" w:color="auto"/>
              <w:right w:val="nil"/>
            </w:tcBorders>
          </w:tcPr>
          <w:p w14:paraId="62CF5D23" w14:textId="097CD2D1" w:rsidR="00CE5FA0" w:rsidRDefault="00CE5FA0" w:rsidP="00CE5FA0">
            <w:pPr>
              <w:spacing w:line="240" w:lineRule="auto"/>
              <w:jc w:val="right"/>
              <w:rPr>
                <w:sz w:val="22"/>
                <w:szCs w:val="22"/>
              </w:rPr>
            </w:pPr>
            <w:r w:rsidRPr="006C71F1">
              <w:t>A9</w:t>
            </w:r>
          </w:p>
        </w:tc>
        <w:tc>
          <w:tcPr>
            <w:tcW w:w="1672" w:type="dxa"/>
            <w:tcBorders>
              <w:left w:val="nil"/>
              <w:bottom w:val="single" w:sz="4" w:space="0" w:color="auto"/>
              <w:right w:val="nil"/>
            </w:tcBorders>
          </w:tcPr>
          <w:p w14:paraId="4834F004" w14:textId="75C964C5" w:rsidR="00CE5FA0" w:rsidRDefault="00CE5FA0" w:rsidP="00CE5FA0">
            <w:pPr>
              <w:spacing w:line="240" w:lineRule="auto"/>
              <w:jc w:val="center"/>
              <w:rPr>
                <w:sz w:val="20"/>
                <w:szCs w:val="20"/>
              </w:rPr>
            </w:pPr>
            <w:r>
              <w:rPr>
                <w:sz w:val="20"/>
                <w:szCs w:val="20"/>
              </w:rPr>
              <w:t>Net Productivity (NVA)</w:t>
            </w:r>
          </w:p>
        </w:tc>
        <w:tc>
          <w:tcPr>
            <w:tcW w:w="2095" w:type="dxa"/>
            <w:gridSpan w:val="2"/>
            <w:tcBorders>
              <w:top w:val="single" w:sz="4" w:space="0" w:color="auto"/>
              <w:left w:val="nil"/>
              <w:bottom w:val="single" w:sz="4" w:space="0" w:color="auto"/>
              <w:right w:val="nil"/>
            </w:tcBorders>
            <w:shd w:val="clear" w:color="auto" w:fill="E7E6E6" w:themeFill="background2"/>
          </w:tcPr>
          <w:p w14:paraId="3FFF083F" w14:textId="285EDA42" w:rsidR="00CE5FA0" w:rsidRPr="00B9467F" w:rsidRDefault="00943268" w:rsidP="00CE5FA0">
            <w:pPr>
              <w:spacing w:line="240" w:lineRule="auto"/>
              <w:jc w:val="center"/>
              <w:rPr>
                <w:b/>
                <w:bCs/>
                <w:sz w:val="22"/>
                <w:szCs w:val="22"/>
              </w:rPr>
            </w:pPr>
            <w:r w:rsidRPr="00B9467F">
              <w:rPr>
                <w:b/>
                <w:bCs/>
                <w:sz w:val="22"/>
                <w:szCs w:val="22"/>
              </w:rPr>
              <w:t>1.180***</w:t>
            </w:r>
          </w:p>
          <w:p w14:paraId="31E89D4D" w14:textId="0913B7CC" w:rsidR="00943268" w:rsidRPr="00B9467F" w:rsidRDefault="00943268" w:rsidP="00CE5FA0">
            <w:pPr>
              <w:spacing w:line="240" w:lineRule="auto"/>
              <w:jc w:val="center"/>
              <w:rPr>
                <w:b/>
                <w:bCs/>
                <w:sz w:val="22"/>
                <w:szCs w:val="22"/>
              </w:rPr>
            </w:pPr>
            <w:r w:rsidRPr="00B9467F">
              <w:rPr>
                <w:b/>
                <w:bCs/>
                <w:sz w:val="22"/>
                <w:szCs w:val="22"/>
              </w:rPr>
              <w:t>(0.122)</w:t>
            </w:r>
          </w:p>
        </w:tc>
        <w:tc>
          <w:tcPr>
            <w:tcW w:w="2077" w:type="dxa"/>
            <w:gridSpan w:val="3"/>
            <w:tcBorders>
              <w:top w:val="single" w:sz="4" w:space="0" w:color="auto"/>
              <w:left w:val="nil"/>
              <w:bottom w:val="single" w:sz="4" w:space="0" w:color="auto"/>
              <w:right w:val="nil"/>
            </w:tcBorders>
            <w:shd w:val="clear" w:color="auto" w:fill="auto"/>
          </w:tcPr>
          <w:p w14:paraId="2FF8123B" w14:textId="0241CE28" w:rsidR="00CE5FA0" w:rsidRPr="00B9467F" w:rsidRDefault="00943268" w:rsidP="00CE5FA0">
            <w:pPr>
              <w:spacing w:line="240" w:lineRule="auto"/>
              <w:jc w:val="center"/>
              <w:rPr>
                <w:b/>
                <w:bCs/>
                <w:sz w:val="22"/>
                <w:szCs w:val="22"/>
              </w:rPr>
            </w:pPr>
            <w:r w:rsidRPr="00B9467F">
              <w:rPr>
                <w:b/>
                <w:bCs/>
                <w:sz w:val="22"/>
                <w:szCs w:val="22"/>
              </w:rPr>
              <w:t>1.587***</w:t>
            </w:r>
          </w:p>
          <w:p w14:paraId="43E75044" w14:textId="62631D62" w:rsidR="00943268" w:rsidRPr="00B9467F" w:rsidRDefault="00943268" w:rsidP="00CE5FA0">
            <w:pPr>
              <w:spacing w:line="240" w:lineRule="auto"/>
              <w:jc w:val="center"/>
              <w:rPr>
                <w:b/>
                <w:bCs/>
                <w:sz w:val="22"/>
                <w:szCs w:val="22"/>
              </w:rPr>
            </w:pPr>
            <w:r w:rsidRPr="00B9467F">
              <w:rPr>
                <w:b/>
                <w:bCs/>
                <w:sz w:val="22"/>
                <w:szCs w:val="22"/>
              </w:rPr>
              <w:t>(0.174)</w:t>
            </w:r>
          </w:p>
        </w:tc>
        <w:tc>
          <w:tcPr>
            <w:tcW w:w="2145" w:type="dxa"/>
            <w:gridSpan w:val="3"/>
            <w:tcBorders>
              <w:top w:val="single" w:sz="4" w:space="0" w:color="auto"/>
              <w:left w:val="nil"/>
              <w:bottom w:val="single" w:sz="4" w:space="0" w:color="auto"/>
              <w:right w:val="nil"/>
            </w:tcBorders>
            <w:shd w:val="clear" w:color="auto" w:fill="auto"/>
          </w:tcPr>
          <w:p w14:paraId="35651109" w14:textId="456BC079" w:rsidR="00CE5FA0" w:rsidRPr="00B9467F" w:rsidRDefault="00943268" w:rsidP="00CE5FA0">
            <w:pPr>
              <w:spacing w:line="240" w:lineRule="auto"/>
              <w:jc w:val="center"/>
              <w:rPr>
                <w:b/>
                <w:bCs/>
                <w:sz w:val="22"/>
                <w:szCs w:val="22"/>
              </w:rPr>
            </w:pPr>
            <w:r w:rsidRPr="00B9467F">
              <w:rPr>
                <w:b/>
                <w:bCs/>
                <w:sz w:val="22"/>
                <w:szCs w:val="22"/>
              </w:rPr>
              <w:t>1.950***</w:t>
            </w:r>
          </w:p>
          <w:p w14:paraId="1BFF0A83" w14:textId="23CF16EB" w:rsidR="00943268" w:rsidRPr="00B9467F" w:rsidRDefault="00943268" w:rsidP="00CE5FA0">
            <w:pPr>
              <w:spacing w:line="240" w:lineRule="auto"/>
              <w:jc w:val="center"/>
              <w:rPr>
                <w:b/>
                <w:bCs/>
                <w:sz w:val="22"/>
                <w:szCs w:val="22"/>
              </w:rPr>
            </w:pPr>
            <w:r w:rsidRPr="00B9467F">
              <w:rPr>
                <w:b/>
                <w:bCs/>
                <w:sz w:val="22"/>
                <w:szCs w:val="22"/>
              </w:rPr>
              <w:t>(0.176)</w:t>
            </w:r>
          </w:p>
        </w:tc>
      </w:tr>
      <w:tr w:rsidR="00CE5FA0" w:rsidRPr="00345F36" w14:paraId="1402C416" w14:textId="77777777" w:rsidTr="00943268">
        <w:trPr>
          <w:trHeight w:val="570"/>
        </w:trPr>
        <w:tc>
          <w:tcPr>
            <w:tcW w:w="1037" w:type="dxa"/>
            <w:tcBorders>
              <w:left w:val="nil"/>
              <w:bottom w:val="single" w:sz="4" w:space="0" w:color="auto"/>
              <w:right w:val="nil"/>
            </w:tcBorders>
          </w:tcPr>
          <w:p w14:paraId="5288880B" w14:textId="14B0503B" w:rsidR="00CE5FA0" w:rsidRDefault="00CE5FA0" w:rsidP="00CE5FA0">
            <w:pPr>
              <w:spacing w:line="240" w:lineRule="auto"/>
              <w:jc w:val="right"/>
              <w:rPr>
                <w:sz w:val="22"/>
                <w:szCs w:val="22"/>
              </w:rPr>
            </w:pPr>
            <w:r w:rsidRPr="006C71F1">
              <w:t>A10</w:t>
            </w:r>
          </w:p>
        </w:tc>
        <w:tc>
          <w:tcPr>
            <w:tcW w:w="1672" w:type="dxa"/>
            <w:tcBorders>
              <w:left w:val="nil"/>
              <w:bottom w:val="single" w:sz="4" w:space="0" w:color="auto"/>
              <w:right w:val="nil"/>
            </w:tcBorders>
          </w:tcPr>
          <w:p w14:paraId="5AD801C2" w14:textId="30513BA7" w:rsidR="00CE5FA0" w:rsidRPr="00290F78" w:rsidRDefault="00CE5FA0" w:rsidP="00CE5FA0">
            <w:pPr>
              <w:spacing w:line="240" w:lineRule="auto"/>
              <w:jc w:val="center"/>
              <w:rPr>
                <w:sz w:val="18"/>
                <w:szCs w:val="18"/>
              </w:rPr>
            </w:pPr>
            <w:r w:rsidRPr="00290F78">
              <w:rPr>
                <w:sz w:val="18"/>
                <w:szCs w:val="18"/>
              </w:rPr>
              <w:t>Gross Productivity (GVA)</w:t>
            </w:r>
          </w:p>
        </w:tc>
        <w:tc>
          <w:tcPr>
            <w:tcW w:w="2095" w:type="dxa"/>
            <w:gridSpan w:val="2"/>
            <w:tcBorders>
              <w:top w:val="single" w:sz="4" w:space="0" w:color="auto"/>
              <w:left w:val="nil"/>
              <w:bottom w:val="single" w:sz="4" w:space="0" w:color="auto"/>
              <w:right w:val="nil"/>
            </w:tcBorders>
            <w:shd w:val="clear" w:color="auto" w:fill="E7E6E6" w:themeFill="background2"/>
          </w:tcPr>
          <w:p w14:paraId="4FC481F5" w14:textId="53423B40" w:rsidR="00CE5FA0" w:rsidRPr="00B9467F" w:rsidRDefault="00943268" w:rsidP="00CE5FA0">
            <w:pPr>
              <w:spacing w:line="240" w:lineRule="auto"/>
              <w:jc w:val="center"/>
              <w:rPr>
                <w:b/>
                <w:bCs/>
                <w:sz w:val="22"/>
                <w:szCs w:val="22"/>
              </w:rPr>
            </w:pPr>
            <w:r w:rsidRPr="00B9467F">
              <w:rPr>
                <w:b/>
                <w:bCs/>
                <w:sz w:val="22"/>
                <w:szCs w:val="22"/>
              </w:rPr>
              <w:t>1.220***</w:t>
            </w:r>
          </w:p>
          <w:p w14:paraId="2BC861AB" w14:textId="69BBB085" w:rsidR="00943268" w:rsidRPr="00B9467F" w:rsidRDefault="00943268" w:rsidP="00CE5FA0">
            <w:pPr>
              <w:spacing w:line="240" w:lineRule="auto"/>
              <w:jc w:val="center"/>
              <w:rPr>
                <w:b/>
                <w:bCs/>
                <w:sz w:val="22"/>
                <w:szCs w:val="22"/>
              </w:rPr>
            </w:pPr>
            <w:r w:rsidRPr="00B9467F">
              <w:rPr>
                <w:b/>
                <w:bCs/>
                <w:sz w:val="22"/>
                <w:szCs w:val="22"/>
              </w:rPr>
              <w:t>(0.119)</w:t>
            </w:r>
          </w:p>
        </w:tc>
        <w:tc>
          <w:tcPr>
            <w:tcW w:w="2077" w:type="dxa"/>
            <w:gridSpan w:val="3"/>
            <w:tcBorders>
              <w:top w:val="single" w:sz="4" w:space="0" w:color="auto"/>
              <w:left w:val="nil"/>
              <w:bottom w:val="single" w:sz="4" w:space="0" w:color="auto"/>
              <w:right w:val="nil"/>
            </w:tcBorders>
            <w:shd w:val="clear" w:color="auto" w:fill="auto"/>
          </w:tcPr>
          <w:p w14:paraId="4314B5BA" w14:textId="73BEFEF9" w:rsidR="00CE5FA0" w:rsidRPr="00B9467F" w:rsidRDefault="00943268" w:rsidP="00CE5FA0">
            <w:pPr>
              <w:spacing w:line="240" w:lineRule="auto"/>
              <w:jc w:val="center"/>
              <w:rPr>
                <w:b/>
                <w:bCs/>
                <w:sz w:val="22"/>
                <w:szCs w:val="22"/>
              </w:rPr>
            </w:pPr>
            <w:r w:rsidRPr="00B9467F">
              <w:rPr>
                <w:b/>
                <w:bCs/>
                <w:sz w:val="22"/>
                <w:szCs w:val="22"/>
              </w:rPr>
              <w:t>1.657***</w:t>
            </w:r>
          </w:p>
          <w:p w14:paraId="4157B011" w14:textId="2FB1E46D" w:rsidR="00943268" w:rsidRPr="00B9467F" w:rsidRDefault="00943268" w:rsidP="00CE5FA0">
            <w:pPr>
              <w:spacing w:line="240" w:lineRule="auto"/>
              <w:jc w:val="center"/>
              <w:rPr>
                <w:b/>
                <w:bCs/>
                <w:sz w:val="22"/>
                <w:szCs w:val="22"/>
              </w:rPr>
            </w:pPr>
            <w:r w:rsidRPr="00B9467F">
              <w:rPr>
                <w:b/>
                <w:bCs/>
                <w:sz w:val="22"/>
                <w:szCs w:val="22"/>
              </w:rPr>
              <w:t>(0.154)</w:t>
            </w:r>
          </w:p>
        </w:tc>
        <w:tc>
          <w:tcPr>
            <w:tcW w:w="2145" w:type="dxa"/>
            <w:gridSpan w:val="3"/>
            <w:tcBorders>
              <w:top w:val="single" w:sz="4" w:space="0" w:color="auto"/>
              <w:left w:val="nil"/>
              <w:bottom w:val="single" w:sz="4" w:space="0" w:color="auto"/>
              <w:right w:val="nil"/>
            </w:tcBorders>
            <w:shd w:val="clear" w:color="auto" w:fill="auto"/>
          </w:tcPr>
          <w:p w14:paraId="6CEA128F" w14:textId="28772F4C" w:rsidR="00CE5FA0" w:rsidRPr="00B9467F" w:rsidRDefault="00943268" w:rsidP="00CE5FA0">
            <w:pPr>
              <w:spacing w:line="240" w:lineRule="auto"/>
              <w:jc w:val="center"/>
              <w:rPr>
                <w:b/>
                <w:bCs/>
                <w:sz w:val="22"/>
                <w:szCs w:val="22"/>
              </w:rPr>
            </w:pPr>
            <w:r w:rsidRPr="00B9467F">
              <w:rPr>
                <w:b/>
                <w:bCs/>
                <w:sz w:val="22"/>
                <w:szCs w:val="22"/>
              </w:rPr>
              <w:t>2.001</w:t>
            </w:r>
            <w:r w:rsidR="00B9467F" w:rsidRPr="00B9467F">
              <w:rPr>
                <w:b/>
                <w:bCs/>
                <w:sz w:val="22"/>
                <w:szCs w:val="22"/>
              </w:rPr>
              <w:t>***</w:t>
            </w:r>
          </w:p>
          <w:p w14:paraId="5C0A58F0" w14:textId="59E3A7ED" w:rsidR="00943268" w:rsidRPr="00B9467F" w:rsidRDefault="00943268" w:rsidP="00CE5FA0">
            <w:pPr>
              <w:spacing w:line="240" w:lineRule="auto"/>
              <w:jc w:val="center"/>
              <w:rPr>
                <w:b/>
                <w:bCs/>
                <w:sz w:val="22"/>
                <w:szCs w:val="22"/>
              </w:rPr>
            </w:pPr>
            <w:r w:rsidRPr="00B9467F">
              <w:rPr>
                <w:b/>
                <w:bCs/>
                <w:sz w:val="22"/>
                <w:szCs w:val="22"/>
              </w:rPr>
              <w:t>(0.161)</w:t>
            </w:r>
          </w:p>
        </w:tc>
      </w:tr>
      <w:tr w:rsidR="00CE5FA0" w:rsidRPr="00345F36" w14:paraId="587B29AD" w14:textId="77777777" w:rsidTr="00943268">
        <w:trPr>
          <w:trHeight w:val="570"/>
        </w:trPr>
        <w:tc>
          <w:tcPr>
            <w:tcW w:w="1037" w:type="dxa"/>
            <w:tcBorders>
              <w:left w:val="nil"/>
              <w:bottom w:val="single" w:sz="4" w:space="0" w:color="auto"/>
              <w:right w:val="nil"/>
            </w:tcBorders>
          </w:tcPr>
          <w:p w14:paraId="0893EC36" w14:textId="4B0292AB" w:rsidR="00CE5FA0" w:rsidRDefault="00CE5FA0" w:rsidP="00CE5FA0">
            <w:pPr>
              <w:spacing w:line="240" w:lineRule="auto"/>
              <w:jc w:val="right"/>
              <w:rPr>
                <w:sz w:val="22"/>
                <w:szCs w:val="22"/>
              </w:rPr>
            </w:pPr>
            <w:r w:rsidRPr="006C71F1">
              <w:t>A11</w:t>
            </w:r>
          </w:p>
        </w:tc>
        <w:tc>
          <w:tcPr>
            <w:tcW w:w="1672" w:type="dxa"/>
            <w:tcBorders>
              <w:left w:val="nil"/>
              <w:bottom w:val="single" w:sz="4" w:space="0" w:color="auto"/>
              <w:right w:val="nil"/>
            </w:tcBorders>
          </w:tcPr>
          <w:p w14:paraId="2DD9945B" w14:textId="75F63E31" w:rsidR="00CE5FA0" w:rsidRPr="00290F78" w:rsidRDefault="00CE5FA0" w:rsidP="00CE5FA0">
            <w:pPr>
              <w:spacing w:line="240" w:lineRule="auto"/>
              <w:jc w:val="center"/>
              <w:rPr>
                <w:sz w:val="18"/>
                <w:szCs w:val="18"/>
              </w:rPr>
            </w:pPr>
            <w:r w:rsidRPr="00290F78">
              <w:rPr>
                <w:sz w:val="18"/>
                <w:szCs w:val="18"/>
              </w:rPr>
              <w:t>Gross Productivity (GDP)</w:t>
            </w:r>
          </w:p>
        </w:tc>
        <w:tc>
          <w:tcPr>
            <w:tcW w:w="2095" w:type="dxa"/>
            <w:gridSpan w:val="2"/>
            <w:tcBorders>
              <w:top w:val="single" w:sz="4" w:space="0" w:color="auto"/>
              <w:left w:val="nil"/>
              <w:bottom w:val="single" w:sz="4" w:space="0" w:color="auto"/>
              <w:right w:val="nil"/>
            </w:tcBorders>
            <w:shd w:val="clear" w:color="auto" w:fill="E7E6E6" w:themeFill="background2"/>
          </w:tcPr>
          <w:p w14:paraId="090A4E99" w14:textId="77777777" w:rsidR="00CE5FA0" w:rsidRPr="00B9467F" w:rsidRDefault="00943268" w:rsidP="00CE5FA0">
            <w:pPr>
              <w:spacing w:line="240" w:lineRule="auto"/>
              <w:jc w:val="center"/>
              <w:rPr>
                <w:b/>
                <w:bCs/>
                <w:sz w:val="22"/>
                <w:szCs w:val="22"/>
              </w:rPr>
            </w:pPr>
            <w:r w:rsidRPr="00B9467F">
              <w:rPr>
                <w:b/>
                <w:bCs/>
                <w:sz w:val="22"/>
                <w:szCs w:val="22"/>
              </w:rPr>
              <w:t>1.108***</w:t>
            </w:r>
          </w:p>
          <w:p w14:paraId="0F1D3E81" w14:textId="65DEE423" w:rsidR="00943268" w:rsidRPr="00B9467F" w:rsidRDefault="00943268" w:rsidP="00CE5FA0">
            <w:pPr>
              <w:spacing w:line="240" w:lineRule="auto"/>
              <w:jc w:val="center"/>
              <w:rPr>
                <w:b/>
                <w:bCs/>
                <w:sz w:val="22"/>
                <w:szCs w:val="22"/>
              </w:rPr>
            </w:pPr>
            <w:r w:rsidRPr="00B9467F">
              <w:rPr>
                <w:b/>
                <w:bCs/>
                <w:sz w:val="22"/>
                <w:szCs w:val="22"/>
              </w:rPr>
              <w:t>(0.127)</w:t>
            </w:r>
          </w:p>
        </w:tc>
        <w:tc>
          <w:tcPr>
            <w:tcW w:w="2077" w:type="dxa"/>
            <w:gridSpan w:val="3"/>
            <w:tcBorders>
              <w:top w:val="single" w:sz="4" w:space="0" w:color="auto"/>
              <w:left w:val="nil"/>
              <w:bottom w:val="single" w:sz="4" w:space="0" w:color="auto"/>
              <w:right w:val="nil"/>
            </w:tcBorders>
            <w:shd w:val="clear" w:color="auto" w:fill="auto"/>
          </w:tcPr>
          <w:p w14:paraId="27A872C3" w14:textId="01AEC8D3" w:rsidR="00CE5FA0" w:rsidRPr="00B9467F" w:rsidRDefault="00943268" w:rsidP="00CE5FA0">
            <w:pPr>
              <w:spacing w:line="240" w:lineRule="auto"/>
              <w:jc w:val="center"/>
              <w:rPr>
                <w:b/>
                <w:bCs/>
                <w:sz w:val="22"/>
                <w:szCs w:val="22"/>
              </w:rPr>
            </w:pPr>
            <w:r w:rsidRPr="00B9467F">
              <w:rPr>
                <w:b/>
                <w:bCs/>
                <w:sz w:val="22"/>
                <w:szCs w:val="22"/>
              </w:rPr>
              <w:t>1.521***</w:t>
            </w:r>
          </w:p>
          <w:p w14:paraId="6FF38D5D" w14:textId="300BD3A9" w:rsidR="00943268" w:rsidRPr="00B9467F" w:rsidRDefault="00943268" w:rsidP="00CE5FA0">
            <w:pPr>
              <w:spacing w:line="240" w:lineRule="auto"/>
              <w:jc w:val="center"/>
              <w:rPr>
                <w:b/>
                <w:bCs/>
                <w:sz w:val="22"/>
                <w:szCs w:val="22"/>
              </w:rPr>
            </w:pPr>
            <w:r w:rsidRPr="00B9467F">
              <w:rPr>
                <w:b/>
                <w:bCs/>
                <w:sz w:val="22"/>
                <w:szCs w:val="22"/>
              </w:rPr>
              <w:t>(0.158)</w:t>
            </w:r>
          </w:p>
        </w:tc>
        <w:tc>
          <w:tcPr>
            <w:tcW w:w="2145" w:type="dxa"/>
            <w:gridSpan w:val="3"/>
            <w:tcBorders>
              <w:top w:val="single" w:sz="4" w:space="0" w:color="auto"/>
              <w:left w:val="nil"/>
              <w:bottom w:val="single" w:sz="4" w:space="0" w:color="auto"/>
              <w:right w:val="nil"/>
            </w:tcBorders>
            <w:shd w:val="clear" w:color="auto" w:fill="auto"/>
          </w:tcPr>
          <w:p w14:paraId="61A1B0E5" w14:textId="65398B40" w:rsidR="00CE5FA0" w:rsidRPr="00B9467F" w:rsidRDefault="00943268" w:rsidP="00CE5FA0">
            <w:pPr>
              <w:spacing w:line="240" w:lineRule="auto"/>
              <w:jc w:val="center"/>
              <w:rPr>
                <w:b/>
                <w:bCs/>
                <w:sz w:val="22"/>
                <w:szCs w:val="22"/>
              </w:rPr>
            </w:pPr>
            <w:r w:rsidRPr="00B9467F">
              <w:rPr>
                <w:b/>
                <w:bCs/>
                <w:sz w:val="22"/>
                <w:szCs w:val="22"/>
              </w:rPr>
              <w:t>1.882***</w:t>
            </w:r>
          </w:p>
          <w:p w14:paraId="6D8312F5" w14:textId="75A7878A" w:rsidR="00943268" w:rsidRPr="00B9467F" w:rsidRDefault="00943268" w:rsidP="00CE5FA0">
            <w:pPr>
              <w:spacing w:line="240" w:lineRule="auto"/>
              <w:jc w:val="center"/>
              <w:rPr>
                <w:b/>
                <w:bCs/>
                <w:sz w:val="22"/>
                <w:szCs w:val="22"/>
              </w:rPr>
            </w:pPr>
            <w:r w:rsidRPr="00B9467F">
              <w:rPr>
                <w:b/>
                <w:bCs/>
                <w:sz w:val="22"/>
                <w:szCs w:val="22"/>
              </w:rPr>
              <w:t>(0.142)</w:t>
            </w:r>
          </w:p>
        </w:tc>
      </w:tr>
      <w:tr w:rsidR="00CE5FA0" w:rsidRPr="00345F36" w14:paraId="16D85A5B" w14:textId="77777777" w:rsidTr="00943268">
        <w:trPr>
          <w:trHeight w:val="570"/>
        </w:trPr>
        <w:tc>
          <w:tcPr>
            <w:tcW w:w="1037" w:type="dxa"/>
            <w:tcBorders>
              <w:left w:val="nil"/>
              <w:bottom w:val="single" w:sz="4" w:space="0" w:color="auto"/>
              <w:right w:val="nil"/>
            </w:tcBorders>
          </w:tcPr>
          <w:p w14:paraId="47F98AED" w14:textId="3CC17C8B" w:rsidR="00CE5FA0" w:rsidRDefault="00CE5FA0" w:rsidP="00CE5FA0">
            <w:pPr>
              <w:spacing w:line="240" w:lineRule="auto"/>
              <w:jc w:val="right"/>
              <w:rPr>
                <w:sz w:val="22"/>
                <w:szCs w:val="22"/>
              </w:rPr>
            </w:pPr>
            <w:r w:rsidRPr="006C71F1">
              <w:t>A12</w:t>
            </w:r>
          </w:p>
        </w:tc>
        <w:tc>
          <w:tcPr>
            <w:tcW w:w="1672" w:type="dxa"/>
            <w:tcBorders>
              <w:left w:val="nil"/>
              <w:bottom w:val="single" w:sz="4" w:space="0" w:color="auto"/>
              <w:right w:val="nil"/>
            </w:tcBorders>
          </w:tcPr>
          <w:p w14:paraId="4B538B40" w14:textId="7FB8856C" w:rsidR="00CE5FA0" w:rsidRDefault="00CE5FA0" w:rsidP="00CE5FA0">
            <w:pPr>
              <w:spacing w:line="240" w:lineRule="auto"/>
              <w:jc w:val="center"/>
              <w:rPr>
                <w:sz w:val="20"/>
                <w:szCs w:val="20"/>
              </w:rPr>
            </w:pPr>
            <w:r>
              <w:rPr>
                <w:sz w:val="20"/>
                <w:szCs w:val="20"/>
              </w:rPr>
              <w:t>Unrestricted employment</w:t>
            </w:r>
          </w:p>
        </w:tc>
        <w:tc>
          <w:tcPr>
            <w:tcW w:w="2095" w:type="dxa"/>
            <w:gridSpan w:val="2"/>
            <w:tcBorders>
              <w:top w:val="single" w:sz="4" w:space="0" w:color="auto"/>
              <w:left w:val="nil"/>
              <w:bottom w:val="single" w:sz="4" w:space="0" w:color="auto"/>
              <w:right w:val="nil"/>
            </w:tcBorders>
            <w:shd w:val="clear" w:color="auto" w:fill="E7E6E6" w:themeFill="background2"/>
          </w:tcPr>
          <w:p w14:paraId="7DB342C8" w14:textId="77777777" w:rsidR="00CE5FA0" w:rsidRPr="00B9467F" w:rsidRDefault="00943268" w:rsidP="00CE5FA0">
            <w:pPr>
              <w:spacing w:line="240" w:lineRule="auto"/>
              <w:jc w:val="center"/>
              <w:rPr>
                <w:b/>
                <w:bCs/>
                <w:sz w:val="22"/>
                <w:szCs w:val="22"/>
              </w:rPr>
            </w:pPr>
            <w:r w:rsidRPr="00B9467F">
              <w:rPr>
                <w:b/>
                <w:bCs/>
                <w:sz w:val="22"/>
                <w:szCs w:val="22"/>
              </w:rPr>
              <w:t>0.956***</w:t>
            </w:r>
          </w:p>
          <w:p w14:paraId="5F11F854" w14:textId="2C581F1D" w:rsidR="00943268" w:rsidRPr="00B9467F" w:rsidRDefault="00943268" w:rsidP="00CE5FA0">
            <w:pPr>
              <w:spacing w:line="240" w:lineRule="auto"/>
              <w:jc w:val="center"/>
              <w:rPr>
                <w:b/>
                <w:bCs/>
                <w:sz w:val="22"/>
                <w:szCs w:val="22"/>
              </w:rPr>
            </w:pPr>
            <w:r w:rsidRPr="00B9467F">
              <w:rPr>
                <w:b/>
                <w:bCs/>
                <w:sz w:val="22"/>
                <w:szCs w:val="22"/>
              </w:rPr>
              <w:t>(0.139)</w:t>
            </w:r>
          </w:p>
        </w:tc>
        <w:tc>
          <w:tcPr>
            <w:tcW w:w="2077" w:type="dxa"/>
            <w:gridSpan w:val="3"/>
            <w:tcBorders>
              <w:top w:val="single" w:sz="4" w:space="0" w:color="auto"/>
              <w:left w:val="nil"/>
              <w:bottom w:val="single" w:sz="4" w:space="0" w:color="auto"/>
              <w:right w:val="nil"/>
            </w:tcBorders>
            <w:shd w:val="clear" w:color="auto" w:fill="E7E6E6" w:themeFill="background2"/>
          </w:tcPr>
          <w:p w14:paraId="1C1C352B" w14:textId="77777777" w:rsidR="00CE5FA0" w:rsidRPr="00B9467F" w:rsidRDefault="00943268" w:rsidP="00CE5FA0">
            <w:pPr>
              <w:spacing w:line="240" w:lineRule="auto"/>
              <w:jc w:val="center"/>
              <w:rPr>
                <w:b/>
                <w:bCs/>
                <w:sz w:val="22"/>
                <w:szCs w:val="22"/>
              </w:rPr>
            </w:pPr>
            <w:r w:rsidRPr="00B9467F">
              <w:rPr>
                <w:b/>
                <w:bCs/>
                <w:sz w:val="22"/>
                <w:szCs w:val="22"/>
              </w:rPr>
              <w:t>1.327***</w:t>
            </w:r>
          </w:p>
          <w:p w14:paraId="4F70A5CD" w14:textId="5BE16565" w:rsidR="00943268" w:rsidRPr="00B9467F" w:rsidRDefault="00943268" w:rsidP="00CE5FA0">
            <w:pPr>
              <w:spacing w:line="240" w:lineRule="auto"/>
              <w:jc w:val="center"/>
              <w:rPr>
                <w:b/>
                <w:bCs/>
                <w:sz w:val="22"/>
                <w:szCs w:val="22"/>
              </w:rPr>
            </w:pPr>
            <w:r w:rsidRPr="00B9467F">
              <w:rPr>
                <w:b/>
                <w:bCs/>
                <w:sz w:val="22"/>
                <w:szCs w:val="22"/>
              </w:rPr>
              <w:t>(0.185)</w:t>
            </w:r>
          </w:p>
        </w:tc>
        <w:tc>
          <w:tcPr>
            <w:tcW w:w="2145" w:type="dxa"/>
            <w:gridSpan w:val="3"/>
            <w:tcBorders>
              <w:top w:val="single" w:sz="4" w:space="0" w:color="auto"/>
              <w:left w:val="nil"/>
              <w:bottom w:val="single" w:sz="4" w:space="0" w:color="auto"/>
              <w:right w:val="nil"/>
            </w:tcBorders>
            <w:shd w:val="clear" w:color="auto" w:fill="auto"/>
          </w:tcPr>
          <w:p w14:paraId="1D42472D" w14:textId="3A5A8C32" w:rsidR="00CE5FA0" w:rsidRPr="00B9467F" w:rsidRDefault="00943268" w:rsidP="00CE5FA0">
            <w:pPr>
              <w:spacing w:line="240" w:lineRule="auto"/>
              <w:jc w:val="center"/>
              <w:rPr>
                <w:b/>
                <w:bCs/>
                <w:sz w:val="22"/>
                <w:szCs w:val="22"/>
              </w:rPr>
            </w:pPr>
            <w:r w:rsidRPr="00B9467F">
              <w:rPr>
                <w:b/>
                <w:bCs/>
                <w:sz w:val="22"/>
                <w:szCs w:val="22"/>
              </w:rPr>
              <w:t>1.682</w:t>
            </w:r>
            <w:r w:rsidR="00B9467F" w:rsidRPr="00B9467F">
              <w:rPr>
                <w:b/>
                <w:bCs/>
                <w:sz w:val="22"/>
                <w:szCs w:val="22"/>
              </w:rPr>
              <w:t>***</w:t>
            </w:r>
          </w:p>
          <w:p w14:paraId="2F9589E8" w14:textId="209045B6" w:rsidR="00943268" w:rsidRPr="00B9467F" w:rsidRDefault="00943268" w:rsidP="00CE5FA0">
            <w:pPr>
              <w:spacing w:line="240" w:lineRule="auto"/>
              <w:jc w:val="center"/>
              <w:rPr>
                <w:b/>
                <w:bCs/>
                <w:sz w:val="22"/>
                <w:szCs w:val="22"/>
              </w:rPr>
            </w:pPr>
            <w:r w:rsidRPr="00B9467F">
              <w:rPr>
                <w:b/>
                <w:bCs/>
                <w:sz w:val="22"/>
                <w:szCs w:val="22"/>
              </w:rPr>
              <w:t>(0.164)</w:t>
            </w:r>
          </w:p>
        </w:tc>
      </w:tr>
      <w:tr w:rsidR="00CE5FA0" w:rsidRPr="00345F36" w14:paraId="62BA4B7C" w14:textId="77777777" w:rsidTr="005E47B7">
        <w:trPr>
          <w:trHeight w:val="570"/>
        </w:trPr>
        <w:tc>
          <w:tcPr>
            <w:tcW w:w="1037" w:type="dxa"/>
            <w:tcBorders>
              <w:left w:val="nil"/>
              <w:bottom w:val="single" w:sz="4" w:space="0" w:color="auto"/>
              <w:right w:val="nil"/>
            </w:tcBorders>
          </w:tcPr>
          <w:p w14:paraId="7A54CFED" w14:textId="65D3B2D7" w:rsidR="00CE5FA0" w:rsidRDefault="00CE5FA0" w:rsidP="00CE5FA0">
            <w:pPr>
              <w:spacing w:line="240" w:lineRule="auto"/>
              <w:jc w:val="right"/>
              <w:rPr>
                <w:sz w:val="22"/>
                <w:szCs w:val="22"/>
              </w:rPr>
            </w:pPr>
            <w:r w:rsidRPr="006C71F1">
              <w:t>A13</w:t>
            </w:r>
          </w:p>
        </w:tc>
        <w:tc>
          <w:tcPr>
            <w:tcW w:w="1672" w:type="dxa"/>
            <w:tcBorders>
              <w:left w:val="nil"/>
              <w:bottom w:val="single" w:sz="4" w:space="0" w:color="auto"/>
              <w:right w:val="nil"/>
            </w:tcBorders>
          </w:tcPr>
          <w:p w14:paraId="22B9AE50" w14:textId="05E5C479" w:rsidR="00CE5FA0" w:rsidRDefault="00CE5FA0" w:rsidP="00CE5FA0">
            <w:pPr>
              <w:spacing w:line="240" w:lineRule="auto"/>
              <w:jc w:val="center"/>
              <w:rPr>
                <w:sz w:val="20"/>
                <w:szCs w:val="20"/>
              </w:rPr>
            </w:pPr>
            <w:r>
              <w:rPr>
                <w:sz w:val="20"/>
                <w:szCs w:val="20"/>
              </w:rPr>
              <w:t>CPIH-based inflation</w:t>
            </w:r>
          </w:p>
        </w:tc>
        <w:tc>
          <w:tcPr>
            <w:tcW w:w="2095" w:type="dxa"/>
            <w:gridSpan w:val="2"/>
            <w:tcBorders>
              <w:top w:val="single" w:sz="4" w:space="0" w:color="auto"/>
              <w:left w:val="nil"/>
              <w:bottom w:val="single" w:sz="4" w:space="0" w:color="auto"/>
              <w:right w:val="nil"/>
            </w:tcBorders>
            <w:shd w:val="clear" w:color="auto" w:fill="E7E6E6" w:themeFill="background2"/>
          </w:tcPr>
          <w:p w14:paraId="1F107EBA" w14:textId="095FD1C4" w:rsidR="00CE5FA0" w:rsidRPr="00B9467F" w:rsidRDefault="005E47B7" w:rsidP="00CE5FA0">
            <w:pPr>
              <w:spacing w:line="240" w:lineRule="auto"/>
              <w:jc w:val="center"/>
              <w:rPr>
                <w:b/>
                <w:bCs/>
                <w:sz w:val="22"/>
                <w:szCs w:val="22"/>
              </w:rPr>
            </w:pPr>
            <w:r w:rsidRPr="00B9467F">
              <w:rPr>
                <w:b/>
                <w:bCs/>
                <w:sz w:val="22"/>
                <w:szCs w:val="22"/>
              </w:rPr>
              <w:t>0.830***</w:t>
            </w:r>
          </w:p>
          <w:p w14:paraId="4860E63D" w14:textId="3BFEFAE2" w:rsidR="005E47B7" w:rsidRPr="00B9467F" w:rsidRDefault="005E47B7" w:rsidP="00CE5FA0">
            <w:pPr>
              <w:spacing w:line="240" w:lineRule="auto"/>
              <w:jc w:val="center"/>
              <w:rPr>
                <w:b/>
                <w:bCs/>
                <w:sz w:val="22"/>
                <w:szCs w:val="22"/>
              </w:rPr>
            </w:pPr>
            <w:r w:rsidRPr="00B9467F">
              <w:rPr>
                <w:b/>
                <w:bCs/>
                <w:sz w:val="22"/>
                <w:szCs w:val="22"/>
              </w:rPr>
              <w:t>(0.191)</w:t>
            </w:r>
          </w:p>
        </w:tc>
        <w:tc>
          <w:tcPr>
            <w:tcW w:w="2077" w:type="dxa"/>
            <w:gridSpan w:val="3"/>
            <w:tcBorders>
              <w:top w:val="single" w:sz="4" w:space="0" w:color="auto"/>
              <w:left w:val="nil"/>
              <w:bottom w:val="single" w:sz="4" w:space="0" w:color="auto"/>
              <w:right w:val="nil"/>
            </w:tcBorders>
            <w:shd w:val="clear" w:color="auto" w:fill="E7E6E6" w:themeFill="background2"/>
          </w:tcPr>
          <w:p w14:paraId="696612CF" w14:textId="77777777" w:rsidR="00CE5FA0" w:rsidRPr="00B9467F" w:rsidRDefault="005E47B7" w:rsidP="00CE5FA0">
            <w:pPr>
              <w:spacing w:line="240" w:lineRule="auto"/>
              <w:jc w:val="center"/>
              <w:rPr>
                <w:b/>
                <w:bCs/>
                <w:sz w:val="22"/>
                <w:szCs w:val="22"/>
              </w:rPr>
            </w:pPr>
            <w:r w:rsidRPr="00B9467F">
              <w:rPr>
                <w:b/>
                <w:bCs/>
                <w:sz w:val="22"/>
                <w:szCs w:val="22"/>
              </w:rPr>
              <w:t>1.228***</w:t>
            </w:r>
          </w:p>
          <w:p w14:paraId="486D8E52" w14:textId="3A70BB54" w:rsidR="005E47B7" w:rsidRPr="00B9467F" w:rsidRDefault="005E47B7" w:rsidP="00CE5FA0">
            <w:pPr>
              <w:spacing w:line="240" w:lineRule="auto"/>
              <w:jc w:val="center"/>
              <w:rPr>
                <w:b/>
                <w:bCs/>
                <w:sz w:val="22"/>
                <w:szCs w:val="22"/>
              </w:rPr>
            </w:pPr>
            <w:r w:rsidRPr="00B9467F">
              <w:rPr>
                <w:b/>
                <w:bCs/>
                <w:sz w:val="22"/>
                <w:szCs w:val="22"/>
              </w:rPr>
              <w:t>(0.236)</w:t>
            </w:r>
          </w:p>
        </w:tc>
        <w:tc>
          <w:tcPr>
            <w:tcW w:w="2145" w:type="dxa"/>
            <w:gridSpan w:val="3"/>
            <w:tcBorders>
              <w:top w:val="single" w:sz="4" w:space="0" w:color="auto"/>
              <w:left w:val="nil"/>
              <w:bottom w:val="single" w:sz="4" w:space="0" w:color="auto"/>
              <w:right w:val="nil"/>
            </w:tcBorders>
            <w:shd w:val="clear" w:color="auto" w:fill="auto"/>
          </w:tcPr>
          <w:p w14:paraId="22D9F9D7" w14:textId="77777777" w:rsidR="00CE5FA0" w:rsidRPr="00B9467F" w:rsidRDefault="005E47B7" w:rsidP="00CE5FA0">
            <w:pPr>
              <w:spacing w:line="240" w:lineRule="auto"/>
              <w:jc w:val="center"/>
              <w:rPr>
                <w:b/>
                <w:bCs/>
                <w:sz w:val="22"/>
                <w:szCs w:val="22"/>
              </w:rPr>
            </w:pPr>
            <w:r w:rsidRPr="00B9467F">
              <w:rPr>
                <w:b/>
                <w:bCs/>
                <w:sz w:val="22"/>
                <w:szCs w:val="22"/>
              </w:rPr>
              <w:t>1.604***</w:t>
            </w:r>
          </w:p>
          <w:p w14:paraId="2DF9C9AA" w14:textId="05B70785" w:rsidR="005E47B7" w:rsidRPr="00B9467F" w:rsidRDefault="005E47B7" w:rsidP="00CE5FA0">
            <w:pPr>
              <w:spacing w:line="240" w:lineRule="auto"/>
              <w:jc w:val="center"/>
              <w:rPr>
                <w:b/>
                <w:bCs/>
                <w:sz w:val="22"/>
                <w:szCs w:val="22"/>
              </w:rPr>
            </w:pPr>
            <w:r w:rsidRPr="00B9467F">
              <w:rPr>
                <w:b/>
                <w:bCs/>
                <w:sz w:val="22"/>
                <w:szCs w:val="22"/>
              </w:rPr>
              <w:t>(0.202)</w:t>
            </w:r>
          </w:p>
        </w:tc>
      </w:tr>
      <w:tr w:rsidR="00516686" w:rsidRPr="00345F36" w14:paraId="4E790236" w14:textId="77777777" w:rsidTr="000B3469">
        <w:trPr>
          <w:trHeight w:val="788"/>
        </w:trPr>
        <w:tc>
          <w:tcPr>
            <w:tcW w:w="9026" w:type="dxa"/>
            <w:gridSpan w:val="10"/>
            <w:tcBorders>
              <w:top w:val="single" w:sz="4" w:space="0" w:color="auto"/>
              <w:left w:val="nil"/>
              <w:bottom w:val="nil"/>
              <w:right w:val="nil"/>
            </w:tcBorders>
          </w:tcPr>
          <w:p w14:paraId="60620698" w14:textId="6E33158E" w:rsidR="00516686" w:rsidRPr="00830B09" w:rsidRDefault="00516686" w:rsidP="00147CE7">
            <w:pPr>
              <w:spacing w:line="240" w:lineRule="auto"/>
              <w:jc w:val="both"/>
              <w:rPr>
                <w:sz w:val="22"/>
                <w:szCs w:val="22"/>
              </w:rPr>
            </w:pPr>
            <w:r>
              <w:rPr>
                <w:i/>
                <w:iCs/>
                <w:sz w:val="22"/>
                <w:szCs w:val="22"/>
              </w:rPr>
              <w:t xml:space="preserve">Note: </w:t>
            </w:r>
            <w:r w:rsidR="00010E81">
              <w:rPr>
                <w:sz w:val="22"/>
                <w:szCs w:val="22"/>
              </w:rPr>
              <w:t>unless stated otherwise, variables modelled as baseline specification.</w:t>
            </w:r>
          </w:p>
          <w:p w14:paraId="36FDFECF" w14:textId="43989BD0" w:rsidR="00010E81" w:rsidRPr="002B3049" w:rsidRDefault="00010E81" w:rsidP="00147CE7">
            <w:pPr>
              <w:spacing w:line="240" w:lineRule="auto"/>
              <w:jc w:val="both"/>
              <w:rPr>
                <w:sz w:val="22"/>
                <w:szCs w:val="22"/>
              </w:rPr>
            </w:pPr>
            <w:r>
              <w:rPr>
                <w:rFonts w:eastAsia="Times New Roman"/>
                <w:sz w:val="22"/>
                <w:szCs w:val="22"/>
              </w:rPr>
              <w:t xml:space="preserve">Robust standard errors </w:t>
            </w:r>
            <w:r w:rsidR="002B3049" w:rsidRPr="00830B09">
              <w:rPr>
                <w:sz w:val="22"/>
                <w:szCs w:val="22"/>
              </w:rPr>
              <w:t>in parenthes</w:t>
            </w:r>
            <w:r w:rsidR="003336A3">
              <w:rPr>
                <w:sz w:val="22"/>
                <w:szCs w:val="22"/>
              </w:rPr>
              <w:t>e</w:t>
            </w:r>
            <w:r w:rsidR="002B3049" w:rsidRPr="00830B09">
              <w:rPr>
                <w:sz w:val="22"/>
                <w:szCs w:val="22"/>
              </w:rPr>
              <w:t>s.</w:t>
            </w:r>
          </w:p>
          <w:p w14:paraId="598C0BFF" w14:textId="77777777" w:rsidR="00516686" w:rsidRDefault="00516686" w:rsidP="00147CE7">
            <w:pPr>
              <w:spacing w:line="240" w:lineRule="auto"/>
              <w:jc w:val="both"/>
              <w:rPr>
                <w:sz w:val="22"/>
                <w:szCs w:val="22"/>
              </w:rPr>
            </w:pPr>
            <w:r w:rsidRPr="00010E81">
              <w:rPr>
                <w:b/>
                <w:bCs/>
                <w:sz w:val="22"/>
                <w:szCs w:val="22"/>
              </w:rPr>
              <w:t>*** p&lt;0.01</w:t>
            </w:r>
            <w:r w:rsidRPr="00010E81">
              <w:rPr>
                <w:sz w:val="22"/>
                <w:szCs w:val="22"/>
              </w:rPr>
              <w:t>,</w:t>
            </w:r>
            <w:r w:rsidRPr="00010E81">
              <w:rPr>
                <w:b/>
                <w:bCs/>
                <w:sz w:val="22"/>
                <w:szCs w:val="22"/>
              </w:rPr>
              <w:t>** p&lt;0.05</w:t>
            </w:r>
            <w:r w:rsidRPr="00010E81">
              <w:rPr>
                <w:sz w:val="22"/>
                <w:szCs w:val="22"/>
              </w:rPr>
              <w:t>, * p&lt;0.1</w:t>
            </w:r>
          </w:p>
          <w:p w14:paraId="536A10BB" w14:textId="621BF2EE" w:rsidR="00E3148A" w:rsidRPr="00E3148A" w:rsidRDefault="00E3148A" w:rsidP="00147CE7">
            <w:pPr>
              <w:spacing w:line="240" w:lineRule="auto"/>
              <w:jc w:val="both"/>
              <w:rPr>
                <w:sz w:val="22"/>
                <w:szCs w:val="22"/>
              </w:rPr>
            </w:pPr>
            <w:r>
              <w:rPr>
                <w:sz w:val="20"/>
                <w:szCs w:val="20"/>
                <w:vertAlign w:val="superscript"/>
              </w:rPr>
              <w:t>╬</w:t>
            </w:r>
            <w:r w:rsidR="00613923">
              <w:rPr>
                <w:sz w:val="20"/>
                <w:szCs w:val="20"/>
                <w:vertAlign w:val="superscript"/>
              </w:rPr>
              <w:t xml:space="preserve"> </w:t>
            </w:r>
            <w:r w:rsidR="00613923" w:rsidRPr="00613923">
              <w:rPr>
                <w:i/>
                <w:sz w:val="20"/>
                <w:szCs w:val="20"/>
              </w:rPr>
              <w:t>Red number in right-hand box is dummy-interaction coefficient.</w:t>
            </w:r>
            <w:r w:rsidR="00613923">
              <w:rPr>
                <w:iCs/>
                <w:sz w:val="20"/>
                <w:szCs w:val="20"/>
              </w:rPr>
              <w:t xml:space="preserve"> </w:t>
            </w:r>
          </w:p>
          <w:p w14:paraId="53D2865A" w14:textId="7E73CDAB" w:rsidR="00EA719E" w:rsidRPr="00EA719E" w:rsidRDefault="00EA719E" w:rsidP="00147CE7">
            <w:pPr>
              <w:spacing w:line="240" w:lineRule="auto"/>
              <w:jc w:val="both"/>
              <w:rPr>
                <w:i/>
                <w:iCs/>
                <w:sz w:val="22"/>
                <w:szCs w:val="22"/>
              </w:rPr>
            </w:pPr>
            <w:r w:rsidRPr="00EA719E">
              <w:rPr>
                <w:i/>
                <w:iCs/>
                <w:sz w:val="22"/>
                <w:szCs w:val="22"/>
              </w:rPr>
              <w:t>Cells that cannot reject the</w:t>
            </w:r>
            <w:r w:rsidR="005E47B7">
              <w:rPr>
                <w: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r>
                <w:rPr>
                  <w:rFonts w:ascii="Cambria Math" w:hAnsi="Cambria Math"/>
                  <w:sz w:val="22"/>
                  <w:szCs w:val="22"/>
                </w:rPr>
                <m:t>β=1</m:t>
              </m:r>
            </m:oMath>
            <w:r w:rsidRPr="00EA719E">
              <w:rPr>
                <w:i/>
                <w:iCs/>
                <w:sz w:val="22"/>
                <w:szCs w:val="22"/>
              </w:rPr>
              <w:t xml:space="preserve"> F-test at the 5% </w:t>
            </w:r>
            <w:r>
              <w:rPr>
                <w:i/>
                <w:iCs/>
                <w:sz w:val="22"/>
                <w:szCs w:val="22"/>
              </w:rPr>
              <w:t xml:space="preserve">significance </w:t>
            </w:r>
            <w:r w:rsidRPr="00EA719E">
              <w:rPr>
                <w:i/>
                <w:iCs/>
                <w:sz w:val="22"/>
                <w:szCs w:val="22"/>
              </w:rPr>
              <w:t>level are shaded grey.</w:t>
            </w:r>
          </w:p>
        </w:tc>
      </w:tr>
    </w:tbl>
    <w:p w14:paraId="6CD5147A" w14:textId="7B9DB5BF" w:rsidR="002221B1" w:rsidRDefault="00147CE7" w:rsidP="00DF64C4">
      <w:pPr>
        <w:pStyle w:val="Heading2"/>
        <w:spacing w:before="240"/>
      </w:pPr>
      <w:bookmarkStart w:id="16" w:name="_Toc198794479"/>
      <w:r>
        <w:t>Section 5.</w:t>
      </w:r>
      <w:r w:rsidR="00493B69">
        <w:t>2</w:t>
      </w:r>
      <w:r>
        <w:t>: Discussion and analysis</w:t>
      </w:r>
      <w:bookmarkEnd w:id="16"/>
    </w:p>
    <w:p w14:paraId="4D5AB5C2" w14:textId="58D1DB6A" w:rsidR="00E45952" w:rsidRDefault="003246AA" w:rsidP="00147CE7">
      <w:pPr>
        <w:jc w:val="both"/>
      </w:pPr>
      <w:r>
        <w:t xml:space="preserve">The estimated results are very closely in line with those reported in similar studies </w:t>
      </w:r>
      <w:sdt>
        <w:sdtPr>
          <w:id w:val="392169136"/>
          <w:citation/>
        </w:sdtPr>
        <w:sdtContent>
          <w:r>
            <w:fldChar w:fldCharType="begin"/>
          </w:r>
          <w:r>
            <w:instrText xml:space="preserve"> CITATION Sta18 \l 2057  \m Bro19 \m Pas18</w:instrText>
          </w:r>
          <w:r>
            <w:fldChar w:fldCharType="separate"/>
          </w:r>
          <w:r w:rsidR="007D5421" w:rsidRPr="007D5421">
            <w:rPr>
              <w:noProof/>
            </w:rPr>
            <w:t>(Stansbury &amp; Summers, 2018; Brocek, 2019; Pasimeni, 2018)</w:t>
          </w:r>
          <w:r>
            <w:fldChar w:fldCharType="end"/>
          </w:r>
        </w:sdtContent>
      </w:sdt>
      <w:r>
        <w:t xml:space="preserve">. </w:t>
      </w:r>
      <w:r w:rsidR="00146698">
        <w:t>T</w:t>
      </w:r>
      <w:r w:rsidR="00B856E4">
        <w:t xml:space="preserve">he productivity-pay relationship is </w:t>
      </w:r>
      <w:r w:rsidR="00146698">
        <w:t xml:space="preserve">clearly </w:t>
      </w:r>
      <w:r w:rsidR="00B856E4">
        <w:t xml:space="preserve">very robust to </w:t>
      </w:r>
      <w:r w:rsidR="004D6BFD">
        <w:t>specification changes</w:t>
      </w:r>
      <w:r w:rsidR="00146698">
        <w:t>: m</w:t>
      </w:r>
      <w:r w:rsidR="00B856E4">
        <w:t xml:space="preserve">edian wages </w:t>
      </w:r>
      <w:r w:rsidR="00FF0E04">
        <w:t>almost</w:t>
      </w:r>
      <w:r w:rsidR="00B856E4">
        <w:t xml:space="preserve"> always retain growth</w:t>
      </w:r>
      <w:r w:rsidR="007A72D5">
        <w:t xml:space="preserve"> rates</w:t>
      </w:r>
      <w:r w:rsidR="00B856E4">
        <w:t xml:space="preserve"> </w:t>
      </w:r>
      <w:r w:rsidR="007A72D5">
        <w:t xml:space="preserve">statistically indistinguishable from one-to-one </w:t>
      </w:r>
      <w:r w:rsidR="00B856E4">
        <w:t xml:space="preserve">throughout all </w:t>
      </w:r>
      <w:r w:rsidR="00146698">
        <w:t xml:space="preserve">robustness tests. </w:t>
      </w:r>
      <w:r w:rsidR="00FF0E04">
        <w:t xml:space="preserve">The evidence does not support the conclusions found in </w:t>
      </w:r>
      <w:proofErr w:type="spellStart"/>
      <w:r w:rsidR="00FF0E04">
        <w:t>Ciarli</w:t>
      </w:r>
      <w:proofErr w:type="spellEnd"/>
      <w:r w:rsidR="00FF0E04">
        <w:t xml:space="preserve"> et al. (2018) or </w:t>
      </w:r>
      <w:proofErr w:type="spellStart"/>
      <w:r w:rsidR="00FF0E04">
        <w:t>Ciarli</w:t>
      </w:r>
      <w:proofErr w:type="spellEnd"/>
      <w:r w:rsidR="00FF0E04">
        <w:t xml:space="preserve"> et al. (2021) where a statistically insignificant, or sometimes negative, elasticity between earnings and productivity is estimated.</w:t>
      </w:r>
    </w:p>
    <w:p w14:paraId="178ABA5A" w14:textId="7A27364A" w:rsidR="00A03C40" w:rsidRDefault="00146698" w:rsidP="00147CE7">
      <w:pPr>
        <w:jc w:val="both"/>
      </w:pPr>
      <w:r>
        <w:t>The income distribution and productivity coefficients are plotted on figure I.</w:t>
      </w:r>
    </w:p>
    <w:p w14:paraId="5F44F0F1" w14:textId="367EAA82" w:rsidR="00613923" w:rsidRDefault="00613923" w:rsidP="00613923">
      <w:pPr>
        <w:jc w:val="center"/>
      </w:pPr>
      <w:r>
        <w:rPr>
          <w:noProof/>
        </w:rPr>
        <w:drawing>
          <wp:inline distT="0" distB="0" distL="0" distR="0" wp14:anchorId="03B78F4E" wp14:editId="498BD5B9">
            <wp:extent cx="4874150" cy="3593630"/>
            <wp:effectExtent l="0" t="0" r="3175" b="6985"/>
            <wp:docPr id="219397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2728" cy="3599954"/>
                    </a:xfrm>
                    <a:prstGeom prst="rect">
                      <a:avLst/>
                    </a:prstGeom>
                    <a:noFill/>
                  </pic:spPr>
                </pic:pic>
              </a:graphicData>
            </a:graphic>
          </wp:inline>
        </w:drawing>
      </w:r>
    </w:p>
    <w:p w14:paraId="461636DA" w14:textId="259A76D3" w:rsidR="00613923" w:rsidRDefault="00613923" w:rsidP="00613923">
      <w:pPr>
        <w:pStyle w:val="Subtitle"/>
      </w:pPr>
      <w:r>
        <w:t>Figure I – Marginal effects of productivity on wage growth. Own illustration. Data from Table D.</w:t>
      </w:r>
      <w:r w:rsidR="00B9467F">
        <w:t xml:space="preserve"> Red-dotted line shows elasticity of 1.</w:t>
      </w:r>
    </w:p>
    <w:p w14:paraId="6F0F71E2" w14:textId="010BE72B" w:rsidR="00146698" w:rsidRDefault="00146698" w:rsidP="00C70309">
      <w:r>
        <w:t xml:space="preserve">Figure I clearly depicts inequality effects, but also is good news for lower income earners – benefits from productivity gain do not skip or miss any income group. </w:t>
      </w:r>
    </w:p>
    <w:p w14:paraId="0E61BF8B" w14:textId="0A9839BB" w:rsidR="00613923" w:rsidRDefault="00146698" w:rsidP="00C70309">
      <w:r>
        <w:t>Despite what might initially be thought,</w:t>
      </w:r>
      <w:r w:rsidR="007A72D5">
        <w:t xml:space="preserve"> </w:t>
      </w:r>
      <w:r>
        <w:t>p</w:t>
      </w:r>
      <w:r w:rsidR="00B9467F">
        <w:t xml:space="preserve">roductivity growth, </w:t>
      </w:r>
      <w:r w:rsidR="00FE43AF">
        <w:t>o</w:t>
      </w:r>
      <w:r w:rsidR="00B9467F">
        <w:t xml:space="preserve">n average, confers the greatest advantage to mean compensation. This result may seem surprising – from </w:t>
      </w:r>
      <w:r w:rsidR="009100B5">
        <w:t>T</w:t>
      </w:r>
      <w:r w:rsidR="00B9467F">
        <w:t xml:space="preserve">able A, we know that the top </w:t>
      </w:r>
      <w:r w:rsidR="007A72D5">
        <w:t>2</w:t>
      </w:r>
      <w:r w:rsidR="00B9467F">
        <w:t xml:space="preserve">0% of wage-earners earn more than the average employee’s combined wage and non-wage benefits; so, why </w:t>
      </w:r>
      <w:r w:rsidR="00C70309">
        <w:t>do productivity benefits confer more to the average employee? The reality is that</w:t>
      </w:r>
      <w:r w:rsidR="004D6BFD">
        <w:t xml:space="preserve"> </w:t>
      </w:r>
      <w:r w:rsidR="00C70309">
        <w:t>the benefit is not going to the average employee – it</w:t>
      </w:r>
      <w:r w:rsidR="004D6BFD">
        <w:t>’</w:t>
      </w:r>
      <w:r w:rsidR="00C70309">
        <w:t>s going to recipients of non-wage benefits</w:t>
      </w:r>
      <w:r w:rsidR="004D6BFD">
        <w:t xml:space="preserve">, one of </w:t>
      </w:r>
      <w:proofErr w:type="spellStart"/>
      <w:r w:rsidR="004D6BFD">
        <w:t>Teichgraeber</w:t>
      </w:r>
      <w:proofErr w:type="spellEnd"/>
      <w:r w:rsidR="004D6BFD">
        <w:t xml:space="preserve"> and Van Reenen’s (2021) main findings</w:t>
      </w:r>
      <w:r w:rsidR="00C70309">
        <w:t xml:space="preserve">. </w:t>
      </w:r>
      <w:r w:rsidR="009C3EE2">
        <w:t>Because t</w:t>
      </w:r>
      <w:r w:rsidR="00C70309">
        <w:t>h</w:t>
      </w:r>
      <w:r w:rsidR="009C3EE2">
        <w:t>e</w:t>
      </w:r>
      <w:r w:rsidR="00C70309">
        <w:t xml:space="preserve"> </w:t>
      </w:r>
      <w:r w:rsidR="009C3EE2">
        <w:t xml:space="preserve">compensation-wage </w:t>
      </w:r>
      <w:r w:rsidR="00C70309">
        <w:t xml:space="preserve">coefficient differential is </w:t>
      </w:r>
      <w:r w:rsidR="009C3EE2">
        <w:t>so</w:t>
      </w:r>
      <w:r w:rsidR="00C70309">
        <w:t xml:space="preserve"> large – </w:t>
      </w:r>
      <w:r w:rsidR="004D6BFD">
        <w:t xml:space="preserve">even </w:t>
      </w:r>
      <w:r w:rsidR="00C70309">
        <w:t xml:space="preserve">in </w:t>
      </w:r>
      <w:r w:rsidR="004D6BFD">
        <w:t>alternative specifications</w:t>
      </w:r>
      <w:r w:rsidR="00C70309">
        <w:t xml:space="preserve"> where </w:t>
      </w:r>
      <w:r w:rsidR="00FE43AF">
        <w:t xml:space="preserve">the marginal </w:t>
      </w:r>
      <w:r w:rsidR="00C70309">
        <w:t xml:space="preserve">benefit to mean compensation </w:t>
      </w:r>
      <w:r w:rsidR="004D6BFD">
        <w:t>is</w:t>
      </w:r>
      <w:r w:rsidR="00C70309">
        <w:t xml:space="preserve"> likely underestimated, e.g., using two-year </w:t>
      </w:r>
      <w:r w:rsidR="004A7EBF">
        <w:t>moving-averages</w:t>
      </w:r>
      <w:r w:rsidR="00052ACE">
        <w:t xml:space="preserve"> –</w:t>
      </w:r>
      <w:r w:rsidR="00C70309">
        <w:t xml:space="preserve"> average compensation still experiences a 18% bigger benefit from productivity growth than the highest earners’ </w:t>
      </w:r>
      <w:r w:rsidR="00C70309" w:rsidRPr="00FE43AF">
        <w:t>wage</w:t>
      </w:r>
      <w:r w:rsidR="00FE43AF">
        <w:t>s</w:t>
      </w:r>
      <w:r w:rsidR="00052ACE">
        <w:t>.</w:t>
      </w:r>
      <w:r w:rsidR="004D6BFD">
        <w:t xml:space="preserve"> </w:t>
      </w:r>
      <w:r w:rsidR="00052ACE">
        <w:t>T</w:t>
      </w:r>
      <w:r w:rsidR="00C70309">
        <w:t>hese results lends strong credibility to the idea that a large part of productivity is going toward expanding non-wage benefits.</w:t>
      </w:r>
      <w:r w:rsidR="00C57CF1">
        <w:t xml:space="preserve"> </w:t>
      </w:r>
    </w:p>
    <w:p w14:paraId="5EDB8721" w14:textId="7A1B7472" w:rsidR="003F1F96" w:rsidRDefault="00515D1A" w:rsidP="00C70309">
      <w:r>
        <w:t>Another</w:t>
      </w:r>
      <w:r w:rsidR="00C70309">
        <w:t xml:space="preserve"> very important result is the dummy</w:t>
      </w:r>
      <w:r w:rsidR="009C3EE2">
        <w:t xml:space="preserve"> interaction</w:t>
      </w:r>
      <w:r w:rsidR="00C70309">
        <w:t xml:space="preserve"> </w:t>
      </w:r>
      <w:r w:rsidR="009C3EE2">
        <w:t>alternative specification</w:t>
      </w:r>
      <w:r w:rsidR="00052ACE">
        <w:t xml:space="preserve"> on </w:t>
      </w:r>
      <w:r w:rsidR="009100B5">
        <w:t>T</w:t>
      </w:r>
      <w:r w:rsidR="00052ACE">
        <w:t>able E</w:t>
      </w:r>
      <w:r w:rsidR="00C70309">
        <w:t xml:space="preserve">. Almost all post-2008 coefficients are insignificant, save for mean compensation at a 10% significance level. </w:t>
      </w:r>
      <w:r w:rsidR="009100B5">
        <w:t>Generating broad</w:t>
      </w:r>
      <w:r w:rsidR="00C70309">
        <w:t xml:space="preserve"> conclusions based on this </w:t>
      </w:r>
      <w:r w:rsidR="009100B5">
        <w:t xml:space="preserve">regression </w:t>
      </w:r>
      <w:r w:rsidR="00C70309">
        <w:t>is</w:t>
      </w:r>
      <w:r w:rsidR="009100B5">
        <w:t xml:space="preserve"> ill-advised</w:t>
      </w:r>
      <w:r w:rsidR="00C70309">
        <w:t xml:space="preserve">, because the small sample sizes on either side of </w:t>
      </w:r>
      <w:r>
        <w:t xml:space="preserve">the year 2008 </w:t>
      </w:r>
      <w:r w:rsidR="004A7EBF">
        <w:t xml:space="preserve">can </w:t>
      </w:r>
      <w:r>
        <w:t>lead to spurious correlation; however, it does provide an indication of the magnitude of the breakdown between median earnings and productivity</w:t>
      </w:r>
      <w:r w:rsidR="00FE43AF">
        <w:t xml:space="preserve"> after 2008</w:t>
      </w:r>
      <w:r w:rsidR="003F1F96">
        <w:t xml:space="preserve">. </w:t>
      </w:r>
      <w:r w:rsidR="004A7EBF">
        <w:t>F</w:t>
      </w:r>
      <w:r w:rsidR="003F1F96">
        <w:t>igure J</w:t>
      </w:r>
      <w:r w:rsidR="004A7EBF">
        <w:t xml:space="preserve"> shows what happens when the entire income distribution is regressed </w:t>
      </w:r>
      <w:r w:rsidR="00052ACE">
        <w:t>against</w:t>
      </w:r>
      <w:r w:rsidR="004A7EBF">
        <w:t xml:space="preserve"> a dummy-variable interaction term</w:t>
      </w:r>
      <w:r w:rsidR="009100B5">
        <w:t xml:space="preserve"> as in Table E.A3</w:t>
      </w:r>
      <w:r w:rsidR="00052ACE">
        <w:t>,</w:t>
      </w:r>
      <w:r w:rsidR="004A7EBF">
        <w:t xml:space="preserve"> and then only the pre-2008 dummy coefficients are plotted.</w:t>
      </w:r>
    </w:p>
    <w:p w14:paraId="30376612" w14:textId="185DF9C6" w:rsidR="00C70309" w:rsidRDefault="003F1F96" w:rsidP="003F1F96">
      <w:pPr>
        <w:jc w:val="center"/>
      </w:pPr>
      <w:r>
        <w:rPr>
          <w:noProof/>
        </w:rPr>
        <w:drawing>
          <wp:inline distT="0" distB="0" distL="0" distR="0" wp14:anchorId="5E008FD4" wp14:editId="3C187635">
            <wp:extent cx="4653973" cy="3077155"/>
            <wp:effectExtent l="0" t="0" r="0" b="9525"/>
            <wp:docPr id="193818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0163" cy="3081248"/>
                    </a:xfrm>
                    <a:prstGeom prst="rect">
                      <a:avLst/>
                    </a:prstGeom>
                    <a:noFill/>
                  </pic:spPr>
                </pic:pic>
              </a:graphicData>
            </a:graphic>
          </wp:inline>
        </w:drawing>
      </w:r>
    </w:p>
    <w:p w14:paraId="677389FE" w14:textId="6C313B60" w:rsidR="003F1F96" w:rsidRDefault="003F1F96" w:rsidP="003F1F96">
      <w:pPr>
        <w:pStyle w:val="Subtitle"/>
      </w:pPr>
      <w:r>
        <w:t>Figure J – Marginal effects of productivity on wage growth</w:t>
      </w:r>
      <w:r w:rsidR="00FE43AF">
        <w:t xml:space="preserve"> pre-2008</w:t>
      </w:r>
      <w:r>
        <w:t>. Own illustration. Data from Table D. Red-dotted line shows elasticity of 0, green-dotted line shows elasticity of 1.</w:t>
      </w:r>
    </w:p>
    <w:p w14:paraId="518886F8" w14:textId="202E1D51" w:rsidR="004A7EBF" w:rsidRDefault="003F1F96" w:rsidP="003F1F96">
      <w:r>
        <w:t xml:space="preserve">It strongly indicates that the middle classes, i.e., between the bottom 30% to the top 40%, were the biggest beneficiaries of productivity growth before 2008. </w:t>
      </w:r>
      <w:r w:rsidR="004A7EBF">
        <w:t>Figure K, on the other hand, represents what happens when the post-2008 leftover coefficients are plotted.</w:t>
      </w:r>
    </w:p>
    <w:p w14:paraId="4B107A85" w14:textId="1A8C8842" w:rsidR="00FE43AF" w:rsidRDefault="00FE43AF" w:rsidP="00C57CF1">
      <w:pPr>
        <w:spacing w:after="0"/>
        <w:jc w:val="center"/>
      </w:pPr>
      <w:r>
        <w:rPr>
          <w:noProof/>
        </w:rPr>
        <w:drawing>
          <wp:inline distT="0" distB="0" distL="0" distR="0" wp14:anchorId="71F855DC" wp14:editId="7DE03757">
            <wp:extent cx="4903747" cy="3252158"/>
            <wp:effectExtent l="0" t="0" r="0" b="5715"/>
            <wp:docPr id="11903249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2441" cy="3257924"/>
                    </a:xfrm>
                    <a:prstGeom prst="rect">
                      <a:avLst/>
                    </a:prstGeom>
                    <a:noFill/>
                  </pic:spPr>
                </pic:pic>
              </a:graphicData>
            </a:graphic>
          </wp:inline>
        </w:drawing>
      </w:r>
    </w:p>
    <w:p w14:paraId="12677A36" w14:textId="358FE07E" w:rsidR="00FE43AF" w:rsidRDefault="00FE43AF" w:rsidP="00FE43AF">
      <w:pPr>
        <w:pStyle w:val="Subtitle"/>
      </w:pPr>
      <w:r>
        <w:t>Figure K – Marginal effects of productivity on wage growth post-2008. Own illustration. Data from Table D. Red-dotted line shows elasticity of 0, green-dotted line shows elasticity of 1.</w:t>
      </w:r>
    </w:p>
    <w:p w14:paraId="31CAE1FF" w14:textId="0C52428D" w:rsidR="004A7EBF" w:rsidRDefault="004A7EBF" w:rsidP="00C57CF1">
      <w:pPr>
        <w:spacing w:before="240"/>
      </w:pPr>
      <w:r>
        <w:t xml:space="preserve">To reiterate, </w:t>
      </w:r>
      <w:r w:rsidR="00FE43AF">
        <w:t xml:space="preserve">the sample size of 11 years post-2008 means that </w:t>
      </w:r>
      <w:r>
        <w:t>such</w:t>
      </w:r>
      <w:r w:rsidR="00FE43AF">
        <w:t xml:space="preserve"> estimates have to be taken with a grain of salt. However, the fact that none of the middle-class error bars even approximate the one-to-one relationship is troubling for economists in the Krugman (1990) and Reeves (2024) boat</w:t>
      </w:r>
      <w:r>
        <w:t xml:space="preserve">. More analysis is necessary before strong claims are made. In the meantime, this evidence should be taken </w:t>
      </w:r>
      <w:r w:rsidR="00030464">
        <w:t xml:space="preserve">along </w:t>
      </w:r>
      <w:r>
        <w:t xml:space="preserve">with the preponderance of evidence from </w:t>
      </w:r>
      <w:r w:rsidR="009100B5">
        <w:t>T</w:t>
      </w:r>
      <w:r>
        <w:t>ables C</w:t>
      </w:r>
      <w:r w:rsidR="00052ACE">
        <w:t>, D</w:t>
      </w:r>
      <w:r>
        <w:t xml:space="preserve"> and E that points to a strong, robust link between median wages and productivity.</w:t>
      </w:r>
    </w:p>
    <w:p w14:paraId="7B76A3A7" w14:textId="0AE7D7FB" w:rsidR="00052ACE" w:rsidRDefault="000D09A3" w:rsidP="00052ACE">
      <w:r>
        <w:t>Finally</w:t>
      </w:r>
      <w:r w:rsidR="004A7EBF">
        <w:t xml:space="preserve">, </w:t>
      </w:r>
      <w:r w:rsidR="009C3EE2">
        <w:t xml:space="preserve">while it’s clear that productivity is a very significant determinant of wages, so is unemployment and inflation. The fact that lower decile wages seem to be negatively correlated with a </w:t>
      </w:r>
      <m:oMath>
        <m:r>
          <w:rPr>
            <w:rFonts w:ascii="Cambria Math" w:hAnsi="Cambria Math"/>
          </w:rPr>
          <m:t>t</m:t>
        </m:r>
      </m:oMath>
      <w:r w:rsidR="009C3EE2">
        <w:t>-time</w:t>
      </w:r>
      <w:r>
        <w:t xml:space="preserve"> – </w:t>
      </w:r>
      <w:r w:rsidR="009C3EE2">
        <w:t xml:space="preserve">as opposed to </w:t>
      </w:r>
      <m:oMath>
        <m:r>
          <w:rPr>
            <w:rFonts w:ascii="Cambria Math" w:hAnsi="Cambria Math"/>
          </w:rPr>
          <m:t>t-1</m:t>
        </m:r>
      </m:oMath>
      <w:r w:rsidR="009C3EE2">
        <w:t>-time</w:t>
      </w:r>
      <w:r>
        <w:t xml:space="preserve"> –</w:t>
      </w:r>
      <w:r w:rsidR="009C3EE2">
        <w:t xml:space="preserve"> unemployment shock </w:t>
      </w:r>
      <w:r>
        <w:t>indicates</w:t>
      </w:r>
      <w:r w:rsidR="00031964">
        <w:t xml:space="preserve"> the greater exposure that lower earners have to recession</w:t>
      </w:r>
      <w:r>
        <w:t>s.</w:t>
      </w:r>
    </w:p>
    <w:p w14:paraId="6E97479D" w14:textId="6A7090FA" w:rsidR="00882938" w:rsidRDefault="00882938" w:rsidP="00052ACE">
      <w:pPr>
        <w:pStyle w:val="Heading1"/>
      </w:pPr>
      <w:bookmarkStart w:id="17" w:name="_Toc198794480"/>
      <w:r>
        <w:t>Conclusion and Policy Implications</w:t>
      </w:r>
      <w:bookmarkEnd w:id="17"/>
    </w:p>
    <w:p w14:paraId="6CA61032" w14:textId="17E6FF5C" w:rsidR="00882938" w:rsidRDefault="00882938" w:rsidP="00F763E7">
      <w:pPr>
        <w:jc w:val="both"/>
      </w:pPr>
      <w:r>
        <w:t>Pay and productivity appear to have decoupled</w:t>
      </w:r>
      <w:r w:rsidR="00052ACE">
        <w:t xml:space="preserve"> around the world</w:t>
      </w:r>
      <w:r>
        <w:t xml:space="preserve">. Clear divergence </w:t>
      </w:r>
      <w:r w:rsidR="00052ACE">
        <w:t>was</w:t>
      </w:r>
      <w:r>
        <w:t xml:space="preserve"> captured through</w:t>
      </w:r>
      <w:r w:rsidR="00843B8A">
        <w:t xml:space="preserve"> graphical and numeric</w:t>
      </w:r>
      <w:r>
        <w:t xml:space="preserve"> decomposition methods exemplified by Pessoa &amp; Van Reenen (2013) in the UK and Bivens &amp; Mishel (2015) in the US. A strong literature emerged</w:t>
      </w:r>
      <w:r w:rsidR="00843B8A">
        <w:t xml:space="preserve">, </w:t>
      </w:r>
      <w:r>
        <w:t xml:space="preserve">questioning whether the long-established link, exemplified most clearly in Krugman’s 1990 statement that productivity is, in the long run, “almost everything”, had broken. This study presents a strong case that productivity and income have not delinked or decorrelated, even while they have undoubtedly diverged. This study finds that the link between productivity and median earnings is robust to a plethora of different assumptions and specifications. </w:t>
      </w:r>
      <w:r w:rsidR="00A32DE4">
        <w:t xml:space="preserve">Importantly, </w:t>
      </w:r>
      <w:r w:rsidR="00843B8A">
        <w:t xml:space="preserve">for most people, </w:t>
      </w:r>
      <w:r w:rsidR="00A32DE4">
        <w:t xml:space="preserve">the </w:t>
      </w:r>
      <w:r w:rsidR="00A32DE4">
        <w:rPr>
          <w:i/>
          <w:iCs/>
        </w:rPr>
        <w:t>rate at which productivity growth increases wages is not statistically different from one-to-one</w:t>
      </w:r>
      <w:r w:rsidR="00A32DE4">
        <w:t>.</w:t>
      </w:r>
    </w:p>
    <w:p w14:paraId="4DF42D6E" w14:textId="43908285" w:rsidR="00A32DE4" w:rsidRDefault="00CF787A" w:rsidP="00CF787A">
      <w:pPr>
        <w:jc w:val="both"/>
      </w:pPr>
      <w:r>
        <w:t>On the other hand, there are specific problems identified by the study which are yet to be tackled with adequate policy.</w:t>
      </w:r>
    </w:p>
    <w:p w14:paraId="3EAAC8A7" w14:textId="64DC1817" w:rsidR="00EB1E71" w:rsidRDefault="00A32DE4" w:rsidP="00F763E7">
      <w:pPr>
        <w:jc w:val="both"/>
      </w:pPr>
      <w:r>
        <w:t>First, inequality effects are strong. While the bottom 80% of people can reasonably expect a one-to-one increase between average productivity and their wages, the top 20%</w:t>
      </w:r>
      <w:r w:rsidR="007A72D5">
        <w:t xml:space="preserve"> can expect closer to a 1.5-to-one pay-off. </w:t>
      </w:r>
      <w:r w:rsidR="00843B8A">
        <w:t>Given</w:t>
      </w:r>
      <w:r w:rsidR="007A72D5">
        <w:t xml:space="preserve"> that higher earners are the main recipients of non-wage benefits</w:t>
      </w:r>
      <w:r w:rsidR="00843B8A">
        <w:t xml:space="preserve"> already, an outsized portion of productivity is going toward those who are already </w:t>
      </w:r>
      <w:r w:rsidR="00CE6248">
        <w:t>earning much more than the median employee</w:t>
      </w:r>
      <w:r w:rsidR="00843B8A">
        <w:t>.</w:t>
      </w:r>
      <w:r w:rsidR="00EB1E71" w:rsidRPr="00EB1E71">
        <w:t xml:space="preserve"> </w:t>
      </w:r>
      <w:r w:rsidR="00EB1E71">
        <w:t>Whether this is due to uncompetitive rent-seeking by capital-owners, or simply a reflection of unequal labour productivity distribution, is still an open question. What is clear, is that while improvements to average labour productivity benefit everyone, they benefit top earners more. While these findings cast doubt on the drive to de-emphasise the importance of increasing productivity, they also give further credence to worries about increasing income inequality.</w:t>
      </w:r>
      <w:r w:rsidR="00EB1E71" w:rsidRPr="00EB1E71">
        <w:t xml:space="preserve"> </w:t>
      </w:r>
      <w:r w:rsidR="00EB1E71">
        <w:t xml:space="preserve">Inequality will increase if productivity is targeted, simply because the productivity elasticity of mean wages is greater than that of median wages. Smart policy should therefore get ahead of negative consequences by pairing productivity enhancing policy with redistributive policy too, such as </w:t>
      </w:r>
      <w:r w:rsidR="009100B5">
        <w:t>changes to income tax.</w:t>
      </w:r>
    </w:p>
    <w:p w14:paraId="3FD0DAF1" w14:textId="218DB63E" w:rsidR="00EB1E71" w:rsidRDefault="00CE6248" w:rsidP="00F763E7">
      <w:pPr>
        <w:jc w:val="both"/>
      </w:pPr>
      <w:r>
        <w:t>Second,</w:t>
      </w:r>
      <w:r w:rsidR="00EB1E71">
        <w:t xml:space="preserve"> this study finds that productivity elasticities have weakened since around 2008</w:t>
      </w:r>
      <w:r w:rsidR="005D36FB">
        <w:t xml:space="preserve">, directly answer the question of </w:t>
      </w:r>
      <w:r w:rsidR="00207640">
        <w:rPr>
          <w:i/>
          <w:iCs/>
        </w:rPr>
        <w:t>if</w:t>
      </w:r>
      <w:r w:rsidR="005D36FB">
        <w:t xml:space="preserve"> the </w:t>
      </w:r>
      <w:r w:rsidR="00207640">
        <w:t xml:space="preserve">typically stable </w:t>
      </w:r>
      <w:r w:rsidR="005D36FB">
        <w:t>relationship between pay and productivity has changed over recent decades.</w:t>
      </w:r>
      <w:r w:rsidR="00EB1E71">
        <w:t xml:space="preserve"> </w:t>
      </w:r>
      <w:r w:rsidR="00FF0E04">
        <w:t xml:space="preserve">While statistical power in this aspect was weak and so the exact extent of that decorrelation is difficult to ascertain, strong </w:t>
      </w:r>
      <w:r w:rsidR="00387877">
        <w:t>steps</w:t>
      </w:r>
      <w:r w:rsidR="00FF0E04">
        <w:t xml:space="preserve"> must be taken to relink productivity and pay.</w:t>
      </w:r>
      <w:r w:rsidR="00341EF1">
        <w:t xml:space="preserve"> </w:t>
      </w:r>
      <w:r w:rsidR="000C0038">
        <w:t>To this end, the OECD</w:t>
      </w:r>
      <w:r w:rsidR="00341EF1">
        <w:t xml:space="preserve"> </w:t>
      </w:r>
      <w:sdt>
        <w:sdtPr>
          <w:id w:val="-2116120769"/>
          <w:citation/>
        </w:sdtPr>
        <w:sdtContent>
          <w:r w:rsidR="000C0038">
            <w:fldChar w:fldCharType="begin"/>
          </w:r>
          <w:r w:rsidR="000C0038">
            <w:instrText xml:space="preserve">CITATION OEC17 \n  \t  \l 2057 </w:instrText>
          </w:r>
          <w:r w:rsidR="000C0038">
            <w:fldChar w:fldCharType="separate"/>
          </w:r>
          <w:r w:rsidR="007D5421" w:rsidRPr="007D5421">
            <w:rPr>
              <w:noProof/>
            </w:rPr>
            <w:t>(2017)</w:t>
          </w:r>
          <w:r w:rsidR="000C0038">
            <w:fldChar w:fldCharType="end"/>
          </w:r>
        </w:sdtContent>
      </w:sdt>
      <w:r w:rsidR="000C0038">
        <w:t xml:space="preserve"> suggests active labour market policies to prevent long-term unemployment and competitive environments </w:t>
      </w:r>
      <w:r w:rsidR="0061275E">
        <w:t xml:space="preserve">to </w:t>
      </w:r>
      <w:r w:rsidR="000C0038">
        <w:t xml:space="preserve">align </w:t>
      </w:r>
      <w:r w:rsidR="0061275E">
        <w:t xml:space="preserve">wages to the marginal product of labour. </w:t>
      </w:r>
      <w:r w:rsidR="002148E3">
        <w:t xml:space="preserve">Ngai &amp; Sevinc </w:t>
      </w:r>
      <w:sdt>
        <w:sdtPr>
          <w:id w:val="437570873"/>
          <w:citation/>
        </w:sdtPr>
        <w:sdtContent>
          <w:r w:rsidR="002148E3">
            <w:fldChar w:fldCharType="begin"/>
          </w:r>
          <w:r w:rsidR="002148E3">
            <w:instrText xml:space="preserve">CITATION Nga25 \n  \t  \l 2057 </w:instrText>
          </w:r>
          <w:r w:rsidR="002148E3">
            <w:fldChar w:fldCharType="separate"/>
          </w:r>
          <w:r w:rsidR="007D5421" w:rsidRPr="007D5421">
            <w:rPr>
              <w:noProof/>
            </w:rPr>
            <w:t>(2025)</w:t>
          </w:r>
          <w:r w:rsidR="002148E3">
            <w:fldChar w:fldCharType="end"/>
          </w:r>
        </w:sdtContent>
      </w:sdt>
      <w:r w:rsidR="002148E3">
        <w:t xml:space="preserve"> raise the important point that if your sector prices rise slower than consumer prices, even a greater share of the marginal product of labour could potentially lead to a loss of income – this was the crux of Figure D in Chapter 1.</w:t>
      </w:r>
    </w:p>
    <w:p w14:paraId="48429CA6" w14:textId="77777777" w:rsidR="00F763E7" w:rsidRDefault="002148E3" w:rsidP="00F763E7">
      <w:pPr>
        <w:jc w:val="both"/>
      </w:pPr>
      <w:r>
        <w:t>Moving on, it is clear that there must be some broader policy prescriptions set out besides raising productivity given that there remain orthogonal factors to wages and productivity which cause visible divergence even while not impacting statistical correlation. What exactly these “orthogonal factors” are is not yet fully settled – Stansbury &amp; Summers (2018) suggest a few competing hypotheses, such as technological progress, education and skills, globalisation, or the broad decline of worker power</w:t>
      </w:r>
      <w:r w:rsidR="00F763E7">
        <w:t>.</w:t>
      </w:r>
    </w:p>
    <w:p w14:paraId="5D32F665" w14:textId="23BF5969" w:rsidR="007D5421" w:rsidRDefault="00F763E7" w:rsidP="00F763E7">
      <w:pPr>
        <w:jc w:val="both"/>
      </w:pPr>
      <w:r>
        <w:t xml:space="preserve">The worker/bargaining power hypothesis is growing in popularity as a policy response to reduced rent-sharing from capital-owners to workers </w:t>
      </w:r>
      <w:sdt>
        <w:sdtPr>
          <w:id w:val="723176096"/>
          <w:citation/>
        </w:sdtPr>
        <w:sdtContent>
          <w:r>
            <w:fldChar w:fldCharType="begin"/>
          </w:r>
          <w:r>
            <w:instrText xml:space="preserve"> CITATION Bel19 \l 2057 </w:instrText>
          </w:r>
          <w:r>
            <w:fldChar w:fldCharType="separate"/>
          </w:r>
          <w:r w:rsidR="007D5421" w:rsidRPr="007D5421">
            <w:rPr>
              <w:noProof/>
            </w:rPr>
            <w:t>(Bell, et al., 2019)</w:t>
          </w:r>
          <w:r>
            <w:fldChar w:fldCharType="end"/>
          </w:r>
        </w:sdtContent>
      </w:sdt>
      <w:r>
        <w:t xml:space="preserve">. </w:t>
      </w:r>
      <w:r w:rsidR="002148E3">
        <w:t xml:space="preserve">Nasir et al. (2022) suggest that </w:t>
      </w:r>
      <w:r>
        <w:t>a</w:t>
      </w:r>
      <w:r w:rsidR="002148E3">
        <w:t xml:space="preserve"> characteristic lack of worker bargaining power is the best explanation for slow wage growth in the</w:t>
      </w:r>
      <w:r>
        <w:t xml:space="preserve"> UK</w:t>
      </w:r>
      <w:r w:rsidR="002148E3">
        <w:t xml:space="preserve"> retail sector</w:t>
      </w:r>
      <w:r>
        <w:t>, for example.</w:t>
      </w:r>
      <w:r w:rsidR="007D5421">
        <w:t xml:space="preserve"> </w:t>
      </w:r>
      <w:proofErr w:type="spellStart"/>
      <w:r w:rsidR="002148E3">
        <w:t>Pasimeni</w:t>
      </w:r>
      <w:proofErr w:type="spellEnd"/>
      <w:r w:rsidR="002148E3">
        <w:t xml:space="preserve"> (2018, p. 19) furthers the bargaining power hypothesis</w:t>
      </w:r>
      <w:r w:rsidR="007D5421">
        <w:t xml:space="preserve"> by </w:t>
      </w:r>
      <w:r w:rsidR="002148E3">
        <w:t xml:space="preserve">arguing that unemployment elasticities can be used as a proxy to capture changing labour bargaining power </w:t>
      </w:r>
      <w:r w:rsidR="007D5421">
        <w:t>like in</w:t>
      </w:r>
      <w:r w:rsidR="002148E3">
        <w:t xml:space="preserve"> efficiency wages </w:t>
      </w:r>
      <w:r w:rsidR="007D5421">
        <w:t>theories (</w:t>
      </w:r>
      <w:r w:rsidR="002148E3">
        <w:t>Stiglitz &amp; Shapiro</w:t>
      </w:r>
      <w:r w:rsidR="007D5421">
        <w:t>,</w:t>
      </w:r>
      <w:r w:rsidR="002148E3">
        <w:t xml:space="preserve"> 1984</w:t>
      </w:r>
      <w:r w:rsidR="007D5421">
        <w:t>; Akerlof</w:t>
      </w:r>
      <w:r w:rsidR="000D56F7">
        <w:t xml:space="preserve"> &amp; Yellen, 1990</w:t>
      </w:r>
      <w:r w:rsidR="002148E3">
        <w:t>)</w:t>
      </w:r>
      <w:r w:rsidR="007D5421">
        <w:t>.</w:t>
      </w:r>
      <w:r w:rsidR="002148E3">
        <w:t xml:space="preserve"> </w:t>
      </w:r>
      <w:r w:rsidR="007D5421">
        <w:t>T</w:t>
      </w:r>
      <w:r w:rsidR="002148E3">
        <w:t>he consistently significant negative lagged employment elasticities in Table C</w:t>
      </w:r>
      <w:r w:rsidR="002148E3" w:rsidRPr="002148E3">
        <w:t xml:space="preserve"> </w:t>
      </w:r>
      <w:r w:rsidR="002148E3">
        <w:t>supports this idea.</w:t>
      </w:r>
    </w:p>
    <w:p w14:paraId="274C677B" w14:textId="2EB47D2D" w:rsidR="00F763E7" w:rsidRDefault="002148E3" w:rsidP="00F763E7">
      <w:pPr>
        <w:jc w:val="both"/>
      </w:pPr>
      <w:r>
        <w:t>Combining these theories and the collected evidence, it should be clear that while productivity is probably the most important factor which needs to rise to increase earnings and living standards, full employment must also be closely targeted to ensure gains from productivity are not lost due to low bargaining power.</w:t>
      </w:r>
    </w:p>
    <w:p w14:paraId="5281F04B" w14:textId="1802F919" w:rsidR="00490ED2" w:rsidRDefault="007D5421" w:rsidP="00F763E7">
      <w:pPr>
        <w:jc w:val="both"/>
      </w:pPr>
      <w:r>
        <w:t xml:space="preserve">To surmise – this study’s findings reinforce the importance of </w:t>
      </w:r>
      <w:r w:rsidR="00490ED2">
        <w:t>the productivity-pay relationship in the</w:t>
      </w:r>
      <w:r>
        <w:t xml:space="preserve"> policy debate, and cast doubt on prior suggestions to de-emphasise </w:t>
      </w:r>
      <w:r w:rsidR="00490ED2">
        <w:t xml:space="preserve">it </w:t>
      </w:r>
      <w:r w:rsidR="00C03969">
        <w:t>relative to</w:t>
      </w:r>
      <w:r>
        <w:t xml:space="preserve"> redistributive policies. </w:t>
      </w:r>
      <w:r w:rsidR="00490ED2">
        <w:t>The policy implications of such a recently damaged relationship is to focus on restoring links, possibly through active labour market institutions or more competitive markets (OECD, 2017). Furthermore, the productivity-pay nexus has, according to this study, serious and demonstrable effects on inequality – high earners benefit 1.6 times more than the lowest earners</w:t>
      </w:r>
      <w:r w:rsidR="0065464F">
        <w:t xml:space="preserve"> – </w:t>
      </w:r>
      <w:r w:rsidR="00490ED2">
        <w:t>and the average total compensation packet benefits almost 1.7 times as much than the median wage packet</w:t>
      </w:r>
      <w:r w:rsidR="0065464F">
        <w:t xml:space="preserve"> – </w:t>
      </w:r>
      <w:r w:rsidR="00490ED2">
        <w:t xml:space="preserve">from productivity boosts. </w:t>
      </w:r>
      <w:r w:rsidR="0065464F">
        <w:t>And yet, even given such inequality, productivity growth still remains the best way to raise the living standards of broad bases of people. Policymakers therefore must act fast in balancing the good with the bad and making sure that pay and productivity never break up again.</w:t>
      </w:r>
    </w:p>
    <w:sdt>
      <w:sdtPr>
        <w:rPr>
          <w:sz w:val="24"/>
          <w:szCs w:val="24"/>
        </w:rPr>
        <w:id w:val="1333257437"/>
        <w:docPartObj>
          <w:docPartGallery w:val="Bibliographies"/>
          <w:docPartUnique/>
        </w:docPartObj>
      </w:sdtPr>
      <w:sdtEndPr>
        <w:rPr>
          <w:rFonts w:eastAsiaTheme="minorEastAsia"/>
          <w:b w:val="0"/>
          <w:bCs w:val="0"/>
          <w:sz w:val="20"/>
          <w:szCs w:val="20"/>
        </w:rPr>
      </w:sdtEndPr>
      <w:sdtContent>
        <w:p w14:paraId="16CF64C6" w14:textId="5AB9DF65" w:rsidR="007D5421" w:rsidRPr="007D5421" w:rsidRDefault="007D5421" w:rsidP="007D5421">
          <w:pPr>
            <w:pStyle w:val="Heading1"/>
            <w:spacing w:line="240" w:lineRule="auto"/>
            <w:rPr>
              <w:sz w:val="24"/>
              <w:szCs w:val="24"/>
            </w:rPr>
          </w:pPr>
          <w:r w:rsidRPr="007D5421">
            <w:rPr>
              <w:sz w:val="24"/>
              <w:szCs w:val="24"/>
            </w:rPr>
            <w:t>Bibliography</w:t>
          </w:r>
        </w:p>
        <w:sdt>
          <w:sdtPr>
            <w:rPr>
              <w:sz w:val="20"/>
              <w:szCs w:val="20"/>
            </w:rPr>
            <w:id w:val="111145805"/>
            <w:bibliography/>
          </w:sdtPr>
          <w:sdtContent>
            <w:p w14:paraId="17DE6921" w14:textId="77777777" w:rsidR="007D5421" w:rsidRPr="007D5421" w:rsidRDefault="007D5421" w:rsidP="007D5421">
              <w:pPr>
                <w:pStyle w:val="Bibliography"/>
                <w:spacing w:line="240" w:lineRule="auto"/>
                <w:rPr>
                  <w:noProof/>
                  <w:kern w:val="0"/>
                  <w:sz w:val="20"/>
                  <w:szCs w:val="20"/>
                  <w14:ligatures w14:val="none"/>
                </w:rPr>
              </w:pPr>
              <w:r w:rsidRPr="007D5421">
                <w:rPr>
                  <w:sz w:val="20"/>
                  <w:szCs w:val="20"/>
                </w:rPr>
                <w:fldChar w:fldCharType="begin"/>
              </w:r>
              <w:r w:rsidRPr="007D5421">
                <w:rPr>
                  <w:sz w:val="20"/>
                  <w:szCs w:val="20"/>
                </w:rPr>
                <w:instrText xml:space="preserve"> BIBLIOGRAPHY </w:instrText>
              </w:r>
              <w:r w:rsidRPr="007D5421">
                <w:rPr>
                  <w:sz w:val="20"/>
                  <w:szCs w:val="20"/>
                </w:rPr>
                <w:fldChar w:fldCharType="separate"/>
              </w:r>
              <w:r w:rsidRPr="007D5421">
                <w:rPr>
                  <w:noProof/>
                  <w:sz w:val="20"/>
                  <w:szCs w:val="20"/>
                </w:rPr>
                <w:t xml:space="preserve">Bank of England, 2024. </w:t>
              </w:r>
              <w:r w:rsidRPr="007D5421">
                <w:rPr>
                  <w:i/>
                  <w:iCs/>
                  <w:noProof/>
                  <w:sz w:val="20"/>
                  <w:szCs w:val="20"/>
                </w:rPr>
                <w:t xml:space="preserve">Research datasets.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https://www.bankofengland.co.uk/statistics/research-datasets</w:t>
              </w:r>
            </w:p>
            <w:p w14:paraId="4A73C631"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Barth, E., Bryson, A. &amp; Dale-Olsen, H., 2017. </w:t>
              </w:r>
              <w:r w:rsidRPr="007D5421">
                <w:rPr>
                  <w:i/>
                  <w:iCs/>
                  <w:noProof/>
                  <w:sz w:val="20"/>
                  <w:szCs w:val="20"/>
                </w:rPr>
                <w:t xml:space="preserve">Union Density, Productivity, and Wages, </w:t>
              </w:r>
              <w:r w:rsidRPr="007D5421">
                <w:rPr>
                  <w:noProof/>
                  <w:sz w:val="20"/>
                  <w:szCs w:val="20"/>
                </w:rPr>
                <w:t>s.l.: NIESR.</w:t>
              </w:r>
            </w:p>
            <w:p w14:paraId="56873046"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Baum, C. F., 2018. </w:t>
              </w:r>
              <w:r w:rsidRPr="007D5421">
                <w:rPr>
                  <w:i/>
                  <w:iCs/>
                  <w:noProof/>
                  <w:sz w:val="20"/>
                  <w:szCs w:val="20"/>
                </w:rPr>
                <w:t xml:space="preserve">CLEMAO_IO: Stata module to perform unit root tests with one or two structural breaks, </w:t>
              </w:r>
              <w:r w:rsidRPr="007D5421">
                <w:rPr>
                  <w:noProof/>
                  <w:sz w:val="20"/>
                  <w:szCs w:val="20"/>
                </w:rPr>
                <w:t>s.l.: Boston College Department of Economics.</w:t>
              </w:r>
            </w:p>
            <w:p w14:paraId="1B53CB8B"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Bell, B., Bukowski, P. &amp; Machin, S., 2019. </w:t>
              </w:r>
              <w:r w:rsidRPr="007D5421">
                <w:rPr>
                  <w:i/>
                  <w:iCs/>
                  <w:noProof/>
                  <w:sz w:val="20"/>
                  <w:szCs w:val="20"/>
                </w:rPr>
                <w:t xml:space="preserve">Rent Sharing and Inclusive Growth, </w:t>
              </w:r>
              <w:r w:rsidRPr="007D5421">
                <w:rPr>
                  <w:noProof/>
                  <w:sz w:val="20"/>
                  <w:szCs w:val="20"/>
                </w:rPr>
                <w:t>s.l.: LSE.</w:t>
              </w:r>
            </w:p>
            <w:p w14:paraId="78B44C5D"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Bivens, J. &amp; Mishel, L., 2015. </w:t>
              </w:r>
              <w:r w:rsidRPr="007D5421">
                <w:rPr>
                  <w:i/>
                  <w:iCs/>
                  <w:noProof/>
                  <w:sz w:val="20"/>
                  <w:szCs w:val="20"/>
                </w:rPr>
                <w:t xml:space="preserve">Understanding the Historic Divergence Between Productivity and a Typical Worker’s Pay, </w:t>
              </w:r>
              <w:r w:rsidRPr="007D5421">
                <w:rPr>
                  <w:noProof/>
                  <w:sz w:val="20"/>
                  <w:szCs w:val="20"/>
                </w:rPr>
                <w:t>s.l.: Economic Policy Institute.</w:t>
              </w:r>
            </w:p>
            <w:p w14:paraId="37E286D1"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Bivens, J. &amp; Mishel, L., 2017. </w:t>
              </w:r>
              <w:r w:rsidRPr="007D5421">
                <w:rPr>
                  <w:i/>
                  <w:iCs/>
                  <w:noProof/>
                  <w:sz w:val="20"/>
                  <w:szCs w:val="20"/>
                </w:rPr>
                <w:t xml:space="preserve">New paper on pay-productivity link does not overturn EPI findings.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https://www.epi.org/blog/new-paper-on-pay-productivity-link-does-not-overturn-epi-findings/</w:t>
              </w:r>
            </w:p>
            <w:p w14:paraId="085AE3A9"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Blanchard, O., 2004. </w:t>
              </w:r>
              <w:r w:rsidRPr="007D5421">
                <w:rPr>
                  <w:i/>
                  <w:iCs/>
                  <w:noProof/>
                  <w:sz w:val="20"/>
                  <w:szCs w:val="20"/>
                </w:rPr>
                <w:t xml:space="preserve">Explaining European Unemployment, </w:t>
              </w:r>
              <w:r w:rsidRPr="007D5421">
                <w:rPr>
                  <w:noProof/>
                  <w:sz w:val="20"/>
                  <w:szCs w:val="20"/>
                </w:rPr>
                <w:t>s.l.: NBER.</w:t>
              </w:r>
            </w:p>
            <w:p w14:paraId="21DC74CE"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Blanchard, O., 2022. </w:t>
              </w:r>
              <w:r w:rsidRPr="007D5421">
                <w:rPr>
                  <w:i/>
                  <w:iCs/>
                  <w:noProof/>
                  <w:sz w:val="20"/>
                  <w:szCs w:val="20"/>
                </w:rPr>
                <w:t xml:space="preserve">Olivier Blanchard.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https://x.com/ojblanchard1/status/1608967176232525824</w:t>
              </w:r>
            </w:p>
            <w:p w14:paraId="2179D556"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Braumann, B., 2001. </w:t>
              </w:r>
              <w:r w:rsidRPr="007D5421">
                <w:rPr>
                  <w:i/>
                  <w:iCs/>
                  <w:noProof/>
                  <w:sz w:val="20"/>
                  <w:szCs w:val="20"/>
                </w:rPr>
                <w:t xml:space="preserve">High Inflation and Real Wages, </w:t>
              </w:r>
              <w:r w:rsidRPr="007D5421">
                <w:rPr>
                  <w:noProof/>
                  <w:sz w:val="20"/>
                  <w:szCs w:val="20"/>
                </w:rPr>
                <w:t>s.l.: IMF.</w:t>
              </w:r>
            </w:p>
            <w:p w14:paraId="59F9F731"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Brill, M. et al., 2017. </w:t>
              </w:r>
              <w:r w:rsidRPr="007D5421">
                <w:rPr>
                  <w:i/>
                  <w:iCs/>
                  <w:noProof/>
                  <w:sz w:val="20"/>
                  <w:szCs w:val="20"/>
                </w:rPr>
                <w:t xml:space="preserve">Understanding the labour productivity and compensation gap, </w:t>
              </w:r>
              <w:r w:rsidRPr="007D5421">
                <w:rPr>
                  <w:noProof/>
                  <w:sz w:val="20"/>
                  <w:szCs w:val="20"/>
                </w:rPr>
                <w:t>s.l.: Bureau of Labour Statistics.</w:t>
              </w:r>
            </w:p>
            <w:p w14:paraId="658D006B"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Brocek, F., 2019. </w:t>
              </w:r>
              <w:r w:rsidRPr="007D5421">
                <w:rPr>
                  <w:i/>
                  <w:iCs/>
                  <w:noProof/>
                  <w:sz w:val="20"/>
                  <w:szCs w:val="20"/>
                </w:rPr>
                <w:t xml:space="preserve">Is the link between labour productivity and wage growth still alive in the UK?.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https://fraserofallander.org/link-labour-productivity-wage-growth-uk/</w:t>
              </w:r>
            </w:p>
            <w:p w14:paraId="6D55FF1B"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Carlsson, M., Messina, J. &amp; Skans, O. N., 2016. Wage Adjustment and Productivity Shocks. </w:t>
              </w:r>
              <w:r w:rsidRPr="007D5421">
                <w:rPr>
                  <w:i/>
                  <w:iCs/>
                  <w:noProof/>
                  <w:sz w:val="20"/>
                  <w:szCs w:val="20"/>
                </w:rPr>
                <w:t xml:space="preserve">The Economic Journal, </w:t>
              </w:r>
              <w:r w:rsidRPr="007D5421">
                <w:rPr>
                  <w:noProof/>
                  <w:sz w:val="20"/>
                  <w:szCs w:val="20"/>
                </w:rPr>
                <w:t>126(595), pp. 1739-1773.</w:t>
              </w:r>
            </w:p>
            <w:p w14:paraId="1728A0C7"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Casanova, J. &amp; Andrés, C. G., 2014. </w:t>
              </w:r>
              <w:r w:rsidRPr="007D5421">
                <w:rPr>
                  <w:i/>
                  <w:iCs/>
                  <w:noProof/>
                  <w:sz w:val="20"/>
                  <w:szCs w:val="20"/>
                </w:rPr>
                <w:t xml:space="preserve">Twentieth-Century Spain: A History, </w:t>
              </w:r>
              <w:r w:rsidRPr="007D5421">
                <w:rPr>
                  <w:noProof/>
                  <w:sz w:val="20"/>
                  <w:szCs w:val="20"/>
                </w:rPr>
                <w:t>Cambridge: Cambridge University Press.</w:t>
              </w:r>
            </w:p>
            <w:p w14:paraId="0CACB069"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Ciarli, T., Di Ubaldo, M. &amp; Savona, M., 2021. </w:t>
              </w:r>
              <w:r w:rsidRPr="007D5421">
                <w:rPr>
                  <w:i/>
                  <w:iCs/>
                  <w:noProof/>
                  <w:sz w:val="20"/>
                  <w:szCs w:val="20"/>
                </w:rPr>
                <w:t xml:space="preserve">The weak link between productivity and wages in London: Evidence from firms and local labour markets (2004-2014), </w:t>
              </w:r>
              <w:r w:rsidRPr="007D5421">
                <w:rPr>
                  <w:noProof/>
                  <w:sz w:val="20"/>
                  <w:szCs w:val="20"/>
                </w:rPr>
                <w:t>London: The Greater London Authority.</w:t>
              </w:r>
            </w:p>
            <w:p w14:paraId="57F875DF"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Ciarli, T., Salgado, E. &amp; Savona, M., 2018. </w:t>
              </w:r>
              <w:r w:rsidRPr="007D5421">
                <w:rPr>
                  <w:i/>
                  <w:iCs/>
                  <w:noProof/>
                  <w:sz w:val="20"/>
                  <w:szCs w:val="20"/>
                </w:rPr>
                <w:t xml:space="preserve">Do Low-Wage Workers Benefit from Productivity Growth Recovery?, </w:t>
              </w:r>
              <w:r w:rsidRPr="007D5421">
                <w:rPr>
                  <w:noProof/>
                  <w:sz w:val="20"/>
                  <w:szCs w:val="20"/>
                </w:rPr>
                <w:t>s.l.: Joseph Rowntree Foundation.</w:t>
              </w:r>
            </w:p>
            <w:p w14:paraId="71CEE205"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Doucouliagos, C. &amp; Laroche, P., 2003. What do Unions do to Productivity? A Meta-Analysis. </w:t>
              </w:r>
              <w:r w:rsidRPr="007D5421">
                <w:rPr>
                  <w:i/>
                  <w:iCs/>
                  <w:noProof/>
                  <w:sz w:val="20"/>
                  <w:szCs w:val="20"/>
                </w:rPr>
                <w:t xml:space="preserve">Industrial Relations, </w:t>
              </w:r>
              <w:r w:rsidRPr="007D5421">
                <w:rPr>
                  <w:noProof/>
                  <w:sz w:val="20"/>
                  <w:szCs w:val="20"/>
                </w:rPr>
                <w:t>pp. 650-691.</w:t>
              </w:r>
            </w:p>
            <w:p w14:paraId="28C1DD3E"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Feldstein, M., 2008. Did wages reflect growth in productivity?. </w:t>
              </w:r>
              <w:r w:rsidRPr="007D5421">
                <w:rPr>
                  <w:i/>
                  <w:iCs/>
                  <w:noProof/>
                  <w:sz w:val="20"/>
                  <w:szCs w:val="20"/>
                </w:rPr>
                <w:t xml:space="preserve">Journal of Policy Modeling, </w:t>
              </w:r>
              <w:r w:rsidRPr="007D5421">
                <w:rPr>
                  <w:noProof/>
                  <w:sz w:val="20"/>
                  <w:szCs w:val="20"/>
                </w:rPr>
                <w:t>pp. 591-594.</w:t>
              </w:r>
            </w:p>
            <w:p w14:paraId="30515E14"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Gabaix, X., Lasry, J.-M., Lions, P.-L. &amp; Moll, B., 2016. The Dynamics of Inequality. </w:t>
              </w:r>
              <w:r w:rsidRPr="007D5421">
                <w:rPr>
                  <w:i/>
                  <w:iCs/>
                  <w:noProof/>
                  <w:sz w:val="20"/>
                  <w:szCs w:val="20"/>
                </w:rPr>
                <w:t xml:space="preserve">Econometrica, </w:t>
              </w:r>
              <w:r w:rsidRPr="007D5421">
                <w:rPr>
                  <w:noProof/>
                  <w:sz w:val="20"/>
                  <w:szCs w:val="20"/>
                </w:rPr>
                <w:t>pp. 2071-2111.</w:t>
              </w:r>
            </w:p>
            <w:p w14:paraId="3C92F4D7"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Lawrence, R. Z. &amp; Slaughter, M. J., 1993. International Trade and American Wages in the 1980s: Giant Sucking sound or Small Hiccup?. </w:t>
              </w:r>
              <w:r w:rsidRPr="007D5421">
                <w:rPr>
                  <w:i/>
                  <w:iCs/>
                  <w:noProof/>
                  <w:sz w:val="20"/>
                  <w:szCs w:val="20"/>
                </w:rPr>
                <w:t xml:space="preserve">Brookings Papers on Economic Activity, </w:t>
              </w:r>
              <w:r w:rsidRPr="007D5421">
                <w:rPr>
                  <w:noProof/>
                  <w:sz w:val="20"/>
                  <w:szCs w:val="20"/>
                </w:rPr>
                <w:t>pp. 161-226.</w:t>
              </w:r>
            </w:p>
            <w:p w14:paraId="6CC7B232"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Lazear, E. P., Shaw, K. L. &amp; Stanton, C., 2016. Making Do with Less: Working Harder during Recessions. </w:t>
              </w:r>
              <w:r w:rsidRPr="007D5421">
                <w:rPr>
                  <w:i/>
                  <w:iCs/>
                  <w:noProof/>
                  <w:sz w:val="20"/>
                  <w:szCs w:val="20"/>
                </w:rPr>
                <w:t xml:space="preserve">Labor Economics, </w:t>
              </w:r>
              <w:r w:rsidRPr="007D5421">
                <w:rPr>
                  <w:noProof/>
                  <w:sz w:val="20"/>
                  <w:szCs w:val="20"/>
                </w:rPr>
                <w:t>34(51), pp. S333-S360.</w:t>
              </w:r>
            </w:p>
            <w:p w14:paraId="440C1D0D"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LSE News, 2021. </w:t>
              </w:r>
              <w:r w:rsidRPr="007D5421">
                <w:rPr>
                  <w:i/>
                  <w:iCs/>
                  <w:noProof/>
                  <w:sz w:val="20"/>
                  <w:szCs w:val="20"/>
                </w:rPr>
                <w:t xml:space="preserve">Wages of typical UK employee have become decoupled from productivity.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https://www.lse.ac.uk/News/Latest-news-from-LSE/2021/k-November-21/Wages-of-typical-UK-employee-have-become-decoupled-from-productivity</w:t>
              </w:r>
            </w:p>
            <w:p w14:paraId="1FC3635A"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Lu, X. &amp; White, H., 2014. Robustness checks and robustness tests in applied economics. </w:t>
              </w:r>
              <w:r w:rsidRPr="007D5421">
                <w:rPr>
                  <w:i/>
                  <w:iCs/>
                  <w:noProof/>
                  <w:sz w:val="20"/>
                  <w:szCs w:val="20"/>
                </w:rPr>
                <w:t xml:space="preserve">Journal of econometrics, </w:t>
              </w:r>
              <w:r w:rsidRPr="007D5421">
                <w:rPr>
                  <w:noProof/>
                  <w:sz w:val="20"/>
                  <w:szCs w:val="20"/>
                </w:rPr>
                <w:t>pp. 194-206.</w:t>
              </w:r>
            </w:p>
            <w:p w14:paraId="25C72F31"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Mishkin, F. S. &amp; Posen, A. S., 1997. </w:t>
              </w:r>
              <w:r w:rsidRPr="007D5421">
                <w:rPr>
                  <w:i/>
                  <w:iCs/>
                  <w:noProof/>
                  <w:sz w:val="20"/>
                  <w:szCs w:val="20"/>
                </w:rPr>
                <w:t xml:space="preserve">Inflation Targeting: Lesson from four countries, </w:t>
              </w:r>
              <w:r w:rsidRPr="007D5421">
                <w:rPr>
                  <w:noProof/>
                  <w:sz w:val="20"/>
                  <w:szCs w:val="20"/>
                </w:rPr>
                <w:t>Cambridge, MA: National Bureau of Economic Research.</w:t>
              </w:r>
            </w:p>
            <w:p w14:paraId="656A26D1"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Nasir, M. A., Wu, J., Howes, C. &amp; Ripley, H., 2022. Asymmetric nexus between wages and productivity in the context of the global financial crisis. </w:t>
              </w:r>
              <w:r w:rsidRPr="007D5421">
                <w:rPr>
                  <w:i/>
                  <w:iCs/>
                  <w:noProof/>
                  <w:sz w:val="20"/>
                  <w:szCs w:val="20"/>
                </w:rPr>
                <w:t xml:space="preserve">Journal of Economic Behaviour and Organisation, </w:t>
              </w:r>
              <w:r w:rsidRPr="007D5421">
                <w:rPr>
                  <w:noProof/>
                  <w:sz w:val="20"/>
                  <w:szCs w:val="20"/>
                </w:rPr>
                <w:t>pp. 164-175.</w:t>
              </w:r>
            </w:p>
            <w:p w14:paraId="34600CB9"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Ngai, R. L. &amp; Sevinc, O., 2025. A multisector perspective on wage stagnation. </w:t>
              </w:r>
              <w:r w:rsidRPr="007D5421">
                <w:rPr>
                  <w:i/>
                  <w:iCs/>
                  <w:noProof/>
                  <w:sz w:val="20"/>
                  <w:szCs w:val="20"/>
                </w:rPr>
                <w:t xml:space="preserve">Review of Economic Dynamics, </w:t>
              </w:r>
              <w:r w:rsidRPr="007D5421">
                <w:rPr>
                  <w:noProof/>
                  <w:sz w:val="20"/>
                  <w:szCs w:val="20"/>
                </w:rPr>
                <w:t>pp. 1-18.</w:t>
              </w:r>
            </w:p>
            <w:p w14:paraId="63D4E527"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OECD, 2017. </w:t>
              </w:r>
              <w:r w:rsidRPr="007D5421">
                <w:rPr>
                  <w:i/>
                  <w:iCs/>
                  <w:noProof/>
                  <w:sz w:val="20"/>
                  <w:szCs w:val="20"/>
                </w:rPr>
                <w:t xml:space="preserve">DECOUPLING OF WAGES FROM PRODUCTIVITY: WHAT IMPLICATIONS FOR PUBLIC POLICIES?, </w:t>
              </w:r>
              <w:r w:rsidRPr="007D5421">
                <w:rPr>
                  <w:noProof/>
                  <w:sz w:val="20"/>
                  <w:szCs w:val="20"/>
                </w:rPr>
                <w:t>s.l.: OECD.</w:t>
              </w:r>
            </w:p>
            <w:p w14:paraId="79680219"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2022. </w:t>
              </w:r>
              <w:r w:rsidRPr="007D5421">
                <w:rPr>
                  <w:i/>
                  <w:iCs/>
                  <w:noProof/>
                  <w:sz w:val="20"/>
                  <w:szCs w:val="20"/>
                </w:rPr>
                <w:t xml:space="preserve">Labour productivity by industry division.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https://www.ons.gov.uk/economy/economicoutputandproductivity/productivitymeasures/datasets/labourproductivitybyindustrydivision</w:t>
              </w:r>
            </w:p>
            <w:p w14:paraId="26257FBB"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2023. </w:t>
              </w:r>
              <w:r w:rsidRPr="007D5421">
                <w:rPr>
                  <w:i/>
                  <w:iCs/>
                  <w:noProof/>
                  <w:sz w:val="20"/>
                  <w:szCs w:val="20"/>
                </w:rPr>
                <w:t xml:space="preserve">Average weekly earnings 1968 to 2023.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https://www.ons.gov.uk/aboutus/transparencyandgovernance/freedomofinformationfoi/averageweeklyearnings1968to2023</w:t>
              </w:r>
            </w:p>
            <w:p w14:paraId="07A1EC26"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2024. </w:t>
              </w:r>
              <w:r w:rsidRPr="007D5421">
                <w:rPr>
                  <w:i/>
                  <w:iCs/>
                  <w:noProof/>
                  <w:sz w:val="20"/>
                  <w:szCs w:val="20"/>
                </w:rPr>
                <w:t xml:space="preserve">Earnings and hours worked, all employees: ASHE Table 1.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https://www.ons.gov.uk/employmentandlabourmarket/peopleinwork/earningsandworkinghours/datasets/allemployeesashetable1</w:t>
              </w:r>
            </w:p>
            <w:p w14:paraId="69ED1EA8"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2024. </w:t>
              </w:r>
              <w:r w:rsidRPr="007D5421">
                <w:rPr>
                  <w:i/>
                  <w:iCs/>
                  <w:noProof/>
                  <w:sz w:val="20"/>
                  <w:szCs w:val="20"/>
                </w:rPr>
                <w:t xml:space="preserve">UK National Accounts, The Blue Book time series.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https://www.ons.gov.uk/economy/grossdomesticproductgdp/datasets/bluebook/current</w:t>
              </w:r>
            </w:p>
            <w:p w14:paraId="48BDFD5B"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2025. </w:t>
              </w:r>
              <w:r w:rsidRPr="007D5421">
                <w:rPr>
                  <w:i/>
                  <w:iCs/>
                  <w:noProof/>
                  <w:sz w:val="20"/>
                  <w:szCs w:val="20"/>
                </w:rPr>
                <w:t xml:space="preserve">CPI INDEX 00: ALL ITEMS 2015=100.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https://www.ons.gov.uk/economy/inflationandpriceindices/timeseries/d7bt/mm23</w:t>
              </w:r>
            </w:p>
            <w:p w14:paraId="3BAD5C3C"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2025. </w:t>
              </w:r>
              <w:r w:rsidRPr="007D5421">
                <w:rPr>
                  <w:i/>
                  <w:iCs/>
                  <w:noProof/>
                  <w:sz w:val="20"/>
                  <w:szCs w:val="20"/>
                </w:rPr>
                <w:t xml:space="preserve">Labour costs and labour income, UK.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https://www.ons.gov.uk/economy/economicoutputandproductivity/productivitymeasures/datasets/labourcostsandlabourshare</w:t>
              </w:r>
            </w:p>
            <w:p w14:paraId="04B82AEA"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2025. </w:t>
              </w:r>
              <w:r w:rsidRPr="007D5421">
                <w:rPr>
                  <w:i/>
                  <w:iCs/>
                  <w:noProof/>
                  <w:sz w:val="20"/>
                  <w:szCs w:val="20"/>
                </w:rPr>
                <w:t xml:space="preserve">Labour productivity time series.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https://www.ons.gov.uk/employmentandlabourmarket/peopleinwork/labourproductivity/datasets/labourproductivity</w:t>
              </w:r>
            </w:p>
            <w:p w14:paraId="28530091"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2025. </w:t>
              </w:r>
              <w:r w:rsidRPr="007D5421">
                <w:rPr>
                  <w:i/>
                  <w:iCs/>
                  <w:noProof/>
                  <w:sz w:val="20"/>
                  <w:szCs w:val="20"/>
                </w:rPr>
                <w:t xml:space="preserve">Producer price inflation time series.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https://www.ons.gov.uk/economy/inflationandpriceindices/datasets/producerpriceindexstatisticalbulletindataset</w:t>
              </w:r>
            </w:p>
            <w:p w14:paraId="13497EF0"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2025. </w:t>
              </w:r>
              <w:r w:rsidRPr="007D5421">
                <w:rPr>
                  <w:i/>
                  <w:iCs/>
                  <w:noProof/>
                  <w:sz w:val="20"/>
                  <w:szCs w:val="20"/>
                </w:rPr>
                <w:t xml:space="preserve">Services Producer Price Inflation (SPPI) records.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https://www.ons.gov.uk/economy/inflationandpriceindices/datasets/servicesproducerpriceindexsppirecords</w:t>
              </w:r>
            </w:p>
            <w:p w14:paraId="059782E0"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ONS, 2025. </w:t>
              </w:r>
              <w:r w:rsidRPr="007D5421">
                <w:rPr>
                  <w:i/>
                  <w:iCs/>
                  <w:noProof/>
                  <w:sz w:val="20"/>
                  <w:szCs w:val="20"/>
                </w:rPr>
                <w:t xml:space="preserve">UNEM01 SA: Unemployment by age and duration (seasonally adjusted).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https://www.ons.gov.uk/employmentandlabourmarket/peoplenotinwork/unemployment/datasets/unemploymentbyageanddurationseasonallyadjustedunem01sa</w:t>
              </w:r>
            </w:p>
            <w:p w14:paraId="20847C01"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Oulton, N., 2022. </w:t>
              </w:r>
              <w:r w:rsidRPr="007D5421">
                <w:rPr>
                  <w:i/>
                  <w:iCs/>
                  <w:noProof/>
                  <w:sz w:val="20"/>
                  <w:szCs w:val="20"/>
                </w:rPr>
                <w:t xml:space="preserve">The Productivity-Welfare Linkage: A Decomposition, </w:t>
              </w:r>
              <w:r w:rsidRPr="007D5421">
                <w:rPr>
                  <w:noProof/>
                  <w:sz w:val="20"/>
                  <w:szCs w:val="20"/>
                </w:rPr>
                <w:t>London: Centre for Macroeconomics, LSE and NIESR.</w:t>
              </w:r>
            </w:p>
            <w:p w14:paraId="159607C9"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Pasimeni, P., 2018. </w:t>
              </w:r>
              <w:r w:rsidRPr="007D5421">
                <w:rPr>
                  <w:i/>
                  <w:iCs/>
                  <w:noProof/>
                  <w:sz w:val="20"/>
                  <w:szCs w:val="20"/>
                </w:rPr>
                <w:t xml:space="preserve">The Relation between Productivity and Compensation in Europe, </w:t>
              </w:r>
              <w:r w:rsidRPr="007D5421">
                <w:rPr>
                  <w:noProof/>
                  <w:sz w:val="20"/>
                  <w:szCs w:val="20"/>
                </w:rPr>
                <w:t>Luxembourg: European Commission.</w:t>
              </w:r>
            </w:p>
            <w:p w14:paraId="37B56032"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Perron, P. &amp; Vogelsang, T. J., 1992. Nonstationarity and Level Shifts with an Application to Purchasing Power Parity. </w:t>
              </w:r>
              <w:r w:rsidRPr="007D5421">
                <w:rPr>
                  <w:i/>
                  <w:iCs/>
                  <w:noProof/>
                  <w:sz w:val="20"/>
                  <w:szCs w:val="20"/>
                </w:rPr>
                <w:t xml:space="preserve">Journal of Business &amp; Economic Statistics, </w:t>
              </w:r>
              <w:r w:rsidRPr="007D5421">
                <w:rPr>
                  <w:noProof/>
                  <w:sz w:val="20"/>
                  <w:szCs w:val="20"/>
                </w:rPr>
                <w:t>pp. 301-320.</w:t>
              </w:r>
            </w:p>
            <w:p w14:paraId="44381E27"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Pessoa, J. P. &amp; Van Reenen, J., 2013. Decoupling of Wage Growth and Productivity Growth? Myth and Reality. </w:t>
              </w:r>
              <w:r w:rsidRPr="007D5421">
                <w:rPr>
                  <w:i/>
                  <w:iCs/>
                  <w:noProof/>
                  <w:sz w:val="20"/>
                  <w:szCs w:val="20"/>
                </w:rPr>
                <w:t>CEP Discussions Papers.</w:t>
              </w:r>
            </w:p>
            <w:p w14:paraId="37E99CA7"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Reeves, R., 2024. </w:t>
              </w:r>
              <w:r w:rsidRPr="007D5421">
                <w:rPr>
                  <w:i/>
                  <w:iCs/>
                  <w:noProof/>
                  <w:sz w:val="20"/>
                  <w:szCs w:val="20"/>
                </w:rPr>
                <w:t xml:space="preserve">Rachel Reeves Mais Lecture 2024.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https://labour.org.uk/updates/press-releases/rachel-reeves-mais-lecture/</w:t>
              </w:r>
            </w:p>
            <w:p w14:paraId="182B8E62"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Rowthorn, R., 2024. The Conflict Theory of Inflation Revisited. </w:t>
              </w:r>
              <w:r w:rsidRPr="007D5421">
                <w:rPr>
                  <w:i/>
                  <w:iCs/>
                  <w:noProof/>
                  <w:sz w:val="20"/>
                  <w:szCs w:val="20"/>
                </w:rPr>
                <w:t xml:space="preserve">Review of Political Economy, </w:t>
              </w:r>
              <w:r w:rsidRPr="007D5421">
                <w:rPr>
                  <w:noProof/>
                  <w:sz w:val="20"/>
                  <w:szCs w:val="20"/>
                </w:rPr>
                <w:t>pp. 1302-1313.</w:t>
              </w:r>
            </w:p>
            <w:p w14:paraId="5A0205AA"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Schwellnus, C., Kappeler, A. &amp; Pionnier, P.-A., 2017. </w:t>
              </w:r>
              <w:r w:rsidRPr="007D5421">
                <w:rPr>
                  <w:i/>
                  <w:iCs/>
                  <w:noProof/>
                  <w:sz w:val="20"/>
                  <w:szCs w:val="20"/>
                </w:rPr>
                <w:t xml:space="preserve">Decoupling of wages from productivity: Macro-level facts, </w:t>
              </w:r>
              <w:r w:rsidRPr="007D5421">
                <w:rPr>
                  <w:noProof/>
                  <w:sz w:val="20"/>
                  <w:szCs w:val="20"/>
                </w:rPr>
                <w:t>s.l.: OECD.</w:t>
              </w:r>
            </w:p>
            <w:p w14:paraId="1AA03037"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Solow, R. M., 1956. A Contribution to the Theory of Economic Growth. </w:t>
              </w:r>
              <w:r w:rsidRPr="007D5421">
                <w:rPr>
                  <w:i/>
                  <w:iCs/>
                  <w:noProof/>
                  <w:sz w:val="20"/>
                  <w:szCs w:val="20"/>
                </w:rPr>
                <w:t xml:space="preserve">The Quarterly Journal of Economics, </w:t>
              </w:r>
              <w:r w:rsidRPr="007D5421">
                <w:rPr>
                  <w:noProof/>
                  <w:sz w:val="20"/>
                  <w:szCs w:val="20"/>
                </w:rPr>
                <w:t>pp. 65-94.</w:t>
              </w:r>
            </w:p>
            <w:p w14:paraId="0E665F36"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Stansbury, A. M. &amp; Summers, L. H., 2018. Productivity and Pay: Is the Link Broken?. </w:t>
              </w:r>
              <w:r w:rsidRPr="007D5421">
                <w:rPr>
                  <w:i/>
                  <w:iCs/>
                  <w:noProof/>
                  <w:sz w:val="20"/>
                  <w:szCs w:val="20"/>
                </w:rPr>
                <w:t>Peterson Institute for International Economics Working Paper No. 18-5.</w:t>
              </w:r>
            </w:p>
            <w:p w14:paraId="085F5B0F"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Teichgraeber, A. &amp; Van Reenen, J., 2021. </w:t>
              </w:r>
              <w:r w:rsidRPr="007D5421">
                <w:rPr>
                  <w:i/>
                  <w:iCs/>
                  <w:noProof/>
                  <w:sz w:val="20"/>
                  <w:szCs w:val="20"/>
                </w:rPr>
                <w:t xml:space="preserve">Have productivity and pay decoupled in the UK?, </w:t>
              </w:r>
              <w:r w:rsidRPr="007D5421">
                <w:rPr>
                  <w:noProof/>
                  <w:sz w:val="20"/>
                  <w:szCs w:val="20"/>
                </w:rPr>
                <w:t>London: Centre for Economic Performance.</w:t>
              </w:r>
            </w:p>
            <w:p w14:paraId="4D350A04" w14:textId="77777777" w:rsidR="007D5421" w:rsidRPr="007D5421" w:rsidRDefault="007D5421" w:rsidP="007D5421">
              <w:pPr>
                <w:pStyle w:val="Bibliography"/>
                <w:spacing w:line="240" w:lineRule="auto"/>
                <w:rPr>
                  <w:noProof/>
                  <w:sz w:val="20"/>
                  <w:szCs w:val="20"/>
                </w:rPr>
              </w:pPr>
              <w:r w:rsidRPr="007D5421">
                <w:rPr>
                  <w:noProof/>
                  <w:sz w:val="20"/>
                  <w:szCs w:val="20"/>
                </w:rPr>
                <w:t xml:space="preserve">Tuckett, A., 2017. </w:t>
              </w:r>
              <w:r w:rsidRPr="007D5421">
                <w:rPr>
                  <w:i/>
                  <w:iCs/>
                  <w:noProof/>
                  <w:sz w:val="20"/>
                  <w:szCs w:val="20"/>
                </w:rPr>
                <w:t xml:space="preserve">Does productivity drive wages? Evidence from sectoral data. </w:t>
              </w:r>
              <w:r w:rsidRPr="007D5421">
                <w:rPr>
                  <w:noProof/>
                  <w:sz w:val="20"/>
                  <w:szCs w:val="20"/>
                </w:rPr>
                <w:t xml:space="preserve">[Online] </w:t>
              </w:r>
              <w:r w:rsidRPr="007D5421">
                <w:rPr>
                  <w:noProof/>
                  <w:sz w:val="20"/>
                  <w:szCs w:val="20"/>
                </w:rPr>
                <w:br/>
                <w:t xml:space="preserve">Available at: </w:t>
              </w:r>
              <w:r w:rsidRPr="007D5421">
                <w:rPr>
                  <w:noProof/>
                  <w:sz w:val="20"/>
                  <w:szCs w:val="20"/>
                  <w:u w:val="single"/>
                </w:rPr>
                <w:t>https://bankunderground.co.uk/2017/03/30/does-productivity-drive-wages-evidence-from-sectoral-data/</w:t>
              </w:r>
            </w:p>
            <w:p w14:paraId="2D59C863" w14:textId="1F56A9B9" w:rsidR="007D5421" w:rsidRDefault="007D5421" w:rsidP="007D5421">
              <w:pPr>
                <w:spacing w:line="240" w:lineRule="auto"/>
              </w:pPr>
              <w:r w:rsidRPr="007D5421">
                <w:rPr>
                  <w:b/>
                  <w:bCs/>
                  <w:noProof/>
                  <w:sz w:val="20"/>
                  <w:szCs w:val="20"/>
                </w:rPr>
                <w:fldChar w:fldCharType="end"/>
              </w:r>
            </w:p>
          </w:sdtContent>
        </w:sdt>
      </w:sdtContent>
    </w:sdt>
    <w:p w14:paraId="2B4F4C1A" w14:textId="74C41536" w:rsidR="002148E3" w:rsidRDefault="002148E3" w:rsidP="002148E3">
      <w:pPr>
        <w:jc w:val="both"/>
      </w:pPr>
    </w:p>
    <w:p w14:paraId="51E5E185" w14:textId="77777777" w:rsidR="001E463F" w:rsidRDefault="001E463F" w:rsidP="004C3AEB">
      <w:pPr>
        <w:jc w:val="both"/>
      </w:pPr>
    </w:p>
    <w:p w14:paraId="63C13428" w14:textId="77777777" w:rsidR="003F1F96" w:rsidRDefault="003F1F96">
      <w:pPr>
        <w:spacing w:line="259" w:lineRule="auto"/>
      </w:pPr>
      <w:r>
        <w:br w:type="page"/>
      </w:r>
    </w:p>
    <w:p w14:paraId="57D15C27" w14:textId="77777777" w:rsidR="00625528" w:rsidRDefault="00625528" w:rsidP="003F1F96">
      <w:pPr>
        <w:rPr>
          <w:rFonts w:eastAsiaTheme="majorEastAsia"/>
          <w:sz w:val="32"/>
          <w:szCs w:val="32"/>
        </w:rPr>
      </w:pPr>
    </w:p>
    <w:p w14:paraId="1F0F10B2" w14:textId="2E243413" w:rsidR="00A03C40" w:rsidRDefault="00A03C40" w:rsidP="00A03C40">
      <w:pPr>
        <w:pStyle w:val="Heading1"/>
      </w:pPr>
      <w:bookmarkStart w:id="18" w:name="_Toc198794481"/>
      <w:r>
        <w:t>Appendix</w:t>
      </w:r>
      <w:bookmarkEnd w:id="18"/>
    </w:p>
    <w:p w14:paraId="66440938" w14:textId="23D5DE30" w:rsidR="00147CE7" w:rsidRDefault="00A03C40" w:rsidP="00A03C40">
      <w:pPr>
        <w:pStyle w:val="Heading2"/>
      </w:pPr>
      <w:bookmarkStart w:id="19" w:name="_Toc198794482"/>
      <w:r>
        <w:t>Appendix I</w:t>
      </w:r>
      <w:bookmarkEnd w:id="19"/>
    </w:p>
    <w:p w14:paraId="10CAD0E5" w14:textId="78DF3102" w:rsidR="00A03C40" w:rsidRDefault="00A03C40" w:rsidP="00A03C40">
      <w:r>
        <w:t xml:space="preserve">Unit-root </w:t>
      </w:r>
      <w:r w:rsidR="009C0C41">
        <w:t xml:space="preserve">tests </w:t>
      </w:r>
      <w:r>
        <w:t xml:space="preserve">are performed on wages, production, and inflation. In line with advice from the literature, employment is left </w:t>
      </w:r>
      <w:r w:rsidR="009C0C41">
        <w:t>at</w:t>
      </w:r>
      <w:r>
        <w:t xml:space="preserve"> levels </w:t>
      </w:r>
      <w:sdt>
        <w:sdtPr>
          <w:id w:val="71398437"/>
          <w:citation/>
        </w:sdtPr>
        <w:sdtContent>
          <w:r>
            <w:fldChar w:fldCharType="begin"/>
          </w:r>
          <w:r>
            <w:instrText xml:space="preserve"> CITATION Biv17 \l 2057  \m Sta18 \m Pas18 \m Pas18</w:instrText>
          </w:r>
          <w:r>
            <w:fldChar w:fldCharType="separate"/>
          </w:r>
          <w:r w:rsidR="007D5421" w:rsidRPr="007D5421">
            <w:rPr>
              <w:noProof/>
            </w:rPr>
            <w:t>(Bivens &amp; Mishel, 2017; Stansbury &amp; Summers, 2018; Pasimeni, 2018; Pasimeni, 2018)</w:t>
          </w:r>
          <w:r>
            <w:fldChar w:fldCharType="end"/>
          </w:r>
        </w:sdtContent>
      </w:sdt>
      <w:r>
        <w:t>.</w:t>
      </w:r>
    </w:p>
    <w:p w14:paraId="14CEB4E6" w14:textId="7E177558" w:rsidR="00FB2CB8" w:rsidRDefault="00A03C40" w:rsidP="00A03C40">
      <w:r>
        <w:t>Production</w:t>
      </w:r>
      <w:r w:rsidR="004D0DE7">
        <w:t xml:space="preserve">, </w:t>
      </w:r>
      <w:r>
        <w:t>inflation</w:t>
      </w:r>
      <w:r w:rsidR="004D0DE7">
        <w:t xml:space="preserve">, and average compensation </w:t>
      </w:r>
      <w:r>
        <w:t xml:space="preserve">data is investigated for stationarity using an ADF test. </w:t>
      </w:r>
      <w:r w:rsidR="00FB2CB8">
        <w:t xml:space="preserve">Median and mean wages are not because </w:t>
      </w:r>
      <w:proofErr w:type="spellStart"/>
      <w:r w:rsidR="00FB2CB8">
        <w:t>Brocek</w:t>
      </w:r>
      <w:proofErr w:type="spellEnd"/>
      <w:r w:rsidR="00FB2CB8">
        <w:t xml:space="preserve"> (2019) and Nasir (2021)</w:t>
      </w:r>
      <w:r w:rsidR="004D0DE7">
        <w:t xml:space="preserve"> found structural breakpoints in the data</w:t>
      </w:r>
      <w:r w:rsidR="00FB2CB8">
        <w:t>.</w:t>
      </w:r>
    </w:p>
    <w:p w14:paraId="147678C0" w14:textId="163E074B" w:rsidR="00A03C40" w:rsidRDefault="00B030C5" w:rsidP="00A03C40">
      <w:r>
        <w:t>Beginning with production</w:t>
      </w:r>
      <w:r w:rsidR="004D0DE7">
        <w:t xml:space="preserve">, mean compensation and </w:t>
      </w:r>
      <w:r>
        <w:t xml:space="preserve">inflation data: the </w:t>
      </w:r>
      <w:r w:rsidR="004D0DE7">
        <w:t>three</w:t>
      </w:r>
      <w:r w:rsidR="00A03C40">
        <w:t xml:space="preserve"> are fitted to the equation:</w:t>
      </w:r>
    </w:p>
    <w:p w14:paraId="44BC43BC" w14:textId="57ECFCD7" w:rsidR="00985227" w:rsidRPr="00985227" w:rsidRDefault="00985227" w:rsidP="00A03C40">
      <m:oMathPara>
        <m:oMath>
          <m:eqArr>
            <m:eqArrPr>
              <m:maxDist m:val="1"/>
              <m:ctrlPr>
                <w:rPr>
                  <w:rFonts w:ascii="Cambria Math" w:hAnsi="Cambria Math"/>
                  <w:i/>
                </w:rPr>
              </m:ctrlPr>
            </m:eqArr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nary>
                <m:naryPr>
                  <m:chr m:val="∑"/>
                  <m:ctrlPr>
                    <w:rPr>
                      <w:rFonts w:ascii="Cambria Math" w:hAnsi="Cambria Math"/>
                      <w:i/>
                    </w:rPr>
                  </m:ctrlPr>
                </m:naryPr>
                <m:sub>
                  <m:r>
                    <w:rPr>
                      <w:rFonts w:ascii="Cambria Math" w:hAnsi="Cambria Math"/>
                    </w:rPr>
                    <m:t>0</m:t>
                  </m:r>
                </m:sub>
                <m:sup>
                  <m:r>
                    <w:rPr>
                      <w:rFonts w:ascii="Cambria Math" w:hAnsi="Cambria Math"/>
                    </w:rPr>
                    <m:t>i</m:t>
                  </m:r>
                </m:sup>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d>
                <m:dPr>
                  <m:begChr m:val="["/>
                  <m:endChr m:val="]"/>
                  <m:ctrlPr>
                    <w:rPr>
                      <w:rFonts w:ascii="Cambria Math" w:hAnsi="Cambria Math"/>
                      <w:i/>
                    </w:rPr>
                  </m:ctrlPr>
                </m:dPr>
                <m:e>
                  <m:r>
                    <w:rPr>
                      <w:rFonts w:ascii="Cambria Math" w:hAnsi="Cambria Math"/>
                    </w:rPr>
                    <m:t>λt, α,</m:t>
                  </m:r>
                  <m:sSub>
                    <m:sSubPr>
                      <m:ctrlPr>
                        <w:rPr>
                          <w:rFonts w:ascii="Cambria Math" w:hAnsi="Cambria Math"/>
                          <w:i/>
                        </w:rPr>
                      </m:ctrlPr>
                    </m:sSubPr>
                    <m:e>
                      <m:r>
                        <w:rPr>
                          <w:rFonts w:ascii="Cambria Math" w:hAnsi="Cambria Math"/>
                        </w:rPr>
                        <m:t>β</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A1</m:t>
                  </m:r>
                </m:e>
              </m:d>
            </m:e>
          </m:eqArr>
        </m:oMath>
      </m:oMathPara>
    </w:p>
    <w:p w14:paraId="6957AB12" w14:textId="4AE436E8" w:rsidR="00A03C40" w:rsidRDefault="00A03C40" w:rsidP="00B030C5">
      <w:r>
        <w:t xml:space="preserve">Where </w:t>
      </w:r>
      <m:oMath>
        <m:r>
          <w:rPr>
            <w:rFonts w:ascii="Cambria Math" w:hAnsi="Cambria Math"/>
          </w:rPr>
          <m:t>x</m:t>
        </m:r>
      </m:oMath>
      <w:r>
        <w:t xml:space="preserve"> is replaced with a given variable and </w:t>
      </w:r>
      <m:oMath>
        <m:r>
          <w:rPr>
            <w:rFonts w:ascii="Cambria Math" w:hAnsi="Cambria Math"/>
          </w:rPr>
          <m:t>i</m:t>
        </m:r>
      </m:oMath>
      <w:r>
        <w:t xml:space="preserve"> is the number of lags needed to eliminate autocorrelation according to the Breusch-Godfrey (BG) test.</w:t>
      </w:r>
    </w:p>
    <w:tbl>
      <w:tblPr>
        <w:tblStyle w:val="GridTable1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003"/>
        <w:gridCol w:w="2233"/>
        <w:gridCol w:w="2233"/>
        <w:gridCol w:w="2233"/>
      </w:tblGrid>
      <w:tr w:rsidR="00B030C5" w:rsidRPr="00BA7B68" w14:paraId="6E0B7A6A" w14:textId="77777777" w:rsidTr="004D0DE7">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6A6634FB" w14:textId="301B32E8" w:rsidR="00B030C5" w:rsidRDefault="00B030C5" w:rsidP="00B030C5">
            <w:pPr>
              <w:spacing w:line="240" w:lineRule="auto"/>
              <w:jc w:val="center"/>
            </w:pPr>
            <w:r>
              <w:t>Table A1 – ADF test results</w:t>
            </w:r>
          </w:p>
        </w:tc>
      </w:tr>
      <w:tr w:rsidR="00B030C5" w:rsidRPr="00BA7B68" w14:paraId="447FF219" w14:textId="77777777" w:rsidTr="004D0DE7">
        <w:trPr>
          <w:trHeight w:val="329"/>
          <w:jc w:val="center"/>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auto"/>
            </w:tcBorders>
          </w:tcPr>
          <w:p w14:paraId="496430AA" w14:textId="77777777" w:rsidR="00B030C5" w:rsidRPr="00BA7B68" w:rsidRDefault="00B030C5" w:rsidP="00B030C5">
            <w:pPr>
              <w:spacing w:line="240" w:lineRule="auto"/>
            </w:pPr>
            <w:r w:rsidRPr="00BA7B68">
              <w:t>Variables</w:t>
            </w:r>
          </w:p>
        </w:tc>
        <w:tc>
          <w:tcPr>
            <w:tcW w:w="1003" w:type="dxa"/>
            <w:tcBorders>
              <w:top w:val="single" w:sz="4" w:space="0" w:color="auto"/>
              <w:right w:val="single" w:sz="4" w:space="0" w:color="auto"/>
            </w:tcBorders>
          </w:tcPr>
          <w:p w14:paraId="23ABC2D9" w14:textId="77777777" w:rsidR="00B030C5" w:rsidRPr="00F61D61"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i</m:t>
                </m:r>
              </m:oMath>
            </m:oMathPara>
          </w:p>
        </w:tc>
        <w:tc>
          <w:tcPr>
            <w:tcW w:w="6699" w:type="dxa"/>
            <w:gridSpan w:val="3"/>
            <w:tcBorders>
              <w:top w:val="single" w:sz="4" w:space="0" w:color="auto"/>
              <w:left w:val="single" w:sz="4" w:space="0" w:color="auto"/>
            </w:tcBorders>
          </w:tcPr>
          <w:p w14:paraId="0F5ED78D" w14:textId="77777777" w:rsidR="00B030C5" w:rsidRPr="00BA7B68" w:rsidRDefault="00B030C5" w:rsidP="00B030C5">
            <w:pPr>
              <w:spacing w:line="240" w:lineRule="auto"/>
              <w:jc w:val="center"/>
              <w:cnfStyle w:val="000000000000" w:firstRow="0" w:lastRow="0" w:firstColumn="0" w:lastColumn="0" w:oddVBand="0" w:evenVBand="0" w:oddHBand="0" w:evenHBand="0" w:firstRowFirstColumn="0" w:firstRowLastColumn="0" w:lastRowFirstColumn="0" w:lastRowLastColumn="0"/>
            </w:pPr>
            <w:r>
              <w:t>MacKinnon Approximate p-value</w:t>
            </w:r>
          </w:p>
        </w:tc>
      </w:tr>
      <w:tr w:rsidR="00B030C5" w:rsidRPr="00BA7B68" w14:paraId="60F635F2" w14:textId="77777777" w:rsidTr="004D0DE7">
        <w:trPr>
          <w:trHeight w:val="329"/>
          <w:jc w:val="center"/>
        </w:trPr>
        <w:tc>
          <w:tcPr>
            <w:cnfStyle w:val="001000000000" w:firstRow="0" w:lastRow="0" w:firstColumn="1" w:lastColumn="0" w:oddVBand="0" w:evenVBand="0" w:oddHBand="0" w:evenHBand="0" w:firstRowFirstColumn="0" w:firstRowLastColumn="0" w:lastRowFirstColumn="0" w:lastRowLastColumn="0"/>
            <w:tcW w:w="1324" w:type="dxa"/>
            <w:tcBorders>
              <w:bottom w:val="single" w:sz="4" w:space="0" w:color="auto"/>
            </w:tcBorders>
          </w:tcPr>
          <w:p w14:paraId="7B77738F" w14:textId="77777777" w:rsidR="00B030C5" w:rsidRPr="00BA7B68" w:rsidRDefault="00B030C5" w:rsidP="00B030C5">
            <w:pPr>
              <w:spacing w:line="240" w:lineRule="auto"/>
            </w:pPr>
          </w:p>
        </w:tc>
        <w:tc>
          <w:tcPr>
            <w:tcW w:w="1003" w:type="dxa"/>
            <w:tcBorders>
              <w:bottom w:val="single" w:sz="4" w:space="0" w:color="auto"/>
              <w:right w:val="single" w:sz="4" w:space="0" w:color="auto"/>
            </w:tcBorders>
          </w:tcPr>
          <w:p w14:paraId="309923EB" w14:textId="77777777" w:rsidR="00B030C5" w:rsidRPr="00F61D61"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bCs/>
              </w:rPr>
            </w:pPr>
          </w:p>
        </w:tc>
        <w:tc>
          <w:tcPr>
            <w:tcW w:w="2233" w:type="dxa"/>
            <w:tcBorders>
              <w:left w:val="single" w:sz="4" w:space="0" w:color="auto"/>
              <w:bottom w:val="single" w:sz="4" w:space="0" w:color="auto"/>
            </w:tcBorders>
          </w:tcPr>
          <w:p w14:paraId="7E03C8A8" w14:textId="77777777" w:rsidR="00B030C5" w:rsidRPr="00686223" w:rsidRDefault="00B030C5" w:rsidP="00B030C5">
            <w:pPr>
              <w:spacing w:line="240" w:lineRule="auto"/>
              <w:jc w:val="both"/>
              <w:cnfStyle w:val="000000000000" w:firstRow="0" w:lastRow="0" w:firstColumn="0" w:lastColumn="0" w:oddVBand="0" w:evenVBand="0" w:oddHBand="0" w:evenHBand="0" w:firstRowFirstColumn="0" w:firstRowLastColumn="0" w:lastRowFirstColumn="0" w:lastRowLastColumn="0"/>
            </w:pPr>
            <w:r>
              <w:rPr>
                <w:rFonts w:eastAsia="Times New Roman"/>
              </w:rPr>
              <w:t xml:space="preserve">With </w:t>
            </w:r>
            <m:oMath>
              <m:r>
                <w:rPr>
                  <w:rFonts w:ascii="Cambria Math" w:hAnsi="Cambria Math"/>
                </w:rPr>
                <m:t>λt</m:t>
              </m:r>
            </m:oMath>
          </w:p>
        </w:tc>
        <w:tc>
          <w:tcPr>
            <w:tcW w:w="2233" w:type="dxa"/>
            <w:tcBorders>
              <w:bottom w:val="single" w:sz="4" w:space="0" w:color="auto"/>
            </w:tcBorders>
          </w:tcPr>
          <w:p w14:paraId="7235D083" w14:textId="77777777" w:rsidR="00B030C5" w:rsidRPr="00686223" w:rsidRDefault="00B030C5" w:rsidP="00B030C5">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With </w:t>
            </w:r>
            <m:oMath>
              <m:r>
                <w:rPr>
                  <w:rFonts w:ascii="Cambria Math" w:hAnsi="Cambria Math"/>
                </w:rPr>
                <m:t>α</m:t>
              </m:r>
            </m:oMath>
          </w:p>
        </w:tc>
        <w:tc>
          <w:tcPr>
            <w:tcW w:w="2233" w:type="dxa"/>
            <w:tcBorders>
              <w:bottom w:val="single" w:sz="4" w:space="0" w:color="auto"/>
            </w:tcBorders>
          </w:tcPr>
          <w:p w14:paraId="158D189F" w14:textId="77777777" w:rsidR="00B030C5" w:rsidRPr="00686223" w:rsidRDefault="00B030C5" w:rsidP="00B030C5">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With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r>
      <w:tr w:rsidR="00B030C5" w:rsidRPr="00BA7B68" w14:paraId="3943F254" w14:textId="77777777" w:rsidTr="004D0DE7">
        <w:trPr>
          <w:trHeight w:val="277"/>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608068DE" w14:textId="77777777" w:rsidR="00B030C5" w:rsidRPr="00F61D61" w:rsidRDefault="00B030C5" w:rsidP="004D0DE7">
            <w:pPr>
              <w:spacing w:line="240" w:lineRule="auto"/>
              <w:rPr>
                <w:i/>
                <w:iCs/>
              </w:rPr>
            </w:pPr>
            <w:r>
              <w:rPr>
                <w:i/>
                <w:iCs/>
              </w:rPr>
              <w:t>At Level</w:t>
            </w:r>
          </w:p>
        </w:tc>
      </w:tr>
      <w:tr w:rsidR="00B030C5" w:rsidRPr="00BA7B68" w14:paraId="43C6030F" w14:textId="77777777" w:rsidTr="004D0DE7">
        <w:trPr>
          <w:trHeight w:val="281"/>
          <w:jc w:val="center"/>
        </w:trPr>
        <w:tc>
          <w:tcPr>
            <w:cnfStyle w:val="001000000000" w:firstRow="0" w:lastRow="0" w:firstColumn="1" w:lastColumn="0" w:oddVBand="0" w:evenVBand="0" w:oddHBand="0" w:evenHBand="0" w:firstRowFirstColumn="0" w:firstRowLastColumn="0" w:lastRowFirstColumn="0" w:lastRowLastColumn="0"/>
            <w:tcW w:w="1324" w:type="dxa"/>
          </w:tcPr>
          <w:p w14:paraId="7EB446A5" w14:textId="77777777" w:rsidR="00B030C5" w:rsidRPr="00F61D61" w:rsidRDefault="00B030C5" w:rsidP="004D0DE7">
            <w:pPr>
              <w:spacing w:line="240" w:lineRule="auto"/>
              <w:rPr>
                <w:b w:val="0"/>
                <w:bCs w:val="0"/>
              </w:rPr>
            </w:pPr>
            <m:oMathPara>
              <m:oMathParaPr>
                <m:jc m:val="right"/>
              </m:oMathParaPr>
              <m:oMath>
                <m:r>
                  <m:rPr>
                    <m:sty m:val="bi"/>
                  </m:rPr>
                  <w:rPr>
                    <w:rFonts w:ascii="Cambria Math" w:hAnsi="Cambria Math"/>
                  </w:rPr>
                  <m:t>prod</m:t>
                </m:r>
              </m:oMath>
            </m:oMathPara>
          </w:p>
        </w:tc>
        <w:tc>
          <w:tcPr>
            <w:tcW w:w="1003" w:type="dxa"/>
            <w:tcBorders>
              <w:right w:val="single" w:sz="4" w:space="0" w:color="auto"/>
            </w:tcBorders>
          </w:tcPr>
          <w:p w14:paraId="650728BE" w14:textId="3E06F7A1" w:rsidR="00B030C5" w:rsidRPr="00BA7B68" w:rsidRDefault="00B030C5" w:rsidP="00B030C5">
            <w:pPr>
              <w:spacing w:line="240" w:lineRule="auto"/>
              <w:jc w:val="right"/>
              <w:cnfStyle w:val="000000000000" w:firstRow="0" w:lastRow="0" w:firstColumn="0" w:lastColumn="0" w:oddVBand="0" w:evenVBand="0" w:oddHBand="0" w:evenHBand="0" w:firstRowFirstColumn="0" w:firstRowLastColumn="0" w:lastRowFirstColumn="0" w:lastRowLastColumn="0"/>
            </w:pPr>
            <w:r>
              <w:t>0</w:t>
            </w:r>
          </w:p>
        </w:tc>
        <w:tc>
          <w:tcPr>
            <w:tcW w:w="2233" w:type="dxa"/>
            <w:tcBorders>
              <w:left w:val="single" w:sz="4" w:space="0" w:color="auto"/>
            </w:tcBorders>
          </w:tcPr>
          <w:p w14:paraId="5EB2E427" w14:textId="366B949E" w:rsidR="00B030C5" w:rsidRPr="00BA7B68"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pPr>
            <w:r w:rsidRPr="00B030C5">
              <w:t>0.3949</w:t>
            </w:r>
          </w:p>
        </w:tc>
        <w:tc>
          <w:tcPr>
            <w:tcW w:w="2233" w:type="dxa"/>
          </w:tcPr>
          <w:p w14:paraId="0FE791ED" w14:textId="51813CD2" w:rsidR="00B030C5" w:rsidRPr="00BA7B68"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pPr>
            <w:r>
              <w:t>0.0005***</w:t>
            </w:r>
          </w:p>
        </w:tc>
        <w:tc>
          <w:tcPr>
            <w:tcW w:w="2233" w:type="dxa"/>
          </w:tcPr>
          <w:p w14:paraId="41D5D7D6" w14:textId="32F2B305" w:rsidR="00B030C5" w:rsidRPr="00BA7B68"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pPr>
            <w:r w:rsidRPr="00B030C5">
              <w:t>0.0024</w:t>
            </w:r>
            <w:r>
              <w:t>***</w:t>
            </w:r>
          </w:p>
        </w:tc>
      </w:tr>
      <w:tr w:rsidR="00B030C5" w:rsidRPr="00BA7B68" w14:paraId="3E1C759D" w14:textId="77777777" w:rsidTr="004D0DE7">
        <w:trPr>
          <w:trHeight w:val="281"/>
          <w:jc w:val="center"/>
        </w:trPr>
        <w:tc>
          <w:tcPr>
            <w:cnfStyle w:val="001000000000" w:firstRow="0" w:lastRow="0" w:firstColumn="1" w:lastColumn="0" w:oddVBand="0" w:evenVBand="0" w:oddHBand="0" w:evenHBand="0" w:firstRowFirstColumn="0" w:firstRowLastColumn="0" w:lastRowFirstColumn="0" w:lastRowLastColumn="0"/>
            <w:tcW w:w="1324" w:type="dxa"/>
          </w:tcPr>
          <w:p w14:paraId="1E7039E2" w14:textId="3915519B" w:rsidR="00B030C5" w:rsidRPr="00F61D61" w:rsidRDefault="00B030C5" w:rsidP="004D0DE7">
            <w:pPr>
              <w:spacing w:line="240" w:lineRule="auto"/>
              <w:rPr>
                <w:rFonts w:eastAsia="Times New Roman"/>
                <w:b w:val="0"/>
                <w:bCs w:val="0"/>
              </w:rPr>
            </w:pPr>
            <m:oMathPara>
              <m:oMathParaPr>
                <m:jc m:val="right"/>
              </m:oMathParaPr>
              <m:oMath>
                <m:r>
                  <m:rPr>
                    <m:sty m:val="bi"/>
                  </m:rPr>
                  <w:rPr>
                    <w:rFonts w:ascii="Cambria Math" w:eastAsia="Times New Roman" w:hAnsi="Cambria Math"/>
                  </w:rPr>
                  <m:t>inf</m:t>
                </m:r>
              </m:oMath>
            </m:oMathPara>
          </w:p>
        </w:tc>
        <w:tc>
          <w:tcPr>
            <w:tcW w:w="1003" w:type="dxa"/>
            <w:tcBorders>
              <w:right w:val="single" w:sz="4" w:space="0" w:color="auto"/>
            </w:tcBorders>
          </w:tcPr>
          <w:p w14:paraId="52694800" w14:textId="172655CB" w:rsidR="00B030C5" w:rsidRPr="00BA7B68" w:rsidRDefault="00B030C5" w:rsidP="00B030C5">
            <w:pPr>
              <w:spacing w:line="240" w:lineRule="auto"/>
              <w:jc w:val="right"/>
              <w:cnfStyle w:val="000000000000" w:firstRow="0" w:lastRow="0" w:firstColumn="0" w:lastColumn="0" w:oddVBand="0" w:evenVBand="0" w:oddHBand="0" w:evenHBand="0" w:firstRowFirstColumn="0" w:firstRowLastColumn="0" w:lastRowFirstColumn="0" w:lastRowLastColumn="0"/>
            </w:pPr>
            <w:r>
              <w:t>0</w:t>
            </w:r>
          </w:p>
        </w:tc>
        <w:tc>
          <w:tcPr>
            <w:tcW w:w="2233" w:type="dxa"/>
            <w:tcBorders>
              <w:left w:val="single" w:sz="4" w:space="0" w:color="auto"/>
            </w:tcBorders>
          </w:tcPr>
          <w:p w14:paraId="2BFC0AFB" w14:textId="7B3B1EEB" w:rsidR="00B030C5" w:rsidRPr="00BA7B68"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pPr>
            <w:r>
              <w:t>0.0020***</w:t>
            </w:r>
          </w:p>
        </w:tc>
        <w:tc>
          <w:tcPr>
            <w:tcW w:w="2233" w:type="dxa"/>
          </w:tcPr>
          <w:p w14:paraId="7F3E16FF" w14:textId="79F79A91" w:rsidR="00B030C5" w:rsidRPr="00BA7B68"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pPr>
            <w:r>
              <w:t>0.0001***</w:t>
            </w:r>
          </w:p>
        </w:tc>
        <w:tc>
          <w:tcPr>
            <w:tcW w:w="2233" w:type="dxa"/>
          </w:tcPr>
          <w:p w14:paraId="0C053059" w14:textId="024B621D" w:rsidR="00B030C5" w:rsidRPr="00BA7B68" w:rsidRDefault="00B030C5" w:rsidP="00B030C5">
            <w:pPr>
              <w:spacing w:line="240" w:lineRule="auto"/>
              <w:cnfStyle w:val="000000000000" w:firstRow="0" w:lastRow="0" w:firstColumn="0" w:lastColumn="0" w:oddVBand="0" w:evenVBand="0" w:oddHBand="0" w:evenHBand="0" w:firstRowFirstColumn="0" w:firstRowLastColumn="0" w:lastRowFirstColumn="0" w:lastRowLastColumn="0"/>
            </w:pPr>
            <w:r>
              <w:t>0.0002***</w:t>
            </w:r>
          </w:p>
        </w:tc>
      </w:tr>
      <w:tr w:rsidR="004D0DE7" w:rsidRPr="00BA7B68" w14:paraId="1F9B3BDF" w14:textId="77777777" w:rsidTr="004D0DE7">
        <w:trPr>
          <w:trHeight w:val="281"/>
          <w:jc w:val="center"/>
        </w:trPr>
        <w:tc>
          <w:tcPr>
            <w:cnfStyle w:val="001000000000" w:firstRow="0" w:lastRow="0" w:firstColumn="1" w:lastColumn="0" w:oddVBand="0" w:evenVBand="0" w:oddHBand="0" w:evenHBand="0" w:firstRowFirstColumn="0" w:firstRowLastColumn="0" w:lastRowFirstColumn="0" w:lastRowLastColumn="0"/>
            <w:tcW w:w="1324" w:type="dxa"/>
            <w:tcBorders>
              <w:bottom w:val="single" w:sz="4" w:space="0" w:color="auto"/>
            </w:tcBorders>
          </w:tcPr>
          <w:p w14:paraId="7D9E9B3B" w14:textId="43B215B2" w:rsidR="004D0DE7" w:rsidRDefault="004D0DE7" w:rsidP="004D0DE7">
            <w:pPr>
              <w:spacing w:line="240" w:lineRule="auto"/>
              <w:rPr>
                <w:rFonts w:eastAsia="Times New Roman"/>
              </w:rPr>
            </w:pPr>
            <m:oMathPara>
              <m:oMath>
                <m:r>
                  <m:rPr>
                    <m:sty m:val="bi"/>
                  </m:rPr>
                  <w:rPr>
                    <w:rFonts w:ascii="Cambria Math" w:eastAsia="Times New Roman" w:hAnsi="Cambria Math"/>
                  </w:rPr>
                  <m:t>com</m:t>
                </m:r>
                <m:sSub>
                  <m:sSubPr>
                    <m:ctrlPr>
                      <w:rPr>
                        <w:rFonts w:ascii="Cambria Math" w:eastAsia="Times New Roman" w:hAnsi="Cambria Math"/>
                        <w:b w:val="0"/>
                        <w:bCs w:val="0"/>
                        <w:i/>
                      </w:rPr>
                    </m:ctrlPr>
                  </m:sSubPr>
                  <m:e>
                    <m:r>
                      <m:rPr>
                        <m:sty m:val="bi"/>
                      </m:rPr>
                      <w:rPr>
                        <w:rFonts w:ascii="Cambria Math" w:eastAsia="Times New Roman" w:hAnsi="Cambria Math"/>
                      </w:rPr>
                      <m:t>p</m:t>
                    </m:r>
                    <m:ctrlPr>
                      <w:rPr>
                        <w:rFonts w:ascii="Cambria Math" w:eastAsia="Times New Roman" w:hAnsi="Cambria Math"/>
                        <w:i/>
                      </w:rPr>
                    </m:ctrlPr>
                  </m:e>
                  <m:sub>
                    <m:r>
                      <m:rPr>
                        <m:sty m:val="bi"/>
                      </m:rPr>
                      <w:rPr>
                        <w:rFonts w:ascii="Cambria Math" w:eastAsia="Times New Roman" w:hAnsi="Cambria Math"/>
                      </w:rPr>
                      <m:t>mean</m:t>
                    </m:r>
                  </m:sub>
                </m:sSub>
              </m:oMath>
            </m:oMathPara>
          </w:p>
        </w:tc>
        <w:tc>
          <w:tcPr>
            <w:tcW w:w="1003" w:type="dxa"/>
            <w:tcBorders>
              <w:bottom w:val="single" w:sz="4" w:space="0" w:color="auto"/>
              <w:right w:val="single" w:sz="4" w:space="0" w:color="auto"/>
            </w:tcBorders>
          </w:tcPr>
          <w:p w14:paraId="48B6121B" w14:textId="693C5F4E" w:rsidR="004D0DE7" w:rsidRDefault="004D0DE7" w:rsidP="00B030C5">
            <w:pPr>
              <w:spacing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2233" w:type="dxa"/>
            <w:tcBorders>
              <w:left w:val="single" w:sz="4" w:space="0" w:color="auto"/>
              <w:bottom w:val="single" w:sz="4" w:space="0" w:color="auto"/>
            </w:tcBorders>
          </w:tcPr>
          <w:p w14:paraId="0BE17067" w14:textId="2BAA0185" w:rsidR="004D0DE7" w:rsidRDefault="004D0DE7" w:rsidP="00B030C5">
            <w:pPr>
              <w:spacing w:line="240" w:lineRule="auto"/>
              <w:cnfStyle w:val="000000000000" w:firstRow="0" w:lastRow="0" w:firstColumn="0" w:lastColumn="0" w:oddVBand="0" w:evenVBand="0" w:oddHBand="0" w:evenHBand="0" w:firstRowFirstColumn="0" w:firstRowLastColumn="0" w:lastRowFirstColumn="0" w:lastRowLastColumn="0"/>
            </w:pPr>
            <w:r w:rsidRPr="004D0DE7">
              <w:t>0.1183</w:t>
            </w:r>
          </w:p>
        </w:tc>
        <w:tc>
          <w:tcPr>
            <w:tcW w:w="2233" w:type="dxa"/>
            <w:tcBorders>
              <w:bottom w:val="single" w:sz="4" w:space="0" w:color="auto"/>
            </w:tcBorders>
          </w:tcPr>
          <w:p w14:paraId="62A1C3AE" w14:textId="550D93A6" w:rsidR="004D0DE7" w:rsidRDefault="004D0DE7" w:rsidP="00B030C5">
            <w:pPr>
              <w:spacing w:line="240" w:lineRule="auto"/>
              <w:cnfStyle w:val="000000000000" w:firstRow="0" w:lastRow="0" w:firstColumn="0" w:lastColumn="0" w:oddVBand="0" w:evenVBand="0" w:oddHBand="0" w:evenHBand="0" w:firstRowFirstColumn="0" w:firstRowLastColumn="0" w:lastRowFirstColumn="0" w:lastRowLastColumn="0"/>
            </w:pPr>
            <w:r>
              <w:t>0.0012***</w:t>
            </w:r>
          </w:p>
        </w:tc>
        <w:tc>
          <w:tcPr>
            <w:tcW w:w="2233" w:type="dxa"/>
            <w:tcBorders>
              <w:bottom w:val="single" w:sz="4" w:space="0" w:color="auto"/>
            </w:tcBorders>
          </w:tcPr>
          <w:p w14:paraId="72DCE71D" w14:textId="45615534" w:rsidR="004D0DE7" w:rsidRDefault="004D0DE7" w:rsidP="00B030C5">
            <w:pPr>
              <w:spacing w:line="240" w:lineRule="auto"/>
              <w:cnfStyle w:val="000000000000" w:firstRow="0" w:lastRow="0" w:firstColumn="0" w:lastColumn="0" w:oddVBand="0" w:evenVBand="0" w:oddHBand="0" w:evenHBand="0" w:firstRowFirstColumn="0" w:firstRowLastColumn="0" w:lastRowFirstColumn="0" w:lastRowLastColumn="0"/>
            </w:pPr>
            <w:r>
              <w:t>0.0070***</w:t>
            </w:r>
          </w:p>
        </w:tc>
      </w:tr>
      <w:tr w:rsidR="004D0DE7" w:rsidRPr="00BA7B68" w14:paraId="358CA1F1" w14:textId="77777777" w:rsidTr="004D0DE7">
        <w:trPr>
          <w:trHeight w:val="281"/>
          <w:jc w:val="center"/>
        </w:trPr>
        <w:tc>
          <w:tcPr>
            <w:cnfStyle w:val="001000000000" w:firstRow="0" w:lastRow="0" w:firstColumn="1" w:lastColumn="0" w:oddVBand="0" w:evenVBand="0" w:oddHBand="0" w:evenHBand="0" w:firstRowFirstColumn="0" w:firstRowLastColumn="0" w:lastRowFirstColumn="0" w:lastRowLastColumn="0"/>
            <w:tcW w:w="2327" w:type="dxa"/>
            <w:gridSpan w:val="2"/>
            <w:tcBorders>
              <w:top w:val="single" w:sz="4" w:space="0" w:color="auto"/>
              <w:right w:val="single" w:sz="4" w:space="0" w:color="auto"/>
            </w:tcBorders>
          </w:tcPr>
          <w:p w14:paraId="67D5CD0B" w14:textId="4EF172F6" w:rsidR="004D0DE7" w:rsidRPr="004D0DE7" w:rsidRDefault="004D0DE7" w:rsidP="004D0DE7">
            <w:pPr>
              <w:spacing w:line="240" w:lineRule="auto"/>
              <w:rPr>
                <w:i/>
                <w:iCs/>
              </w:rPr>
            </w:pPr>
            <w:r w:rsidRPr="004D0DE7">
              <w:rPr>
                <w:rFonts w:eastAsia="Times New Roman"/>
                <w:i/>
                <w:iCs/>
              </w:rPr>
              <w:t>At First Difference</w:t>
            </w:r>
          </w:p>
        </w:tc>
        <w:tc>
          <w:tcPr>
            <w:tcW w:w="2233" w:type="dxa"/>
            <w:tcBorders>
              <w:top w:val="single" w:sz="4" w:space="0" w:color="auto"/>
              <w:left w:val="single" w:sz="4" w:space="0" w:color="auto"/>
            </w:tcBorders>
          </w:tcPr>
          <w:p w14:paraId="10281430" w14:textId="77777777" w:rsidR="004D0DE7" w:rsidRPr="004D0DE7" w:rsidRDefault="004D0DE7" w:rsidP="00B030C5">
            <w:pPr>
              <w:spacing w:line="240" w:lineRule="auto"/>
              <w:cnfStyle w:val="000000000000" w:firstRow="0" w:lastRow="0" w:firstColumn="0" w:lastColumn="0" w:oddVBand="0" w:evenVBand="0" w:oddHBand="0" w:evenHBand="0" w:firstRowFirstColumn="0" w:firstRowLastColumn="0" w:lastRowFirstColumn="0" w:lastRowLastColumn="0"/>
            </w:pPr>
          </w:p>
        </w:tc>
        <w:tc>
          <w:tcPr>
            <w:tcW w:w="2233" w:type="dxa"/>
            <w:tcBorders>
              <w:top w:val="single" w:sz="4" w:space="0" w:color="auto"/>
            </w:tcBorders>
          </w:tcPr>
          <w:p w14:paraId="6C9B2C35" w14:textId="77777777" w:rsidR="004D0DE7" w:rsidRDefault="004D0DE7" w:rsidP="00B030C5">
            <w:pPr>
              <w:spacing w:line="240" w:lineRule="auto"/>
              <w:cnfStyle w:val="000000000000" w:firstRow="0" w:lastRow="0" w:firstColumn="0" w:lastColumn="0" w:oddVBand="0" w:evenVBand="0" w:oddHBand="0" w:evenHBand="0" w:firstRowFirstColumn="0" w:firstRowLastColumn="0" w:lastRowFirstColumn="0" w:lastRowLastColumn="0"/>
            </w:pPr>
          </w:p>
        </w:tc>
        <w:tc>
          <w:tcPr>
            <w:tcW w:w="2233" w:type="dxa"/>
            <w:tcBorders>
              <w:top w:val="single" w:sz="4" w:space="0" w:color="auto"/>
            </w:tcBorders>
          </w:tcPr>
          <w:p w14:paraId="17FBE4FE" w14:textId="77777777" w:rsidR="004D0DE7" w:rsidRDefault="004D0DE7" w:rsidP="00B030C5">
            <w:pPr>
              <w:spacing w:line="240" w:lineRule="auto"/>
              <w:cnfStyle w:val="000000000000" w:firstRow="0" w:lastRow="0" w:firstColumn="0" w:lastColumn="0" w:oddVBand="0" w:evenVBand="0" w:oddHBand="0" w:evenHBand="0" w:firstRowFirstColumn="0" w:firstRowLastColumn="0" w:lastRowFirstColumn="0" w:lastRowLastColumn="0"/>
            </w:pPr>
          </w:p>
        </w:tc>
      </w:tr>
      <w:tr w:rsidR="004D0DE7" w:rsidRPr="00BA7B68" w14:paraId="6030D292" w14:textId="77777777" w:rsidTr="004D0DE7">
        <w:trPr>
          <w:trHeight w:val="281"/>
          <w:jc w:val="center"/>
        </w:trPr>
        <w:tc>
          <w:tcPr>
            <w:cnfStyle w:val="001000000000" w:firstRow="0" w:lastRow="0" w:firstColumn="1" w:lastColumn="0" w:oddVBand="0" w:evenVBand="0" w:oddHBand="0" w:evenHBand="0" w:firstRowFirstColumn="0" w:firstRowLastColumn="0" w:lastRowFirstColumn="0" w:lastRowLastColumn="0"/>
            <w:tcW w:w="1324" w:type="dxa"/>
          </w:tcPr>
          <w:p w14:paraId="4BB39C18" w14:textId="7E522932" w:rsidR="004D0DE7" w:rsidRDefault="004D0DE7" w:rsidP="004D0DE7">
            <w:pPr>
              <w:spacing w:line="240" w:lineRule="auto"/>
              <w:rPr>
                <w:rFonts w:eastAsia="Times New Roman"/>
              </w:rPr>
            </w:pPr>
            <m:oMathPara>
              <m:oMath>
                <m:r>
                  <m:rPr>
                    <m:sty m:val="bi"/>
                  </m:rPr>
                  <w:rPr>
                    <w:rFonts w:ascii="Cambria Math" w:hAnsi="Cambria Math"/>
                  </w:rPr>
                  <m:t>prod</m:t>
                </m:r>
              </m:oMath>
            </m:oMathPara>
          </w:p>
        </w:tc>
        <w:tc>
          <w:tcPr>
            <w:tcW w:w="1003" w:type="dxa"/>
            <w:tcBorders>
              <w:right w:val="single" w:sz="4" w:space="0" w:color="auto"/>
            </w:tcBorders>
          </w:tcPr>
          <w:p w14:paraId="44781BB6" w14:textId="60A79E17" w:rsidR="004D0DE7" w:rsidRDefault="004D0DE7" w:rsidP="004D0DE7">
            <w:pPr>
              <w:spacing w:line="240" w:lineRule="auto"/>
              <w:jc w:val="right"/>
              <w:cnfStyle w:val="000000000000" w:firstRow="0" w:lastRow="0" w:firstColumn="0" w:lastColumn="0" w:oddVBand="0" w:evenVBand="0" w:oddHBand="0" w:evenHBand="0" w:firstRowFirstColumn="0" w:firstRowLastColumn="0" w:lastRowFirstColumn="0" w:lastRowLastColumn="0"/>
            </w:pPr>
            <w:r>
              <w:t>0</w:t>
            </w:r>
          </w:p>
        </w:tc>
        <w:tc>
          <w:tcPr>
            <w:tcW w:w="2233" w:type="dxa"/>
            <w:tcBorders>
              <w:left w:val="single" w:sz="4" w:space="0" w:color="auto"/>
            </w:tcBorders>
          </w:tcPr>
          <w:p w14:paraId="4ECBEA89" w14:textId="4D08C036" w:rsidR="004D0DE7" w:rsidRPr="004D0DE7" w:rsidRDefault="004D0DE7" w:rsidP="004D0DE7">
            <w:pPr>
              <w:spacing w:line="240" w:lineRule="auto"/>
              <w:cnfStyle w:val="000000000000" w:firstRow="0" w:lastRow="0" w:firstColumn="0" w:lastColumn="0" w:oddVBand="0" w:evenVBand="0" w:oddHBand="0" w:evenHBand="0" w:firstRowFirstColumn="0" w:firstRowLastColumn="0" w:lastRowFirstColumn="0" w:lastRowLastColumn="0"/>
            </w:pPr>
            <w:r w:rsidRPr="004D0DE7">
              <w:t>0.0163</w:t>
            </w:r>
            <w:r>
              <w:t>**</w:t>
            </w:r>
          </w:p>
        </w:tc>
        <w:tc>
          <w:tcPr>
            <w:tcW w:w="2233" w:type="dxa"/>
          </w:tcPr>
          <w:p w14:paraId="7FF1664D" w14:textId="7249D873" w:rsidR="004D0DE7" w:rsidRDefault="004D0DE7" w:rsidP="004D0DE7">
            <w:pPr>
              <w:spacing w:line="240" w:lineRule="auto"/>
              <w:cnfStyle w:val="000000000000" w:firstRow="0" w:lastRow="0" w:firstColumn="0" w:lastColumn="0" w:oddVBand="0" w:evenVBand="0" w:oddHBand="0" w:evenHBand="0" w:firstRowFirstColumn="0" w:firstRowLastColumn="0" w:lastRowFirstColumn="0" w:lastRowLastColumn="0"/>
            </w:pPr>
            <w:r w:rsidRPr="004D0DE7">
              <w:t>0.0022</w:t>
            </w:r>
            <w:r>
              <w:t>***</w:t>
            </w:r>
          </w:p>
        </w:tc>
        <w:tc>
          <w:tcPr>
            <w:tcW w:w="2233" w:type="dxa"/>
          </w:tcPr>
          <w:p w14:paraId="6AEEA4B0" w14:textId="40BA7AE0" w:rsidR="004D0DE7" w:rsidRDefault="004D0DE7" w:rsidP="004D0DE7">
            <w:pPr>
              <w:spacing w:line="240" w:lineRule="auto"/>
              <w:cnfStyle w:val="000000000000" w:firstRow="0" w:lastRow="0" w:firstColumn="0" w:lastColumn="0" w:oddVBand="0" w:evenVBand="0" w:oddHBand="0" w:evenHBand="0" w:firstRowFirstColumn="0" w:firstRowLastColumn="0" w:lastRowFirstColumn="0" w:lastRowLastColumn="0"/>
            </w:pPr>
            <w:r w:rsidRPr="004D0DE7">
              <w:t>0.0183</w:t>
            </w:r>
            <w:r>
              <w:t>**</w:t>
            </w:r>
          </w:p>
        </w:tc>
      </w:tr>
      <w:tr w:rsidR="004D0DE7" w:rsidRPr="00BA7B68" w14:paraId="3DF1DADC" w14:textId="77777777" w:rsidTr="003B66F9">
        <w:trPr>
          <w:trHeight w:val="281"/>
          <w:jc w:val="center"/>
        </w:trPr>
        <w:tc>
          <w:tcPr>
            <w:cnfStyle w:val="001000000000" w:firstRow="0" w:lastRow="0" w:firstColumn="1" w:lastColumn="0" w:oddVBand="0" w:evenVBand="0" w:oddHBand="0" w:evenHBand="0" w:firstRowFirstColumn="0" w:firstRowLastColumn="0" w:lastRowFirstColumn="0" w:lastRowLastColumn="0"/>
            <w:tcW w:w="1324" w:type="dxa"/>
          </w:tcPr>
          <w:p w14:paraId="598A9EED" w14:textId="14AD97E8" w:rsidR="004D0DE7" w:rsidRDefault="004D0DE7" w:rsidP="004D0DE7">
            <w:pPr>
              <w:spacing w:line="240" w:lineRule="auto"/>
              <w:rPr>
                <w:rFonts w:eastAsia="Times New Roman"/>
              </w:rPr>
            </w:pPr>
            <m:oMathPara>
              <m:oMath>
                <m:r>
                  <m:rPr>
                    <m:sty m:val="bi"/>
                  </m:rPr>
                  <w:rPr>
                    <w:rFonts w:ascii="Cambria Math" w:eastAsia="Times New Roman" w:hAnsi="Cambria Math"/>
                  </w:rPr>
                  <m:t>com</m:t>
                </m:r>
                <m:sSub>
                  <m:sSubPr>
                    <m:ctrlPr>
                      <w:rPr>
                        <w:rFonts w:ascii="Cambria Math" w:eastAsia="Times New Roman" w:hAnsi="Cambria Math"/>
                        <w:b w:val="0"/>
                        <w:bCs w:val="0"/>
                        <w:i/>
                      </w:rPr>
                    </m:ctrlPr>
                  </m:sSubPr>
                  <m:e>
                    <m:r>
                      <m:rPr>
                        <m:sty m:val="bi"/>
                      </m:rPr>
                      <w:rPr>
                        <w:rFonts w:ascii="Cambria Math" w:eastAsia="Times New Roman" w:hAnsi="Cambria Math"/>
                      </w:rPr>
                      <m:t>p</m:t>
                    </m:r>
                    <m:ctrlPr>
                      <w:rPr>
                        <w:rFonts w:ascii="Cambria Math" w:eastAsia="Times New Roman" w:hAnsi="Cambria Math"/>
                        <w:i/>
                      </w:rPr>
                    </m:ctrlPr>
                  </m:e>
                  <m:sub>
                    <m:r>
                      <m:rPr>
                        <m:sty m:val="bi"/>
                      </m:rPr>
                      <w:rPr>
                        <w:rFonts w:ascii="Cambria Math" w:eastAsia="Times New Roman" w:hAnsi="Cambria Math"/>
                      </w:rPr>
                      <m:t>mean</m:t>
                    </m:r>
                  </m:sub>
                </m:sSub>
              </m:oMath>
            </m:oMathPara>
          </w:p>
        </w:tc>
        <w:tc>
          <w:tcPr>
            <w:tcW w:w="1003" w:type="dxa"/>
            <w:tcBorders>
              <w:right w:val="single" w:sz="4" w:space="0" w:color="auto"/>
            </w:tcBorders>
          </w:tcPr>
          <w:p w14:paraId="35FFDA1E" w14:textId="1833DBE8" w:rsidR="004D0DE7" w:rsidRDefault="004D0DE7" w:rsidP="004D0DE7">
            <w:pPr>
              <w:spacing w:line="240" w:lineRule="auto"/>
              <w:jc w:val="right"/>
              <w:cnfStyle w:val="000000000000" w:firstRow="0" w:lastRow="0" w:firstColumn="0" w:lastColumn="0" w:oddVBand="0" w:evenVBand="0" w:oddHBand="0" w:evenHBand="0" w:firstRowFirstColumn="0" w:firstRowLastColumn="0" w:lastRowFirstColumn="0" w:lastRowLastColumn="0"/>
            </w:pPr>
            <w:r>
              <w:t>0</w:t>
            </w:r>
          </w:p>
        </w:tc>
        <w:tc>
          <w:tcPr>
            <w:tcW w:w="2233" w:type="dxa"/>
            <w:tcBorders>
              <w:left w:val="single" w:sz="4" w:space="0" w:color="auto"/>
            </w:tcBorders>
          </w:tcPr>
          <w:p w14:paraId="335F7994" w14:textId="376D6DC9" w:rsidR="004D0DE7" w:rsidRPr="004D0DE7" w:rsidRDefault="004D0DE7" w:rsidP="004D0DE7">
            <w:pPr>
              <w:spacing w:line="240" w:lineRule="auto"/>
              <w:cnfStyle w:val="000000000000" w:firstRow="0" w:lastRow="0" w:firstColumn="0" w:lastColumn="0" w:oddVBand="0" w:evenVBand="0" w:oddHBand="0" w:evenHBand="0" w:firstRowFirstColumn="0" w:firstRowLastColumn="0" w:lastRowFirstColumn="0" w:lastRowLastColumn="0"/>
            </w:pPr>
            <w:r w:rsidRPr="004D0DE7">
              <w:t>0.3926</w:t>
            </w:r>
          </w:p>
        </w:tc>
        <w:tc>
          <w:tcPr>
            <w:tcW w:w="2233" w:type="dxa"/>
          </w:tcPr>
          <w:p w14:paraId="70C803F2" w14:textId="5C62C794" w:rsidR="004D0DE7" w:rsidRDefault="004D0DE7" w:rsidP="004D0DE7">
            <w:pPr>
              <w:spacing w:line="240" w:lineRule="auto"/>
              <w:cnfStyle w:val="000000000000" w:firstRow="0" w:lastRow="0" w:firstColumn="0" w:lastColumn="0" w:oddVBand="0" w:evenVBand="0" w:oddHBand="0" w:evenHBand="0" w:firstRowFirstColumn="0" w:firstRowLastColumn="0" w:lastRowFirstColumn="0" w:lastRowLastColumn="0"/>
            </w:pPr>
            <w:r w:rsidRPr="004D0DE7">
              <w:t>0.0346</w:t>
            </w:r>
            <w:r>
              <w:t>**</w:t>
            </w:r>
          </w:p>
        </w:tc>
        <w:tc>
          <w:tcPr>
            <w:tcW w:w="2233" w:type="dxa"/>
          </w:tcPr>
          <w:p w14:paraId="444C4B4E" w14:textId="4041DCD4" w:rsidR="004D0DE7" w:rsidRDefault="004D0DE7" w:rsidP="004D0DE7">
            <w:pPr>
              <w:spacing w:line="240" w:lineRule="auto"/>
              <w:cnfStyle w:val="000000000000" w:firstRow="0" w:lastRow="0" w:firstColumn="0" w:lastColumn="0" w:oddVBand="0" w:evenVBand="0" w:oddHBand="0" w:evenHBand="0" w:firstRowFirstColumn="0" w:firstRowLastColumn="0" w:lastRowFirstColumn="0" w:lastRowLastColumn="0"/>
            </w:pPr>
            <w:r w:rsidRPr="004D0DE7">
              <w:t>0.3202</w:t>
            </w:r>
          </w:p>
        </w:tc>
      </w:tr>
      <w:tr w:rsidR="003B66F9" w:rsidRPr="00BA7B68" w14:paraId="215F920C" w14:textId="77777777" w:rsidTr="003B66F9">
        <w:trPr>
          <w:trHeight w:val="474"/>
          <w:jc w:val="center"/>
        </w:trPr>
        <w:tc>
          <w:tcPr>
            <w:cnfStyle w:val="001000000000" w:firstRow="0" w:lastRow="0" w:firstColumn="1" w:lastColumn="0" w:oddVBand="0" w:evenVBand="0" w:oddHBand="0" w:evenHBand="0" w:firstRowFirstColumn="0" w:firstRowLastColumn="0" w:lastRowFirstColumn="0" w:lastRowLastColumn="0"/>
            <w:tcW w:w="1324" w:type="dxa"/>
            <w:tcBorders>
              <w:bottom w:val="single" w:sz="4" w:space="0" w:color="auto"/>
            </w:tcBorders>
          </w:tcPr>
          <w:p w14:paraId="57CA25A9" w14:textId="77777777" w:rsidR="003B66F9" w:rsidRDefault="003B66F9" w:rsidP="003B66F9">
            <w:pPr>
              <w:spacing w:line="240" w:lineRule="auto"/>
              <w:rPr>
                <w:rFonts w:eastAsia="Times New Roman"/>
              </w:rPr>
            </w:pPr>
          </w:p>
        </w:tc>
        <w:tc>
          <w:tcPr>
            <w:tcW w:w="7702" w:type="dxa"/>
            <w:gridSpan w:val="4"/>
            <w:tcBorders>
              <w:bottom w:val="single" w:sz="4" w:space="0" w:color="auto"/>
            </w:tcBorders>
            <w:vAlign w:val="bottom"/>
          </w:tcPr>
          <w:p w14:paraId="06706857" w14:textId="0FFE65A4" w:rsidR="003B66F9" w:rsidRPr="003B66F9" w:rsidRDefault="003B66F9" w:rsidP="003B66F9">
            <w:pPr>
              <w:spacing w:line="240" w:lineRule="auto"/>
              <w:cnfStyle w:val="000000000000" w:firstRow="0" w:lastRow="0" w:firstColumn="0" w:lastColumn="0" w:oddVBand="0" w:evenVBand="0" w:oddHBand="0" w:evenHBand="0" w:firstRowFirstColumn="0" w:firstRowLastColumn="0" w:lastRowFirstColumn="0" w:lastRowLastColumn="0"/>
            </w:pPr>
            <w:r w:rsidRPr="003B66F9">
              <w:t>[*,**,***] indicate rejection at the [1%,5%,10%] significance level.</w:t>
            </w:r>
          </w:p>
        </w:tc>
      </w:tr>
    </w:tbl>
    <w:p w14:paraId="6107177B" w14:textId="1C87FA98" w:rsidR="00B030C5" w:rsidRDefault="004D0DE7" w:rsidP="00985227">
      <w:pPr>
        <w:spacing w:before="240"/>
      </w:pPr>
      <w:r>
        <w:t xml:space="preserve">Neither </w:t>
      </w:r>
      <m:oMath>
        <m:r>
          <w:rPr>
            <w:rFonts w:ascii="Cambria Math" w:hAnsi="Cambria Math"/>
          </w:rPr>
          <m:t>prod</m:t>
        </m:r>
      </m:oMath>
      <w:r>
        <w:t xml:space="preserve"> nor </w:t>
      </w:r>
      <m:oMath>
        <m:r>
          <w:rPr>
            <w:rFonts w:ascii="Cambria Math" w:hAnsi="Cambria Math"/>
          </w:rPr>
          <m:t>com</m:t>
        </m:r>
        <m:sSub>
          <m:sSubPr>
            <m:ctrlPr>
              <w:rPr>
                <w:rFonts w:ascii="Cambria Math" w:hAnsi="Cambria Math"/>
                <w:i/>
              </w:rPr>
            </m:ctrlPr>
          </m:sSubPr>
          <m:e>
            <m:r>
              <w:rPr>
                <w:rFonts w:ascii="Cambria Math" w:hAnsi="Cambria Math"/>
              </w:rPr>
              <m:t>p</m:t>
            </m:r>
          </m:e>
          <m:sub>
            <m:r>
              <w:rPr>
                <w:rFonts w:ascii="Cambria Math" w:hAnsi="Cambria Math"/>
              </w:rPr>
              <m:t>mean</m:t>
            </m:r>
          </m:sub>
        </m:sSub>
      </m:oMath>
      <w:r>
        <w:t xml:space="preserve"> can fully reject the null that they have a unit root. As such, they are differenced and tested again. At first difference </w:t>
      </w:r>
      <m:oMath>
        <m:r>
          <m:rPr>
            <m:sty m:val="p"/>
          </m:rPr>
          <w:rPr>
            <w:rFonts w:ascii="Cambria Math" w:hAnsi="Cambria Math"/>
          </w:rPr>
          <m:t>Δ</m:t>
        </m:r>
        <m:r>
          <w:rPr>
            <w:rFonts w:ascii="Cambria Math" w:hAnsi="Cambria Math"/>
          </w:rPr>
          <m:t>prod</m:t>
        </m:r>
      </m:oMath>
      <w:r>
        <w:t xml:space="preserve"> </w:t>
      </w:r>
      <w:r w:rsidRPr="003B66F9">
        <w:rPr>
          <w:b/>
          <w:bCs/>
        </w:rPr>
        <w:t>is stationary</w:t>
      </w:r>
      <w:r>
        <w:t xml:space="preserve"> but </w:t>
      </w:r>
      <m:oMath>
        <m:r>
          <m:rPr>
            <m:sty m:val="p"/>
          </m:rPr>
          <w:rPr>
            <w:rFonts w:ascii="Cambria Math" w:hAnsi="Cambria Math"/>
          </w:rPr>
          <m:t>Δ</m:t>
        </m:r>
        <m:r>
          <w:rPr>
            <w:rFonts w:ascii="Cambria Math" w:hAnsi="Cambria Math"/>
          </w:rPr>
          <m:t>com</m:t>
        </m:r>
        <m:sSub>
          <m:sSubPr>
            <m:ctrlPr>
              <w:rPr>
                <w:rFonts w:ascii="Cambria Math" w:hAnsi="Cambria Math"/>
                <w:i/>
              </w:rPr>
            </m:ctrlPr>
          </m:sSubPr>
          <m:e>
            <m:r>
              <w:rPr>
                <w:rFonts w:ascii="Cambria Math" w:hAnsi="Cambria Math"/>
              </w:rPr>
              <m:t>p</m:t>
            </m:r>
          </m:e>
          <m:sub>
            <m:r>
              <w:rPr>
                <w:rFonts w:ascii="Cambria Math" w:hAnsi="Cambria Math"/>
              </w:rPr>
              <m:t>mean</m:t>
            </m:r>
          </m:sub>
        </m:sSub>
      </m:oMath>
      <w:r>
        <w:t xml:space="preserve"> appears to be a random walk without drift.</w:t>
      </w:r>
      <w:r w:rsidR="003B66F9">
        <w:t xml:space="preserve"> </w:t>
      </w:r>
      <m:oMath>
        <m:r>
          <w:rPr>
            <w:rFonts w:ascii="Cambria Math" w:hAnsi="Cambria Math"/>
          </w:rPr>
          <m:t>inf</m:t>
        </m:r>
      </m:oMath>
      <w:r w:rsidR="003B66F9">
        <w:t xml:space="preserve"> is stationary at levels.</w:t>
      </w:r>
    </w:p>
    <w:p w14:paraId="04657BD5" w14:textId="5F49622D" w:rsidR="00B2243B" w:rsidRDefault="00B2243B" w:rsidP="00985227">
      <w:pPr>
        <w:spacing w:before="240"/>
      </w:pPr>
      <w:r>
        <w:t xml:space="preserve">Upon closer inspection </w:t>
      </w:r>
      <m:oMath>
        <m:r>
          <m:rPr>
            <m:sty m:val="p"/>
          </m:rPr>
          <w:rPr>
            <w:rFonts w:ascii="Cambria Math" w:hAnsi="Cambria Math"/>
          </w:rPr>
          <m:t>Δ</m:t>
        </m:r>
        <m:r>
          <w:rPr>
            <w:rFonts w:ascii="Cambria Math" w:hAnsi="Cambria Math"/>
          </w:rPr>
          <m:t>com</m:t>
        </m:r>
        <m:sSub>
          <m:sSubPr>
            <m:ctrlPr>
              <w:rPr>
                <w:rFonts w:ascii="Cambria Math" w:hAnsi="Cambria Math"/>
                <w:i/>
              </w:rPr>
            </m:ctrlPr>
          </m:sSubPr>
          <m:e>
            <m:r>
              <w:rPr>
                <w:rFonts w:ascii="Cambria Math" w:hAnsi="Cambria Math"/>
              </w:rPr>
              <m:t>p</m:t>
            </m:r>
          </m:e>
          <m:sub>
            <m:r>
              <w:rPr>
                <w:rFonts w:ascii="Cambria Math" w:hAnsi="Cambria Math"/>
              </w:rPr>
              <m:t>mean</m:t>
            </m:r>
          </m:sub>
        </m:sSub>
      </m:oMath>
      <w:r>
        <w:t xml:space="preserve"> appears to be exhibiting a structural break; see figure A1. It appears to fluctuate around a mean value prior to 2007-8, which causes it to crash and fluctuate around a new mean value.</w:t>
      </w:r>
    </w:p>
    <w:p w14:paraId="468A4F03" w14:textId="4FF321EE" w:rsidR="00B2243B" w:rsidRDefault="00B2243B" w:rsidP="00B2243B">
      <w:pPr>
        <w:spacing w:before="240"/>
        <w:jc w:val="center"/>
      </w:pPr>
      <w:r>
        <w:rPr>
          <w:noProof/>
        </w:rPr>
        <w:drawing>
          <wp:inline distT="0" distB="0" distL="0" distR="0" wp14:anchorId="3D69941C" wp14:editId="75050912">
            <wp:extent cx="3840480" cy="2496355"/>
            <wp:effectExtent l="0" t="0" r="7620" b="0"/>
            <wp:docPr id="90426381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63810" name="Picture 1" descr="A graph with a line graph&#10;&#10;AI-generated content may be incorrect."/>
                    <pic:cNvPicPr/>
                  </pic:nvPicPr>
                  <pic:blipFill>
                    <a:blip r:embed="rId23"/>
                    <a:stretch>
                      <a:fillRect/>
                    </a:stretch>
                  </pic:blipFill>
                  <pic:spPr>
                    <a:xfrm>
                      <a:off x="0" y="0"/>
                      <a:ext cx="3852099" cy="2503908"/>
                    </a:xfrm>
                    <a:prstGeom prst="rect">
                      <a:avLst/>
                    </a:prstGeom>
                  </pic:spPr>
                </pic:pic>
              </a:graphicData>
            </a:graphic>
          </wp:inline>
        </w:drawing>
      </w:r>
    </w:p>
    <w:p w14:paraId="64D7FB5C" w14:textId="3ACDBA52" w:rsidR="00B2243B" w:rsidRDefault="00B2243B" w:rsidP="00B2243B">
      <w:pPr>
        <w:spacing w:before="240"/>
        <w:jc w:val="center"/>
        <w:rPr>
          <w:i/>
          <w:iCs/>
          <w:color w:val="FF0000"/>
        </w:rPr>
      </w:pPr>
      <w:r>
        <w:rPr>
          <w:i/>
          <w:iCs/>
        </w:rPr>
        <w:t xml:space="preserve">Figure A1 – Own illustration using STATA. Data is available from </w:t>
      </w:r>
      <w:r w:rsidRPr="00B2243B">
        <w:rPr>
          <w:i/>
          <w:iCs/>
          <w:color w:val="FF0000"/>
        </w:rPr>
        <w:t>[]</w:t>
      </w:r>
    </w:p>
    <w:p w14:paraId="01ED17B1" w14:textId="67193A11" w:rsidR="00B2243B" w:rsidRPr="00B2243B" w:rsidRDefault="00B2243B" w:rsidP="00B2243B">
      <w:pPr>
        <w:spacing w:before="240"/>
      </w:pPr>
      <m:oMath>
        <m:r>
          <m:rPr>
            <m:sty m:val="p"/>
          </m:rPr>
          <w:rPr>
            <w:rFonts w:ascii="Cambria Math" w:hAnsi="Cambria Math"/>
          </w:rPr>
          <m:t>Δ</m:t>
        </m:r>
        <m:r>
          <w:rPr>
            <w:rFonts w:ascii="Cambria Math" w:hAnsi="Cambria Math"/>
          </w:rPr>
          <m:t>com</m:t>
        </m:r>
        <m:sSub>
          <m:sSubPr>
            <m:ctrlPr>
              <w:rPr>
                <w:rFonts w:ascii="Cambria Math" w:hAnsi="Cambria Math"/>
                <w:i/>
              </w:rPr>
            </m:ctrlPr>
          </m:sSubPr>
          <m:e>
            <m:r>
              <w:rPr>
                <w:rFonts w:ascii="Cambria Math" w:hAnsi="Cambria Math"/>
              </w:rPr>
              <m:t>p</m:t>
            </m:r>
          </m:e>
          <m:sub>
            <m:r>
              <w:rPr>
                <w:rFonts w:ascii="Cambria Math" w:hAnsi="Cambria Math"/>
              </w:rPr>
              <m:t>mean</m:t>
            </m:r>
          </m:sub>
        </m:sSub>
      </m:oMath>
      <w:r>
        <w:t xml:space="preserve"> is therefore tested for structural breaks with mean and median wages.</w:t>
      </w:r>
    </w:p>
    <w:p w14:paraId="36ADCCE3" w14:textId="1FDDADA6" w:rsidR="00B030C5" w:rsidRDefault="00B030C5" w:rsidP="00B030C5">
      <w:r>
        <w:t xml:space="preserve"> The </w:t>
      </w:r>
      <w:r w:rsidRPr="003616E1">
        <w:t>Clemente-</w:t>
      </w:r>
      <w:proofErr w:type="spellStart"/>
      <w:r w:rsidRPr="003616E1">
        <w:t>Montañés</w:t>
      </w:r>
      <w:proofErr w:type="spellEnd"/>
      <w:r w:rsidRPr="003616E1">
        <w:t>-Reyes</w:t>
      </w:r>
      <w:r>
        <w:t xml:space="preserve"> (CMR) test on STATA </w:t>
      </w:r>
      <w:sdt>
        <w:sdtPr>
          <w:id w:val="-823593598"/>
          <w:citation/>
        </w:sdtPr>
        <w:sdtContent>
          <w:r>
            <w:fldChar w:fldCharType="begin"/>
          </w:r>
          <w:r>
            <w:instrText xml:space="preserve"> CITATION Bau18 \l 2057 </w:instrText>
          </w:r>
          <w:r>
            <w:fldChar w:fldCharType="separate"/>
          </w:r>
          <w:r w:rsidR="007D5421" w:rsidRPr="007D5421">
            <w:rPr>
              <w:noProof/>
            </w:rPr>
            <w:t>(Baum, 2018)</w:t>
          </w:r>
          <w:r>
            <w:fldChar w:fldCharType="end"/>
          </w:r>
        </w:sdtContent>
      </w:sdt>
      <w:r>
        <w:t xml:space="preserve"> uses the Perron </w:t>
      </w:r>
      <w:sdt>
        <w:sdtPr>
          <w:id w:val="787089940"/>
          <w:citation/>
        </w:sdtPr>
        <w:sdtContent>
          <w:r>
            <w:fldChar w:fldCharType="begin"/>
          </w:r>
          <w:r>
            <w:instrText xml:space="preserve">CITATION Per92 \n  \t  \l 2057 </w:instrText>
          </w:r>
          <w:r>
            <w:fldChar w:fldCharType="separate"/>
          </w:r>
          <w:r w:rsidR="007D5421" w:rsidRPr="007D5421">
            <w:rPr>
              <w:noProof/>
            </w:rPr>
            <w:t>(1992)</w:t>
          </w:r>
          <w:r>
            <w:fldChar w:fldCharType="end"/>
          </w:r>
        </w:sdtContent>
      </w:sdt>
      <w:r>
        <w:t xml:space="preserve"> methodology and critical values to test for the presence of a single structural break and a unit root. These tests determine break points endogenously and thus let the data speak for itself.</w:t>
      </w:r>
      <w:r w:rsidRPr="00B030C5">
        <w:t xml:space="preserve"> </w:t>
      </w:r>
      <w:r>
        <w:t xml:space="preserve">IO and AO stand for Innovative Outlier and Additive Outlier, respectively. The IO model is used when the structural break is assumed to take place gradually, the AO model when the break takes place instantaneously </w:t>
      </w:r>
      <w:sdt>
        <w:sdtPr>
          <w:id w:val="-32588494"/>
          <w:citation/>
        </w:sdtPr>
        <w:sdtContent>
          <w:r>
            <w:fldChar w:fldCharType="begin"/>
          </w:r>
          <w:r>
            <w:instrText xml:space="preserve">CITATION Per92 \p 303-304 \l 2057 </w:instrText>
          </w:r>
          <w:r>
            <w:fldChar w:fldCharType="separate"/>
          </w:r>
          <w:r w:rsidR="007D5421" w:rsidRPr="007D5421">
            <w:rPr>
              <w:noProof/>
            </w:rPr>
            <w:t>(Perron &amp; Vogelsang, 1992, pp. 303-304)</w:t>
          </w:r>
          <w:r>
            <w:fldChar w:fldCharType="end"/>
          </w:r>
        </w:sdtContent>
      </w:sdt>
      <w:r>
        <w:t>; they therefore generate different estimates for when structural breaking occurs. These test statistics are significant if the null hypothesis of a unit root is rejected.</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B030C5" w:rsidRPr="00BA7B68" w14:paraId="331B9A9F" w14:textId="77777777" w:rsidTr="00970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bottom w:val="single" w:sz="4" w:space="0" w:color="auto"/>
            </w:tcBorders>
          </w:tcPr>
          <w:p w14:paraId="68B2EC2E" w14:textId="18408E06" w:rsidR="00B030C5" w:rsidRDefault="00B030C5" w:rsidP="009706C9">
            <w:pPr>
              <w:jc w:val="center"/>
            </w:pPr>
            <w:r>
              <w:t xml:space="preserve">Table </w:t>
            </w:r>
            <w:r w:rsidR="004D0DE7">
              <w:t>A2</w:t>
            </w:r>
            <w:r>
              <w:t xml:space="preserve"> – CMR test results </w:t>
            </w:r>
          </w:p>
        </w:tc>
      </w:tr>
      <w:tr w:rsidR="00B030C5" w:rsidRPr="00BA7B68" w14:paraId="7F99D191" w14:textId="77777777" w:rsidTr="009706C9">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45078D8B" w14:textId="77777777" w:rsidR="00B030C5" w:rsidRPr="00BA7B68" w:rsidRDefault="00B030C5" w:rsidP="009706C9">
            <w:r w:rsidRPr="00BA7B68">
              <w:t>Variables</w:t>
            </w:r>
          </w:p>
        </w:tc>
        <w:tc>
          <w:tcPr>
            <w:tcW w:w="2254" w:type="dxa"/>
            <w:tcBorders>
              <w:top w:val="single" w:sz="4" w:space="0" w:color="auto"/>
              <w:bottom w:val="single" w:sz="4" w:space="0" w:color="auto"/>
            </w:tcBorders>
          </w:tcPr>
          <w:p w14:paraId="4DCDE7C9" w14:textId="77777777" w:rsidR="00B030C5" w:rsidRPr="00BA7B68" w:rsidRDefault="00B030C5" w:rsidP="009706C9">
            <w:pPr>
              <w:cnfStyle w:val="000000000000" w:firstRow="0" w:lastRow="0" w:firstColumn="0" w:lastColumn="0" w:oddVBand="0" w:evenVBand="0" w:oddHBand="0" w:evenHBand="0" w:firstRowFirstColumn="0" w:firstRowLastColumn="0" w:lastRowFirstColumn="0" w:lastRowLastColumn="0"/>
            </w:pPr>
            <w:r w:rsidRPr="00BA7B68">
              <w:t>CMR Test Statistic (IO)</w:t>
            </w:r>
          </w:p>
        </w:tc>
        <w:tc>
          <w:tcPr>
            <w:tcW w:w="2254" w:type="dxa"/>
            <w:tcBorders>
              <w:top w:val="single" w:sz="4" w:space="0" w:color="auto"/>
              <w:bottom w:val="single" w:sz="4" w:space="0" w:color="auto"/>
            </w:tcBorders>
          </w:tcPr>
          <w:p w14:paraId="6F41DF23" w14:textId="77777777" w:rsidR="00B030C5" w:rsidRPr="00BA7B68" w:rsidRDefault="00B030C5" w:rsidP="009706C9">
            <w:pPr>
              <w:cnfStyle w:val="000000000000" w:firstRow="0" w:lastRow="0" w:firstColumn="0" w:lastColumn="0" w:oddVBand="0" w:evenVBand="0" w:oddHBand="0" w:evenHBand="0" w:firstRowFirstColumn="0" w:firstRowLastColumn="0" w:lastRowFirstColumn="0" w:lastRowLastColumn="0"/>
            </w:pPr>
            <w:r w:rsidRPr="00BA7B68">
              <w:t>CMR Test Statistic (AO)</w:t>
            </w:r>
          </w:p>
        </w:tc>
        <w:tc>
          <w:tcPr>
            <w:tcW w:w="2254" w:type="dxa"/>
            <w:tcBorders>
              <w:top w:val="single" w:sz="4" w:space="0" w:color="auto"/>
              <w:bottom w:val="single" w:sz="4" w:space="0" w:color="auto"/>
            </w:tcBorders>
          </w:tcPr>
          <w:p w14:paraId="4D1A28BE" w14:textId="77777777" w:rsidR="00B030C5" w:rsidRPr="00BA7B68" w:rsidRDefault="00B030C5" w:rsidP="009706C9">
            <w:pPr>
              <w:cnfStyle w:val="000000000000" w:firstRow="0" w:lastRow="0" w:firstColumn="0" w:lastColumn="0" w:oddVBand="0" w:evenVBand="0" w:oddHBand="0" w:evenHBand="0" w:firstRowFirstColumn="0" w:firstRowLastColumn="0" w:lastRowFirstColumn="0" w:lastRowLastColumn="0"/>
            </w:pPr>
            <w:r>
              <w:t>Break-Date (IO/AO)</w:t>
            </w:r>
          </w:p>
        </w:tc>
      </w:tr>
      <w:tr w:rsidR="00B030C5" w:rsidRPr="00BA7B68" w14:paraId="4FCC179C" w14:textId="77777777" w:rsidTr="009706C9">
        <w:tc>
          <w:tcPr>
            <w:cnfStyle w:val="001000000000" w:firstRow="0" w:lastRow="0" w:firstColumn="1" w:lastColumn="0" w:oddVBand="0" w:evenVBand="0" w:oddHBand="0" w:evenHBand="0" w:firstRowFirstColumn="0" w:firstRowLastColumn="0" w:lastRowFirstColumn="0" w:lastRowLastColumn="0"/>
            <w:tcW w:w="2254" w:type="dxa"/>
          </w:tcPr>
          <w:p w14:paraId="4B09B1FE" w14:textId="20D65091" w:rsidR="00B030C5" w:rsidRPr="005F114B" w:rsidRDefault="009C0C41" w:rsidP="009706C9">
            <w:pPr>
              <w:jc w:val="both"/>
              <w:rPr>
                <w:b w:val="0"/>
                <w:bCs w:val="0"/>
              </w:rPr>
            </w:pPr>
            <m:oMathPara>
              <m:oMathParaPr>
                <m:jc m:val="right"/>
              </m:oMathParaPr>
              <m:oMath>
                <m:r>
                  <m:rPr>
                    <m:sty m:val="bi"/>
                  </m:rPr>
                  <w:rPr>
                    <w:rFonts w:ascii="Cambria Math" w:hAnsi="Cambria Math"/>
                  </w:rPr>
                  <m:t>wag</m:t>
                </m:r>
                <m:sSub>
                  <m:sSubPr>
                    <m:ctrlPr>
                      <w:rPr>
                        <w:rFonts w:ascii="Cambria Math" w:hAnsi="Cambria Math"/>
                        <w:b w:val="0"/>
                        <w:bCs w:val="0"/>
                        <w:i/>
                      </w:rPr>
                    </m:ctrlPr>
                  </m:sSubPr>
                  <m:e>
                    <m:r>
                      <m:rPr>
                        <m:sty m:val="bi"/>
                      </m:rPr>
                      <w:rPr>
                        <w:rFonts w:ascii="Cambria Math" w:hAnsi="Cambria Math"/>
                      </w:rPr>
                      <m:t>e</m:t>
                    </m:r>
                    <m:ctrlPr>
                      <w:rPr>
                        <w:rFonts w:ascii="Cambria Math" w:hAnsi="Cambria Math"/>
                        <w:b w:val="0"/>
                        <w:i/>
                      </w:rPr>
                    </m:ctrlPr>
                  </m:e>
                  <m:sub>
                    <m:r>
                      <m:rPr>
                        <m:sty m:val="bi"/>
                      </m:rPr>
                      <w:rPr>
                        <w:rFonts w:ascii="Cambria Math" w:hAnsi="Cambria Math"/>
                      </w:rPr>
                      <m:t>median</m:t>
                    </m:r>
                  </m:sub>
                </m:sSub>
              </m:oMath>
            </m:oMathPara>
          </w:p>
        </w:tc>
        <w:tc>
          <w:tcPr>
            <w:tcW w:w="2254" w:type="dxa"/>
          </w:tcPr>
          <w:p w14:paraId="4DFE431A" w14:textId="534D8E54" w:rsidR="00B030C5" w:rsidRPr="00BA7B68" w:rsidRDefault="00B030C5" w:rsidP="009706C9">
            <w:pPr>
              <w:cnfStyle w:val="000000000000" w:firstRow="0" w:lastRow="0" w:firstColumn="0" w:lastColumn="0" w:oddVBand="0" w:evenVBand="0" w:oddHBand="0" w:evenHBand="0" w:firstRowFirstColumn="0" w:firstRowLastColumn="0" w:lastRowFirstColumn="0" w:lastRowLastColumn="0"/>
            </w:pPr>
            <w:r>
              <w:t>-</w:t>
            </w:r>
            <w:r w:rsidR="009C0C41">
              <w:t>2.637</w:t>
            </w:r>
          </w:p>
        </w:tc>
        <w:tc>
          <w:tcPr>
            <w:tcW w:w="2254" w:type="dxa"/>
          </w:tcPr>
          <w:p w14:paraId="2E611084" w14:textId="2411AB90" w:rsidR="00B030C5" w:rsidRPr="00BA7B68" w:rsidRDefault="00B030C5" w:rsidP="009706C9">
            <w:pPr>
              <w:cnfStyle w:val="000000000000" w:firstRow="0" w:lastRow="0" w:firstColumn="0" w:lastColumn="0" w:oddVBand="0" w:evenVBand="0" w:oddHBand="0" w:evenHBand="0" w:firstRowFirstColumn="0" w:firstRowLastColumn="0" w:lastRowFirstColumn="0" w:lastRowLastColumn="0"/>
            </w:pPr>
            <w:r>
              <w:t>-</w:t>
            </w:r>
            <w:r w:rsidR="009C0C41">
              <w:t>0.913</w:t>
            </w:r>
          </w:p>
        </w:tc>
        <w:tc>
          <w:tcPr>
            <w:tcW w:w="2254" w:type="dxa"/>
          </w:tcPr>
          <w:p w14:paraId="5CC36A26" w14:textId="1BC6E145" w:rsidR="00B030C5" w:rsidRPr="00BA7B68" w:rsidRDefault="009C0C41" w:rsidP="009706C9">
            <w:pPr>
              <w:cnfStyle w:val="000000000000" w:firstRow="0" w:lastRow="0" w:firstColumn="0" w:lastColumn="0" w:oddVBand="0" w:evenVBand="0" w:oddHBand="0" w:evenHBand="0" w:firstRowFirstColumn="0" w:firstRowLastColumn="0" w:lastRowFirstColumn="0" w:lastRowLastColumn="0"/>
            </w:pPr>
            <w:r>
              <w:t>2010</w:t>
            </w:r>
            <w:r w:rsidR="00B030C5">
              <w:t xml:space="preserve"> / 200</w:t>
            </w:r>
            <w:r>
              <w:t>3</w:t>
            </w:r>
          </w:p>
        </w:tc>
      </w:tr>
      <w:tr w:rsidR="00B030C5" w:rsidRPr="00BA7B68" w14:paraId="69772D8A" w14:textId="77777777" w:rsidTr="009706C9">
        <w:tc>
          <w:tcPr>
            <w:cnfStyle w:val="001000000000" w:firstRow="0" w:lastRow="0" w:firstColumn="1" w:lastColumn="0" w:oddVBand="0" w:evenVBand="0" w:oddHBand="0" w:evenHBand="0" w:firstRowFirstColumn="0" w:firstRowLastColumn="0" w:lastRowFirstColumn="0" w:lastRowLastColumn="0"/>
            <w:tcW w:w="2254" w:type="dxa"/>
          </w:tcPr>
          <w:p w14:paraId="2B163728" w14:textId="6DCE970E" w:rsidR="00B030C5" w:rsidRPr="00B030C5" w:rsidRDefault="009C0C41" w:rsidP="009706C9">
            <w:pPr>
              <w:jc w:val="both"/>
              <w:rPr>
                <w:rFonts w:eastAsia="Times New Roman"/>
                <w:bCs w:val="0"/>
              </w:rPr>
            </w:pPr>
            <m:oMathPara>
              <m:oMathParaPr>
                <m:jc m:val="right"/>
              </m:oMathParaPr>
              <m:oMath>
                <m:r>
                  <m:rPr>
                    <m:sty m:val="bi"/>
                  </m:rPr>
                  <w:rPr>
                    <w:rFonts w:ascii="Cambria Math" w:eastAsia="Times New Roman" w:hAnsi="Cambria Math"/>
                  </w:rPr>
                  <m:t>wag</m:t>
                </m:r>
                <m:sSub>
                  <m:sSubPr>
                    <m:ctrlPr>
                      <w:rPr>
                        <w:rFonts w:ascii="Cambria Math" w:eastAsia="Times New Roman" w:hAnsi="Cambria Math"/>
                        <w:b w:val="0"/>
                        <w:i/>
                      </w:rPr>
                    </m:ctrlPr>
                  </m:sSubPr>
                  <m:e>
                    <m:r>
                      <m:rPr>
                        <m:sty m:val="bi"/>
                      </m:rPr>
                      <w:rPr>
                        <w:rFonts w:ascii="Cambria Math" w:eastAsia="Times New Roman" w:hAnsi="Cambria Math"/>
                      </w:rPr>
                      <m:t>e</m:t>
                    </m:r>
                    <m:ctrlPr>
                      <w:rPr>
                        <w:rFonts w:ascii="Cambria Math" w:eastAsia="Times New Roman" w:hAnsi="Cambria Math"/>
                        <w:bCs w:val="0"/>
                        <w:i/>
                      </w:rPr>
                    </m:ctrlPr>
                  </m:e>
                  <m:sub>
                    <m:r>
                      <m:rPr>
                        <m:sty m:val="bi"/>
                      </m:rPr>
                      <w:rPr>
                        <w:rFonts w:ascii="Cambria Math" w:eastAsia="Times New Roman" w:hAnsi="Cambria Math"/>
                      </w:rPr>
                      <m:t>mean</m:t>
                    </m:r>
                  </m:sub>
                </m:sSub>
              </m:oMath>
            </m:oMathPara>
          </w:p>
        </w:tc>
        <w:tc>
          <w:tcPr>
            <w:tcW w:w="2254" w:type="dxa"/>
          </w:tcPr>
          <w:p w14:paraId="0E4ECAE8" w14:textId="01914FAA" w:rsidR="00B030C5" w:rsidRDefault="009C0C41" w:rsidP="009706C9">
            <w:pPr>
              <w:cnfStyle w:val="000000000000" w:firstRow="0" w:lastRow="0" w:firstColumn="0" w:lastColumn="0" w:oddVBand="0" w:evenVBand="0" w:oddHBand="0" w:evenHBand="0" w:firstRowFirstColumn="0" w:firstRowLastColumn="0" w:lastRowFirstColumn="0" w:lastRowLastColumn="0"/>
            </w:pPr>
            <w:r>
              <w:t>-2.912</w:t>
            </w:r>
          </w:p>
        </w:tc>
        <w:tc>
          <w:tcPr>
            <w:tcW w:w="2254" w:type="dxa"/>
          </w:tcPr>
          <w:p w14:paraId="7FCAE3CB" w14:textId="4C9BDB04" w:rsidR="00B030C5" w:rsidRDefault="009C0C41" w:rsidP="009706C9">
            <w:pPr>
              <w:cnfStyle w:val="000000000000" w:firstRow="0" w:lastRow="0" w:firstColumn="0" w:lastColumn="0" w:oddVBand="0" w:evenVBand="0" w:oddHBand="0" w:evenHBand="0" w:firstRowFirstColumn="0" w:firstRowLastColumn="0" w:lastRowFirstColumn="0" w:lastRowLastColumn="0"/>
            </w:pPr>
            <w:r>
              <w:t>-3.452</w:t>
            </w:r>
          </w:p>
        </w:tc>
        <w:tc>
          <w:tcPr>
            <w:tcW w:w="2254" w:type="dxa"/>
          </w:tcPr>
          <w:p w14:paraId="2591E7D2" w14:textId="03155A61" w:rsidR="00B030C5" w:rsidRDefault="009C0C41" w:rsidP="009706C9">
            <w:pPr>
              <w:cnfStyle w:val="000000000000" w:firstRow="0" w:lastRow="0" w:firstColumn="0" w:lastColumn="0" w:oddVBand="0" w:evenVBand="0" w:oddHBand="0" w:evenHBand="0" w:firstRowFirstColumn="0" w:firstRowLastColumn="0" w:lastRowFirstColumn="0" w:lastRowLastColumn="0"/>
            </w:pPr>
            <w:r>
              <w:t>1998 / 2003</w:t>
            </w:r>
          </w:p>
        </w:tc>
      </w:tr>
      <w:tr w:rsidR="009C0C41" w:rsidRPr="00BA7B68" w14:paraId="295594F6" w14:textId="77777777" w:rsidTr="009706C9">
        <w:tc>
          <w:tcPr>
            <w:cnfStyle w:val="001000000000" w:firstRow="0" w:lastRow="0" w:firstColumn="1" w:lastColumn="0" w:oddVBand="0" w:evenVBand="0" w:oddHBand="0" w:evenHBand="0" w:firstRowFirstColumn="0" w:firstRowLastColumn="0" w:lastRowFirstColumn="0" w:lastRowLastColumn="0"/>
            <w:tcW w:w="2254" w:type="dxa"/>
          </w:tcPr>
          <w:p w14:paraId="3DD07988" w14:textId="01E96985" w:rsidR="009C0C41" w:rsidRPr="009C0C41" w:rsidRDefault="00B2243B" w:rsidP="009C0C41">
            <w:pPr>
              <w:jc w:val="both"/>
              <w:rPr>
                <w:rFonts w:eastAsia="Times New Roman"/>
                <w:b w:val="0"/>
                <w:bCs w:val="0"/>
              </w:rPr>
            </w:pPr>
            <m:oMathPara>
              <m:oMathParaPr>
                <m:jc m:val="right"/>
              </m:oMathParaPr>
              <m:oMath>
                <m:r>
                  <m:rPr>
                    <m:sty m:val="b"/>
                  </m:rPr>
                  <w:rPr>
                    <w:rFonts w:ascii="Cambria Math" w:eastAsia="Times New Roman" w:hAnsi="Cambria Math"/>
                  </w:rPr>
                  <m:t>Δ</m:t>
                </m:r>
                <m:r>
                  <m:rPr>
                    <m:sty m:val="bi"/>
                  </m:rPr>
                  <w:rPr>
                    <w:rFonts w:ascii="Cambria Math" w:eastAsia="Times New Roman" w:hAnsi="Cambria Math"/>
                  </w:rPr>
                  <m:t>com</m:t>
                </m:r>
                <m:sSub>
                  <m:sSubPr>
                    <m:ctrlPr>
                      <w:rPr>
                        <w:rFonts w:ascii="Cambria Math" w:eastAsia="Times New Roman" w:hAnsi="Cambria Math"/>
                        <w:b w:val="0"/>
                        <w:i/>
                      </w:rPr>
                    </m:ctrlPr>
                  </m:sSubPr>
                  <m:e>
                    <m:r>
                      <m:rPr>
                        <m:sty m:val="bi"/>
                      </m:rPr>
                      <w:rPr>
                        <w:rFonts w:ascii="Cambria Math" w:eastAsia="Times New Roman" w:hAnsi="Cambria Math"/>
                      </w:rPr>
                      <m:t>p</m:t>
                    </m:r>
                    <m:ctrlPr>
                      <w:rPr>
                        <w:rFonts w:ascii="Cambria Math" w:eastAsia="Times New Roman" w:hAnsi="Cambria Math"/>
                        <w:bCs w:val="0"/>
                        <w:i/>
                      </w:rPr>
                    </m:ctrlPr>
                  </m:e>
                  <m:sub>
                    <m:r>
                      <m:rPr>
                        <m:sty m:val="bi"/>
                      </m:rPr>
                      <w:rPr>
                        <w:rFonts w:ascii="Cambria Math" w:eastAsia="Times New Roman" w:hAnsi="Cambria Math"/>
                      </w:rPr>
                      <m:t>mean</m:t>
                    </m:r>
                  </m:sub>
                </m:sSub>
              </m:oMath>
            </m:oMathPara>
          </w:p>
        </w:tc>
        <w:tc>
          <w:tcPr>
            <w:tcW w:w="2254" w:type="dxa"/>
          </w:tcPr>
          <w:p w14:paraId="01D3339F" w14:textId="23E90769" w:rsidR="009C0C41" w:rsidRDefault="009C0C41" w:rsidP="009C0C41">
            <w:pPr>
              <w:cnfStyle w:val="000000000000" w:firstRow="0" w:lastRow="0" w:firstColumn="0" w:lastColumn="0" w:oddVBand="0" w:evenVBand="0" w:oddHBand="0" w:evenHBand="0" w:firstRowFirstColumn="0" w:firstRowLastColumn="0" w:lastRowFirstColumn="0" w:lastRowLastColumn="0"/>
            </w:pPr>
            <w:r>
              <w:t>-3.</w:t>
            </w:r>
            <w:r w:rsidR="00B2243B">
              <w:t>628</w:t>
            </w:r>
          </w:p>
        </w:tc>
        <w:tc>
          <w:tcPr>
            <w:tcW w:w="2254" w:type="dxa"/>
          </w:tcPr>
          <w:p w14:paraId="1E700CBE" w14:textId="0306116A" w:rsidR="009C0C41" w:rsidRDefault="00B2243B" w:rsidP="009C0C41">
            <w:pPr>
              <w:cnfStyle w:val="000000000000" w:firstRow="0" w:lastRow="0" w:firstColumn="0" w:lastColumn="0" w:oddVBand="0" w:evenVBand="0" w:oddHBand="0" w:evenHBand="0" w:firstRowFirstColumn="0" w:firstRowLastColumn="0" w:lastRowFirstColumn="0" w:lastRowLastColumn="0"/>
            </w:pPr>
            <w:r>
              <w:t>-3.746***</w:t>
            </w:r>
          </w:p>
        </w:tc>
        <w:tc>
          <w:tcPr>
            <w:tcW w:w="2254" w:type="dxa"/>
          </w:tcPr>
          <w:p w14:paraId="4BA58E6C" w14:textId="7573B84C" w:rsidR="009C0C41" w:rsidRDefault="009C0C41" w:rsidP="009C0C41">
            <w:pPr>
              <w:cnfStyle w:val="000000000000" w:firstRow="0" w:lastRow="0" w:firstColumn="0" w:lastColumn="0" w:oddVBand="0" w:evenVBand="0" w:oddHBand="0" w:evenHBand="0" w:firstRowFirstColumn="0" w:firstRowLastColumn="0" w:lastRowFirstColumn="0" w:lastRowLastColumn="0"/>
            </w:pPr>
            <w:r>
              <w:t>200</w:t>
            </w:r>
            <w:r w:rsidR="00B2243B">
              <w:t>6</w:t>
            </w:r>
            <w:r>
              <w:t xml:space="preserve"> / 200</w:t>
            </w:r>
            <w:r w:rsidR="00B2243B">
              <w:t>5</w:t>
            </w:r>
          </w:p>
        </w:tc>
      </w:tr>
      <w:tr w:rsidR="00E45952" w:rsidRPr="00BA7B68" w14:paraId="75E67410" w14:textId="77777777" w:rsidTr="009706C9">
        <w:tc>
          <w:tcPr>
            <w:cnfStyle w:val="001000000000" w:firstRow="0" w:lastRow="0" w:firstColumn="1" w:lastColumn="0" w:oddVBand="0" w:evenVBand="0" w:oddHBand="0" w:evenHBand="0" w:firstRowFirstColumn="0" w:firstRowLastColumn="0" w:lastRowFirstColumn="0" w:lastRowLastColumn="0"/>
            <w:tcW w:w="2254" w:type="dxa"/>
          </w:tcPr>
          <w:p w14:paraId="4E96E241" w14:textId="5806CAD5" w:rsidR="00E45952" w:rsidRPr="00E45952" w:rsidRDefault="00E45952" w:rsidP="00E45952">
            <w:pPr>
              <w:jc w:val="both"/>
              <w:rPr>
                <w:rFonts w:eastAsia="Times New Roman"/>
                <w:bCs w:val="0"/>
              </w:rPr>
            </w:pPr>
            <m:oMathPara>
              <m:oMathParaPr>
                <m:jc m:val="right"/>
              </m:oMathParaPr>
              <m:oMath>
                <m:r>
                  <m:rPr>
                    <m:sty m:val="b"/>
                  </m:rPr>
                  <w:rPr>
                    <w:rFonts w:ascii="Cambria Math" w:hAnsi="Cambria Math"/>
                  </w:rPr>
                  <m:t>Δ</m:t>
                </m:r>
                <m:r>
                  <m:rPr>
                    <m:sty m:val="bi"/>
                  </m:rPr>
                  <w:rPr>
                    <w:rFonts w:ascii="Cambria Math" w:hAnsi="Cambria Math"/>
                  </w:rPr>
                  <m:t>wag</m:t>
                </m:r>
                <m:sSub>
                  <m:sSubPr>
                    <m:ctrlPr>
                      <w:rPr>
                        <w:rFonts w:ascii="Cambria Math" w:hAnsi="Cambria Math"/>
                        <w:b w:val="0"/>
                        <w:bCs w:val="0"/>
                        <w:i/>
                      </w:rPr>
                    </m:ctrlPr>
                  </m:sSubPr>
                  <m:e>
                    <m:r>
                      <m:rPr>
                        <m:sty m:val="bi"/>
                      </m:rPr>
                      <w:rPr>
                        <w:rFonts w:ascii="Cambria Math" w:hAnsi="Cambria Math"/>
                      </w:rPr>
                      <m:t>e</m:t>
                    </m:r>
                    <m:ctrlPr>
                      <w:rPr>
                        <w:rFonts w:ascii="Cambria Math" w:hAnsi="Cambria Math"/>
                        <w:b w:val="0"/>
                        <w:i/>
                      </w:rPr>
                    </m:ctrlPr>
                  </m:e>
                  <m:sub>
                    <m:r>
                      <m:rPr>
                        <m:sty m:val="bi"/>
                      </m:rPr>
                      <w:rPr>
                        <w:rFonts w:ascii="Cambria Math" w:hAnsi="Cambria Math"/>
                      </w:rPr>
                      <m:t>median</m:t>
                    </m:r>
                  </m:sub>
                </m:sSub>
              </m:oMath>
            </m:oMathPara>
          </w:p>
        </w:tc>
        <w:tc>
          <w:tcPr>
            <w:tcW w:w="2254" w:type="dxa"/>
          </w:tcPr>
          <w:p w14:paraId="0D72ABFC" w14:textId="093F168E" w:rsidR="00E45952" w:rsidRDefault="00B24831" w:rsidP="00E45952">
            <w:pPr>
              <w:cnfStyle w:val="000000000000" w:firstRow="0" w:lastRow="0" w:firstColumn="0" w:lastColumn="0" w:oddVBand="0" w:evenVBand="0" w:oddHBand="0" w:evenHBand="0" w:firstRowFirstColumn="0" w:firstRowLastColumn="0" w:lastRowFirstColumn="0" w:lastRowLastColumn="0"/>
            </w:pPr>
            <w:r>
              <w:t>-6.255***</w:t>
            </w:r>
          </w:p>
        </w:tc>
        <w:tc>
          <w:tcPr>
            <w:tcW w:w="2254" w:type="dxa"/>
          </w:tcPr>
          <w:p w14:paraId="033CAA42" w14:textId="5E31E722" w:rsidR="00E45952" w:rsidRDefault="00B24831" w:rsidP="00E45952">
            <w:pPr>
              <w:cnfStyle w:val="000000000000" w:firstRow="0" w:lastRow="0" w:firstColumn="0" w:lastColumn="0" w:oddVBand="0" w:evenVBand="0" w:oddHBand="0" w:evenHBand="0" w:firstRowFirstColumn="0" w:firstRowLastColumn="0" w:lastRowFirstColumn="0" w:lastRowLastColumn="0"/>
            </w:pPr>
            <w:r w:rsidRPr="00B24831">
              <w:t>-1.354</w:t>
            </w:r>
          </w:p>
        </w:tc>
        <w:tc>
          <w:tcPr>
            <w:tcW w:w="2254" w:type="dxa"/>
          </w:tcPr>
          <w:p w14:paraId="495C52EF" w14:textId="18F53649" w:rsidR="00E45952" w:rsidRDefault="00B24831" w:rsidP="00E45952">
            <w:pPr>
              <w:cnfStyle w:val="000000000000" w:firstRow="0" w:lastRow="0" w:firstColumn="0" w:lastColumn="0" w:oddVBand="0" w:evenVBand="0" w:oddHBand="0" w:evenHBand="0" w:firstRowFirstColumn="0" w:firstRowLastColumn="0" w:lastRowFirstColumn="0" w:lastRowLastColumn="0"/>
            </w:pPr>
            <w:r>
              <w:t>2008 / 2007</w:t>
            </w:r>
          </w:p>
        </w:tc>
      </w:tr>
      <w:tr w:rsidR="00E45952" w:rsidRPr="00BA7B68" w14:paraId="5BF2071C" w14:textId="77777777" w:rsidTr="009706C9">
        <w:tc>
          <w:tcPr>
            <w:cnfStyle w:val="001000000000" w:firstRow="0" w:lastRow="0" w:firstColumn="1" w:lastColumn="0" w:oddVBand="0" w:evenVBand="0" w:oddHBand="0" w:evenHBand="0" w:firstRowFirstColumn="0" w:firstRowLastColumn="0" w:lastRowFirstColumn="0" w:lastRowLastColumn="0"/>
            <w:tcW w:w="2254" w:type="dxa"/>
          </w:tcPr>
          <w:p w14:paraId="69EB4DB1" w14:textId="13E2565B" w:rsidR="00E45952" w:rsidRPr="00E45952" w:rsidRDefault="00E45952" w:rsidP="00E45952">
            <w:pPr>
              <w:jc w:val="both"/>
              <w:rPr>
                <w:rFonts w:eastAsia="Times New Roman"/>
                <w:bCs w:val="0"/>
              </w:rPr>
            </w:pPr>
            <m:oMathPara>
              <m:oMathParaPr>
                <m:jc m:val="right"/>
              </m:oMathParaPr>
              <m:oMath>
                <m:r>
                  <m:rPr>
                    <m:sty m:val="b"/>
                  </m:rPr>
                  <w:rPr>
                    <w:rFonts w:ascii="Cambria Math" w:eastAsia="Times New Roman" w:hAnsi="Cambria Math"/>
                  </w:rPr>
                  <m:t>Δ</m:t>
                </m:r>
                <m:r>
                  <m:rPr>
                    <m:sty m:val="bi"/>
                  </m:rPr>
                  <w:rPr>
                    <w:rFonts w:ascii="Cambria Math" w:eastAsia="Times New Roman" w:hAnsi="Cambria Math"/>
                  </w:rPr>
                  <m:t>wag</m:t>
                </m:r>
                <m:sSub>
                  <m:sSubPr>
                    <m:ctrlPr>
                      <w:rPr>
                        <w:rFonts w:ascii="Cambria Math" w:eastAsia="Times New Roman" w:hAnsi="Cambria Math"/>
                        <w:b w:val="0"/>
                        <w:i/>
                      </w:rPr>
                    </m:ctrlPr>
                  </m:sSubPr>
                  <m:e>
                    <m:r>
                      <m:rPr>
                        <m:sty m:val="bi"/>
                      </m:rPr>
                      <w:rPr>
                        <w:rFonts w:ascii="Cambria Math" w:eastAsia="Times New Roman" w:hAnsi="Cambria Math"/>
                      </w:rPr>
                      <m:t>e</m:t>
                    </m:r>
                    <m:ctrlPr>
                      <w:rPr>
                        <w:rFonts w:ascii="Cambria Math" w:eastAsia="Times New Roman" w:hAnsi="Cambria Math"/>
                        <w:bCs w:val="0"/>
                        <w:i/>
                      </w:rPr>
                    </m:ctrlPr>
                  </m:e>
                  <m:sub>
                    <m:r>
                      <m:rPr>
                        <m:sty m:val="bi"/>
                      </m:rPr>
                      <w:rPr>
                        <w:rFonts w:ascii="Cambria Math" w:eastAsia="Times New Roman" w:hAnsi="Cambria Math"/>
                      </w:rPr>
                      <m:t>mean</m:t>
                    </m:r>
                  </m:sub>
                </m:sSub>
              </m:oMath>
            </m:oMathPara>
          </w:p>
        </w:tc>
        <w:tc>
          <w:tcPr>
            <w:tcW w:w="2254" w:type="dxa"/>
          </w:tcPr>
          <w:p w14:paraId="03107F22" w14:textId="01C92C27" w:rsidR="00E45952" w:rsidRDefault="00B24831" w:rsidP="00E45952">
            <w:pPr>
              <w:cnfStyle w:val="000000000000" w:firstRow="0" w:lastRow="0" w:firstColumn="0" w:lastColumn="0" w:oddVBand="0" w:evenVBand="0" w:oddHBand="0" w:evenHBand="0" w:firstRowFirstColumn="0" w:firstRowLastColumn="0" w:lastRowFirstColumn="0" w:lastRowLastColumn="0"/>
            </w:pPr>
            <w:r w:rsidRPr="00B24831">
              <w:t>-2.650</w:t>
            </w:r>
          </w:p>
        </w:tc>
        <w:tc>
          <w:tcPr>
            <w:tcW w:w="2254" w:type="dxa"/>
          </w:tcPr>
          <w:p w14:paraId="2AE9EA2F" w14:textId="104601AC" w:rsidR="00E45952" w:rsidRDefault="00B24831" w:rsidP="00E45952">
            <w:pPr>
              <w:cnfStyle w:val="000000000000" w:firstRow="0" w:lastRow="0" w:firstColumn="0" w:lastColumn="0" w:oddVBand="0" w:evenVBand="0" w:oddHBand="0" w:evenHBand="0" w:firstRowFirstColumn="0" w:firstRowLastColumn="0" w:lastRowFirstColumn="0" w:lastRowLastColumn="0"/>
            </w:pPr>
            <w:r w:rsidRPr="00B24831">
              <w:t>-2.423</w:t>
            </w:r>
          </w:p>
        </w:tc>
        <w:tc>
          <w:tcPr>
            <w:tcW w:w="2254" w:type="dxa"/>
          </w:tcPr>
          <w:p w14:paraId="6AC9D4B5" w14:textId="2C3826B8" w:rsidR="00E45952" w:rsidRDefault="00B24831" w:rsidP="00E45952">
            <w:pPr>
              <w:cnfStyle w:val="000000000000" w:firstRow="0" w:lastRow="0" w:firstColumn="0" w:lastColumn="0" w:oddVBand="0" w:evenVBand="0" w:oddHBand="0" w:evenHBand="0" w:firstRowFirstColumn="0" w:firstRowLastColumn="0" w:lastRowFirstColumn="0" w:lastRowLastColumn="0"/>
            </w:pPr>
            <w:r>
              <w:t>2005 / 2001</w:t>
            </w:r>
          </w:p>
        </w:tc>
      </w:tr>
      <w:tr w:rsidR="00E45952" w:rsidRPr="00BA7B68" w14:paraId="21A89D07" w14:textId="77777777" w:rsidTr="009706C9">
        <w:tc>
          <w:tcPr>
            <w:cnfStyle w:val="001000000000" w:firstRow="0" w:lastRow="0" w:firstColumn="1" w:lastColumn="0" w:oddVBand="0" w:evenVBand="0" w:oddHBand="0" w:evenHBand="0" w:firstRowFirstColumn="0" w:firstRowLastColumn="0" w:lastRowFirstColumn="0" w:lastRowLastColumn="0"/>
            <w:tcW w:w="9016" w:type="dxa"/>
            <w:gridSpan w:val="4"/>
            <w:tcBorders>
              <w:bottom w:val="single" w:sz="4" w:space="0" w:color="auto"/>
            </w:tcBorders>
          </w:tcPr>
          <w:p w14:paraId="4354A772" w14:textId="77777777" w:rsidR="00E45952" w:rsidRPr="000E217A" w:rsidRDefault="00E45952" w:rsidP="00E45952">
            <w:pPr>
              <w:jc w:val="center"/>
              <w:rPr>
                <w:b w:val="0"/>
                <w:bCs w:val="0"/>
              </w:rPr>
            </w:pPr>
            <w:r w:rsidRPr="000E217A">
              <w:rPr>
                <w:b w:val="0"/>
                <w:bCs w:val="0"/>
              </w:rPr>
              <w:t>[*,**,***] indicate rejection at the [1%,5%,10%] significance level.</w:t>
            </w:r>
          </w:p>
        </w:tc>
      </w:tr>
    </w:tbl>
    <w:p w14:paraId="32E09759" w14:textId="5E8871A6" w:rsidR="004D0DE7" w:rsidRPr="00A03C40" w:rsidRDefault="00B2243B" w:rsidP="00985227">
      <w:pPr>
        <w:spacing w:before="240"/>
      </w:pPr>
      <m:oMath>
        <m:r>
          <m:rPr>
            <m:sty m:val="p"/>
          </m:rPr>
          <w:rPr>
            <w:rFonts w:ascii="Cambria Math" w:hAnsi="Cambria Math"/>
          </w:rPr>
          <m:t>Δ</m:t>
        </m:r>
        <m:r>
          <w:rPr>
            <w:rFonts w:ascii="Cambria Math" w:hAnsi="Cambria Math"/>
          </w:rPr>
          <m:t>com</m:t>
        </m:r>
        <m:sSub>
          <m:sSubPr>
            <m:ctrlPr>
              <w:rPr>
                <w:rFonts w:ascii="Cambria Math" w:hAnsi="Cambria Math"/>
                <w:i/>
              </w:rPr>
            </m:ctrlPr>
          </m:sSubPr>
          <m:e>
            <m:r>
              <w:rPr>
                <w:rFonts w:ascii="Cambria Math" w:hAnsi="Cambria Math"/>
              </w:rPr>
              <m:t>p</m:t>
            </m:r>
          </m:e>
          <m:sub>
            <m:r>
              <w:rPr>
                <w:rFonts w:ascii="Cambria Math" w:hAnsi="Cambria Math"/>
              </w:rPr>
              <m:t>mean</m:t>
            </m:r>
          </m:sub>
        </m:sSub>
      </m:oMath>
      <w:r>
        <w:t xml:space="preserve"> rejects the null of a unit root</w:t>
      </w:r>
      <w:r w:rsidR="003B66F9">
        <w:t xml:space="preserve"> with an AO model</w:t>
      </w:r>
      <w:r>
        <w:t xml:space="preserve"> </w:t>
      </w:r>
      <w:r>
        <w:rPr>
          <w:b/>
          <w:bCs/>
        </w:rPr>
        <w:t>and is therefore stationary</w:t>
      </w:r>
      <w:r>
        <w:t xml:space="preserve">, while </w:t>
      </w:r>
      <m:oMath>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median</m:t>
            </m:r>
          </m:sub>
        </m:sSub>
      </m:oMath>
      <w:r>
        <w:t xml:space="preserve"> and </w:t>
      </w:r>
      <m:oMath>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mean</m:t>
            </m:r>
          </m:sub>
        </m:sSub>
      </m:oMath>
      <w:r>
        <w:t xml:space="preserve"> do not. </w:t>
      </w:r>
      <w:r w:rsidR="00D61DFE">
        <w:t xml:space="preserve">After differencing the latter two and trying again, </w:t>
      </w:r>
      <m:oMath>
        <m:r>
          <m:rPr>
            <m:sty m:val="p"/>
          </m:rPr>
          <w:rPr>
            <w:rFonts w:ascii="Cambria Math" w:hAnsi="Cambria Math"/>
          </w:rPr>
          <m:t>Δ</m:t>
        </m:r>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median</m:t>
            </m:r>
          </m:sub>
        </m:sSub>
      </m:oMath>
      <w:r>
        <w:t xml:space="preserve"> </w:t>
      </w:r>
      <w:r w:rsidR="00D61DFE">
        <w:t xml:space="preserve">rejects the null with an IO model and </w:t>
      </w:r>
      <w:r w:rsidR="00D61DFE" w:rsidRPr="00D61DFE">
        <w:rPr>
          <w:b/>
          <w:bCs/>
        </w:rPr>
        <w:t>is therefore stationary</w:t>
      </w:r>
      <w:r w:rsidR="00D61DFE">
        <w:t xml:space="preserve">. It has, as identified, a structural breakpoint of 2008. We </w:t>
      </w:r>
      <w:r w:rsidR="004D0DE7">
        <w:t>utilise the ADF</w:t>
      </w:r>
      <w:r w:rsidR="00D61DFE">
        <w:t xml:space="preserve"> with </w:t>
      </w:r>
      <m:oMath>
        <m:r>
          <m:rPr>
            <m:sty m:val="p"/>
          </m:rPr>
          <w:rPr>
            <w:rFonts w:ascii="Cambria Math" w:hAnsi="Cambria Math"/>
          </w:rPr>
          <m:t>Δ</m:t>
        </m:r>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mean</m:t>
            </m:r>
          </m:sub>
        </m:sSub>
      </m:oMath>
      <w:r>
        <w:t>.</w:t>
      </w:r>
    </w:p>
    <w:tbl>
      <w:tblPr>
        <w:tblStyle w:val="GridTable1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949"/>
        <w:gridCol w:w="2153"/>
        <w:gridCol w:w="2153"/>
        <w:gridCol w:w="2153"/>
      </w:tblGrid>
      <w:tr w:rsidR="004D0DE7" w:rsidRPr="00BA7B68" w14:paraId="4040B766" w14:textId="77777777" w:rsidTr="003B66F9">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6D1B02A0" w14:textId="1FC1CFF8" w:rsidR="004D0DE7" w:rsidRDefault="004D0DE7" w:rsidP="009706C9">
            <w:pPr>
              <w:spacing w:line="240" w:lineRule="auto"/>
              <w:jc w:val="center"/>
            </w:pPr>
            <w:r>
              <w:t>Table A3 – ADF test results</w:t>
            </w:r>
          </w:p>
        </w:tc>
      </w:tr>
      <w:tr w:rsidR="004D0DE7" w:rsidRPr="00BA7B68" w14:paraId="41F7D168" w14:textId="77777777" w:rsidTr="003B66F9">
        <w:trPr>
          <w:trHeight w:val="329"/>
          <w:jc w:val="center"/>
        </w:trPr>
        <w:tc>
          <w:tcPr>
            <w:cnfStyle w:val="001000000000" w:firstRow="0" w:lastRow="0" w:firstColumn="1" w:lastColumn="0" w:oddVBand="0" w:evenVBand="0" w:oddHBand="0" w:evenHBand="0" w:firstRowFirstColumn="0" w:firstRowLastColumn="0" w:lastRowFirstColumn="0" w:lastRowLastColumn="0"/>
            <w:tcW w:w="1618" w:type="dxa"/>
            <w:tcBorders>
              <w:top w:val="single" w:sz="4" w:space="0" w:color="auto"/>
            </w:tcBorders>
          </w:tcPr>
          <w:p w14:paraId="0DC8A6E3" w14:textId="77777777" w:rsidR="004D0DE7" w:rsidRPr="00BA7B68" w:rsidRDefault="004D0DE7" w:rsidP="009706C9">
            <w:pPr>
              <w:spacing w:line="240" w:lineRule="auto"/>
            </w:pPr>
            <w:r w:rsidRPr="00BA7B68">
              <w:t>Variables</w:t>
            </w:r>
          </w:p>
        </w:tc>
        <w:tc>
          <w:tcPr>
            <w:tcW w:w="949" w:type="dxa"/>
            <w:tcBorders>
              <w:top w:val="single" w:sz="4" w:space="0" w:color="auto"/>
              <w:right w:val="single" w:sz="4" w:space="0" w:color="auto"/>
            </w:tcBorders>
          </w:tcPr>
          <w:p w14:paraId="65B71C58" w14:textId="77777777" w:rsidR="004D0DE7" w:rsidRPr="00F61D61" w:rsidRDefault="004D0DE7" w:rsidP="009706C9">
            <w:pPr>
              <w:spacing w:line="240" w:lineRule="auto"/>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i</m:t>
                </m:r>
              </m:oMath>
            </m:oMathPara>
          </w:p>
        </w:tc>
        <w:tc>
          <w:tcPr>
            <w:tcW w:w="6459" w:type="dxa"/>
            <w:gridSpan w:val="3"/>
            <w:tcBorders>
              <w:top w:val="single" w:sz="4" w:space="0" w:color="auto"/>
              <w:left w:val="single" w:sz="4" w:space="0" w:color="auto"/>
            </w:tcBorders>
          </w:tcPr>
          <w:p w14:paraId="3CC7398E" w14:textId="77777777" w:rsidR="004D0DE7" w:rsidRPr="00BA7B68" w:rsidRDefault="004D0DE7" w:rsidP="009706C9">
            <w:pPr>
              <w:spacing w:line="240" w:lineRule="auto"/>
              <w:jc w:val="center"/>
              <w:cnfStyle w:val="000000000000" w:firstRow="0" w:lastRow="0" w:firstColumn="0" w:lastColumn="0" w:oddVBand="0" w:evenVBand="0" w:oddHBand="0" w:evenHBand="0" w:firstRowFirstColumn="0" w:firstRowLastColumn="0" w:lastRowFirstColumn="0" w:lastRowLastColumn="0"/>
            </w:pPr>
            <w:r>
              <w:t>MacKinnon Approximate p-value</w:t>
            </w:r>
          </w:p>
        </w:tc>
      </w:tr>
      <w:tr w:rsidR="003B66F9" w:rsidRPr="00BA7B68" w14:paraId="07723E8C" w14:textId="77777777" w:rsidTr="003B66F9">
        <w:trPr>
          <w:trHeight w:val="329"/>
          <w:jc w:val="center"/>
        </w:trPr>
        <w:tc>
          <w:tcPr>
            <w:cnfStyle w:val="001000000000" w:firstRow="0" w:lastRow="0" w:firstColumn="1" w:lastColumn="0" w:oddVBand="0" w:evenVBand="0" w:oddHBand="0" w:evenHBand="0" w:firstRowFirstColumn="0" w:firstRowLastColumn="0" w:lastRowFirstColumn="0" w:lastRowLastColumn="0"/>
            <w:tcW w:w="1618" w:type="dxa"/>
            <w:tcBorders>
              <w:bottom w:val="single" w:sz="4" w:space="0" w:color="auto"/>
            </w:tcBorders>
          </w:tcPr>
          <w:p w14:paraId="5B294DEF" w14:textId="77777777" w:rsidR="004D0DE7" w:rsidRPr="00BA7B68" w:rsidRDefault="004D0DE7" w:rsidP="009706C9">
            <w:pPr>
              <w:spacing w:line="240" w:lineRule="auto"/>
            </w:pPr>
          </w:p>
        </w:tc>
        <w:tc>
          <w:tcPr>
            <w:tcW w:w="949" w:type="dxa"/>
            <w:tcBorders>
              <w:bottom w:val="single" w:sz="4" w:space="0" w:color="auto"/>
              <w:right w:val="single" w:sz="4" w:space="0" w:color="auto"/>
            </w:tcBorders>
          </w:tcPr>
          <w:p w14:paraId="5A9FAAC8" w14:textId="77777777" w:rsidR="004D0DE7" w:rsidRPr="00F61D61" w:rsidRDefault="004D0DE7" w:rsidP="009706C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bCs/>
              </w:rPr>
            </w:pPr>
          </w:p>
        </w:tc>
        <w:tc>
          <w:tcPr>
            <w:tcW w:w="2153" w:type="dxa"/>
            <w:tcBorders>
              <w:left w:val="single" w:sz="4" w:space="0" w:color="auto"/>
              <w:bottom w:val="single" w:sz="4" w:space="0" w:color="auto"/>
            </w:tcBorders>
          </w:tcPr>
          <w:p w14:paraId="3A679625" w14:textId="77777777" w:rsidR="004D0DE7" w:rsidRPr="00686223" w:rsidRDefault="004D0DE7" w:rsidP="009706C9">
            <w:pPr>
              <w:spacing w:line="240" w:lineRule="auto"/>
              <w:jc w:val="both"/>
              <w:cnfStyle w:val="000000000000" w:firstRow="0" w:lastRow="0" w:firstColumn="0" w:lastColumn="0" w:oddVBand="0" w:evenVBand="0" w:oddHBand="0" w:evenHBand="0" w:firstRowFirstColumn="0" w:firstRowLastColumn="0" w:lastRowFirstColumn="0" w:lastRowLastColumn="0"/>
            </w:pPr>
            <w:r>
              <w:rPr>
                <w:rFonts w:eastAsia="Times New Roman"/>
              </w:rPr>
              <w:t xml:space="preserve">With </w:t>
            </w:r>
            <m:oMath>
              <m:r>
                <w:rPr>
                  <w:rFonts w:ascii="Cambria Math" w:hAnsi="Cambria Math"/>
                </w:rPr>
                <m:t>λt</m:t>
              </m:r>
            </m:oMath>
          </w:p>
        </w:tc>
        <w:tc>
          <w:tcPr>
            <w:tcW w:w="2153" w:type="dxa"/>
            <w:tcBorders>
              <w:bottom w:val="single" w:sz="4" w:space="0" w:color="auto"/>
            </w:tcBorders>
          </w:tcPr>
          <w:p w14:paraId="32F7DAF7" w14:textId="77777777" w:rsidR="004D0DE7" w:rsidRPr="00686223" w:rsidRDefault="004D0DE7" w:rsidP="009706C9">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With </w:t>
            </w:r>
            <m:oMath>
              <m:r>
                <w:rPr>
                  <w:rFonts w:ascii="Cambria Math" w:hAnsi="Cambria Math"/>
                </w:rPr>
                <m:t>α</m:t>
              </m:r>
            </m:oMath>
          </w:p>
        </w:tc>
        <w:tc>
          <w:tcPr>
            <w:tcW w:w="2153" w:type="dxa"/>
            <w:tcBorders>
              <w:bottom w:val="single" w:sz="4" w:space="0" w:color="auto"/>
            </w:tcBorders>
          </w:tcPr>
          <w:p w14:paraId="6998012E" w14:textId="77777777" w:rsidR="004D0DE7" w:rsidRPr="00686223" w:rsidRDefault="004D0DE7" w:rsidP="009706C9">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With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r>
      <w:tr w:rsidR="004D0DE7" w:rsidRPr="00BA7B68" w14:paraId="66697285" w14:textId="77777777" w:rsidTr="003B66F9">
        <w:trPr>
          <w:trHeight w:val="277"/>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44D62580" w14:textId="6F7ABE5B" w:rsidR="004D0DE7" w:rsidRPr="00F61D61" w:rsidRDefault="004D0DE7" w:rsidP="009706C9">
            <w:pPr>
              <w:spacing w:line="240" w:lineRule="auto"/>
              <w:rPr>
                <w:i/>
                <w:iCs/>
              </w:rPr>
            </w:pPr>
            <w:r>
              <w:rPr>
                <w:i/>
                <w:iCs/>
              </w:rPr>
              <w:t>First Difference</w:t>
            </w:r>
          </w:p>
        </w:tc>
      </w:tr>
      <w:tr w:rsidR="004D0DE7" w:rsidRPr="00BA7B68" w14:paraId="1A8A4037" w14:textId="77777777" w:rsidTr="003B66F9">
        <w:trPr>
          <w:trHeight w:val="281"/>
          <w:jc w:val="center"/>
        </w:trPr>
        <w:tc>
          <w:tcPr>
            <w:cnfStyle w:val="001000000000" w:firstRow="0" w:lastRow="0" w:firstColumn="1" w:lastColumn="0" w:oddVBand="0" w:evenVBand="0" w:oddHBand="0" w:evenHBand="0" w:firstRowFirstColumn="0" w:firstRowLastColumn="0" w:lastRowFirstColumn="0" w:lastRowLastColumn="0"/>
            <w:tcW w:w="1618" w:type="dxa"/>
          </w:tcPr>
          <w:p w14:paraId="46383147" w14:textId="45A21B41" w:rsidR="004D0DE7" w:rsidRPr="00F61D61" w:rsidRDefault="004D0DE7" w:rsidP="009706C9">
            <w:pPr>
              <w:spacing w:line="240" w:lineRule="auto"/>
              <w:jc w:val="both"/>
              <w:rPr>
                <w:rFonts w:eastAsia="Times New Roman"/>
                <w:b w:val="0"/>
                <w:bCs w:val="0"/>
              </w:rPr>
            </w:pPr>
            <m:oMathPara>
              <m:oMathParaPr>
                <m:jc m:val="right"/>
              </m:oMathParaPr>
              <m:oMath>
                <m:r>
                  <m:rPr>
                    <m:sty m:val="bi"/>
                  </m:rPr>
                  <w:rPr>
                    <w:rFonts w:ascii="Cambria Math" w:eastAsia="Times New Roman" w:hAnsi="Cambria Math"/>
                  </w:rPr>
                  <m:t>wage</m:t>
                </m:r>
                <m:sSub>
                  <m:sSubPr>
                    <m:ctrlPr>
                      <w:rPr>
                        <w:rFonts w:ascii="Cambria Math" w:eastAsia="Times New Roman" w:hAnsi="Cambria Math"/>
                        <w:b w:val="0"/>
                        <w:bCs w:val="0"/>
                        <w:i/>
                      </w:rPr>
                    </m:ctrlPr>
                  </m:sSubPr>
                  <m:e>
                    <m:r>
                      <m:rPr>
                        <m:sty m:val="bi"/>
                      </m:rPr>
                      <w:rPr>
                        <w:rFonts w:ascii="Cambria Math" w:eastAsia="Times New Roman" w:hAnsi="Cambria Math"/>
                      </w:rPr>
                      <m:t>s</m:t>
                    </m:r>
                    <m:ctrlPr>
                      <w:rPr>
                        <w:rFonts w:ascii="Cambria Math" w:eastAsia="Times New Roman" w:hAnsi="Cambria Math"/>
                        <w:i/>
                      </w:rPr>
                    </m:ctrlPr>
                  </m:e>
                  <m:sub>
                    <m:r>
                      <m:rPr>
                        <m:sty m:val="bi"/>
                      </m:rPr>
                      <w:rPr>
                        <w:rFonts w:ascii="Cambria Math" w:eastAsia="Times New Roman" w:hAnsi="Cambria Math"/>
                      </w:rPr>
                      <m:t>mean</m:t>
                    </m:r>
                  </m:sub>
                </m:sSub>
              </m:oMath>
            </m:oMathPara>
          </w:p>
        </w:tc>
        <w:tc>
          <w:tcPr>
            <w:tcW w:w="949" w:type="dxa"/>
            <w:tcBorders>
              <w:right w:val="single" w:sz="4" w:space="0" w:color="auto"/>
            </w:tcBorders>
          </w:tcPr>
          <w:p w14:paraId="74C75259" w14:textId="77777777" w:rsidR="004D0DE7" w:rsidRPr="00BA7B68" w:rsidRDefault="004D0DE7" w:rsidP="009706C9">
            <w:pPr>
              <w:spacing w:line="240" w:lineRule="auto"/>
              <w:jc w:val="right"/>
              <w:cnfStyle w:val="000000000000" w:firstRow="0" w:lastRow="0" w:firstColumn="0" w:lastColumn="0" w:oddVBand="0" w:evenVBand="0" w:oddHBand="0" w:evenHBand="0" w:firstRowFirstColumn="0" w:firstRowLastColumn="0" w:lastRowFirstColumn="0" w:lastRowLastColumn="0"/>
            </w:pPr>
            <w:r>
              <w:t>0</w:t>
            </w:r>
          </w:p>
        </w:tc>
        <w:tc>
          <w:tcPr>
            <w:tcW w:w="2153" w:type="dxa"/>
            <w:tcBorders>
              <w:left w:val="single" w:sz="4" w:space="0" w:color="auto"/>
            </w:tcBorders>
          </w:tcPr>
          <w:p w14:paraId="1DAF2435" w14:textId="5FAC1EC2" w:rsidR="004D0DE7" w:rsidRPr="00BA7B68" w:rsidRDefault="003B66F9" w:rsidP="009706C9">
            <w:pPr>
              <w:spacing w:line="240" w:lineRule="auto"/>
              <w:cnfStyle w:val="000000000000" w:firstRow="0" w:lastRow="0" w:firstColumn="0" w:lastColumn="0" w:oddVBand="0" w:evenVBand="0" w:oddHBand="0" w:evenHBand="0" w:firstRowFirstColumn="0" w:firstRowLastColumn="0" w:lastRowFirstColumn="0" w:lastRowLastColumn="0"/>
            </w:pPr>
            <w:r w:rsidRPr="003B66F9">
              <w:t>0.7726</w:t>
            </w:r>
          </w:p>
        </w:tc>
        <w:tc>
          <w:tcPr>
            <w:tcW w:w="2153" w:type="dxa"/>
          </w:tcPr>
          <w:p w14:paraId="630CD31A" w14:textId="1EA0AC39" w:rsidR="004D0DE7" w:rsidRPr="00BA7B68" w:rsidRDefault="003B66F9" w:rsidP="009706C9">
            <w:pPr>
              <w:spacing w:line="240" w:lineRule="auto"/>
              <w:cnfStyle w:val="000000000000" w:firstRow="0" w:lastRow="0" w:firstColumn="0" w:lastColumn="0" w:oddVBand="0" w:evenVBand="0" w:oddHBand="0" w:evenHBand="0" w:firstRowFirstColumn="0" w:firstRowLastColumn="0" w:lastRowFirstColumn="0" w:lastRowLastColumn="0"/>
            </w:pPr>
            <w:r w:rsidRPr="003B66F9">
              <w:t>0.0371</w:t>
            </w:r>
            <w:r>
              <w:t>**</w:t>
            </w:r>
          </w:p>
        </w:tc>
        <w:tc>
          <w:tcPr>
            <w:tcW w:w="2153" w:type="dxa"/>
          </w:tcPr>
          <w:p w14:paraId="7E0B8214" w14:textId="5636413D" w:rsidR="004D0DE7" w:rsidRPr="00BA7B68" w:rsidRDefault="003B66F9" w:rsidP="009706C9">
            <w:pPr>
              <w:spacing w:line="240" w:lineRule="auto"/>
              <w:cnfStyle w:val="000000000000" w:firstRow="0" w:lastRow="0" w:firstColumn="0" w:lastColumn="0" w:oddVBand="0" w:evenVBand="0" w:oddHBand="0" w:evenHBand="0" w:firstRowFirstColumn="0" w:firstRowLastColumn="0" w:lastRowFirstColumn="0" w:lastRowLastColumn="0"/>
            </w:pPr>
            <w:r w:rsidRPr="003B66F9">
              <w:t>0.3373</w:t>
            </w:r>
          </w:p>
        </w:tc>
      </w:tr>
      <w:tr w:rsidR="003B66F9" w:rsidRPr="00BA7B68" w14:paraId="1E25617C" w14:textId="77777777" w:rsidTr="003B66F9">
        <w:trPr>
          <w:trHeight w:val="592"/>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bottom w:val="single" w:sz="4" w:space="0" w:color="auto"/>
            </w:tcBorders>
            <w:vAlign w:val="bottom"/>
          </w:tcPr>
          <w:p w14:paraId="09550820" w14:textId="4DDC8926" w:rsidR="003B66F9" w:rsidRPr="003B66F9" w:rsidRDefault="003B66F9" w:rsidP="003B66F9">
            <w:pPr>
              <w:spacing w:line="240" w:lineRule="auto"/>
              <w:jc w:val="center"/>
              <w:rPr>
                <w:b w:val="0"/>
                <w:bCs w:val="0"/>
              </w:rPr>
            </w:pPr>
            <w:r w:rsidRPr="003B66F9">
              <w:rPr>
                <w:b w:val="0"/>
                <w:bCs w:val="0"/>
              </w:rPr>
              <w:t>[*,**,***] indicate rejection at the [1%,5%,10%] significance level.</w:t>
            </w:r>
          </w:p>
        </w:tc>
      </w:tr>
    </w:tbl>
    <w:p w14:paraId="12D87D31" w14:textId="64337B6D" w:rsidR="00985227" w:rsidRDefault="003B66F9" w:rsidP="00985227">
      <w:pPr>
        <w:spacing w:before="240"/>
      </w:pPr>
      <m:oMath>
        <m:r>
          <m:rPr>
            <m:sty m:val="p"/>
          </m:rPr>
          <w:rPr>
            <w:rFonts w:ascii="Cambria Math" w:hAnsi="Cambria Math"/>
          </w:rPr>
          <m:t>Δ</m:t>
        </m:r>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mean</m:t>
            </m:r>
          </m:sub>
        </m:sSub>
      </m:oMath>
      <w:r>
        <w:t xml:space="preserve"> cannot reject the null of a unit root. This is problematic, because median and mean wages are typically not regressed in second differences. In order to figure out if the inability to reject the null is an artefact of small sample size, I backdate</w:t>
      </w:r>
      <w:r w:rsidR="00D61DFE">
        <w:t>d</w:t>
      </w:r>
      <w:r>
        <w:t xml:space="preserve"> </w:t>
      </w:r>
      <m:oMath>
        <m:r>
          <m:rPr>
            <m:sty m:val="p"/>
          </m:rPr>
          <w:rPr>
            <w:rFonts w:ascii="Cambria Math" w:hAnsi="Cambria Math"/>
          </w:rPr>
          <m:t>Δ</m:t>
        </m:r>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mean</m:t>
            </m:r>
          </m:sub>
        </m:sSub>
      </m:oMath>
      <w:r>
        <w:t xml:space="preserve"> us</w:t>
      </w:r>
      <w:r w:rsidR="00D61DFE">
        <w:t>ing</w:t>
      </w:r>
      <w:r>
        <w:t xml:space="preserve"> </w:t>
      </w:r>
      <w:r w:rsidR="00851C2F">
        <w:t xml:space="preserve">real consumption wages which are available from 1970 </w:t>
      </w:r>
      <w:sdt>
        <w:sdtPr>
          <w:id w:val="1017582598"/>
          <w:citation/>
        </w:sdtPr>
        <w:sdtContent>
          <w:r w:rsidR="00851C2F">
            <w:fldChar w:fldCharType="begin"/>
          </w:r>
          <w:r w:rsidR="00851C2F">
            <w:instrText xml:space="preserve"> CITATION Ban24 \l 2057 </w:instrText>
          </w:r>
          <w:r w:rsidR="00851C2F">
            <w:fldChar w:fldCharType="separate"/>
          </w:r>
          <w:r w:rsidR="007D5421" w:rsidRPr="007D5421">
            <w:rPr>
              <w:noProof/>
            </w:rPr>
            <w:t>(Bank of England, 2024)</w:t>
          </w:r>
          <w:r w:rsidR="00851C2F">
            <w:fldChar w:fldCharType="end"/>
          </w:r>
        </w:sdtContent>
      </w:sdt>
      <w:r w:rsidR="00851C2F">
        <w:t xml:space="preserve">. The ADF test is repeated in </w:t>
      </w:r>
      <w:r w:rsidR="009100B5">
        <w:t>T</w:t>
      </w:r>
      <w:r w:rsidR="00851C2F">
        <w:t>able A4</w:t>
      </w:r>
    </w:p>
    <w:tbl>
      <w:tblPr>
        <w:tblStyle w:val="GridTable1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949"/>
        <w:gridCol w:w="2153"/>
        <w:gridCol w:w="2153"/>
        <w:gridCol w:w="2153"/>
      </w:tblGrid>
      <w:tr w:rsidR="00851C2F" w:rsidRPr="00BA7B68" w14:paraId="5DB9ED95" w14:textId="77777777" w:rsidTr="009706C9">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1ADE5043" w14:textId="3FDFFF5F" w:rsidR="00851C2F" w:rsidRDefault="00851C2F" w:rsidP="009706C9">
            <w:pPr>
              <w:spacing w:line="240" w:lineRule="auto"/>
              <w:jc w:val="center"/>
            </w:pPr>
            <w:r>
              <w:t>Table A4 – ADF test results</w:t>
            </w:r>
          </w:p>
        </w:tc>
      </w:tr>
      <w:tr w:rsidR="00851C2F" w:rsidRPr="00BA7B68" w14:paraId="1BD921C9" w14:textId="77777777" w:rsidTr="009706C9">
        <w:trPr>
          <w:trHeight w:val="329"/>
          <w:jc w:val="center"/>
        </w:trPr>
        <w:tc>
          <w:tcPr>
            <w:cnfStyle w:val="001000000000" w:firstRow="0" w:lastRow="0" w:firstColumn="1" w:lastColumn="0" w:oddVBand="0" w:evenVBand="0" w:oddHBand="0" w:evenHBand="0" w:firstRowFirstColumn="0" w:firstRowLastColumn="0" w:lastRowFirstColumn="0" w:lastRowLastColumn="0"/>
            <w:tcW w:w="1618" w:type="dxa"/>
            <w:tcBorders>
              <w:top w:val="single" w:sz="4" w:space="0" w:color="auto"/>
            </w:tcBorders>
          </w:tcPr>
          <w:p w14:paraId="40DC65C4" w14:textId="77777777" w:rsidR="00851C2F" w:rsidRPr="00BA7B68" w:rsidRDefault="00851C2F" w:rsidP="009706C9">
            <w:pPr>
              <w:spacing w:line="240" w:lineRule="auto"/>
            </w:pPr>
            <w:r w:rsidRPr="00BA7B68">
              <w:t>Variables</w:t>
            </w:r>
          </w:p>
        </w:tc>
        <w:tc>
          <w:tcPr>
            <w:tcW w:w="949" w:type="dxa"/>
            <w:tcBorders>
              <w:top w:val="single" w:sz="4" w:space="0" w:color="auto"/>
              <w:right w:val="single" w:sz="4" w:space="0" w:color="auto"/>
            </w:tcBorders>
          </w:tcPr>
          <w:p w14:paraId="6238D49C" w14:textId="77777777" w:rsidR="00851C2F" w:rsidRPr="00F61D61" w:rsidRDefault="00851C2F" w:rsidP="009706C9">
            <w:pPr>
              <w:spacing w:line="240" w:lineRule="auto"/>
              <w:cnfStyle w:val="000000000000" w:firstRow="0" w:lastRow="0" w:firstColumn="0" w:lastColumn="0" w:oddVBand="0" w:evenVBand="0" w:oddHBand="0" w:evenHBand="0" w:firstRowFirstColumn="0" w:firstRowLastColumn="0" w:lastRowFirstColumn="0" w:lastRowLastColumn="0"/>
              <w:rPr>
                <w:b/>
                <w:bCs/>
              </w:rPr>
            </w:pPr>
            <m:oMathPara>
              <m:oMath>
                <m:r>
                  <m:rPr>
                    <m:sty m:val="bi"/>
                  </m:rPr>
                  <w:rPr>
                    <w:rFonts w:ascii="Cambria Math" w:hAnsi="Cambria Math"/>
                  </w:rPr>
                  <m:t>i</m:t>
                </m:r>
              </m:oMath>
            </m:oMathPara>
          </w:p>
        </w:tc>
        <w:tc>
          <w:tcPr>
            <w:tcW w:w="6459" w:type="dxa"/>
            <w:gridSpan w:val="3"/>
            <w:tcBorders>
              <w:top w:val="single" w:sz="4" w:space="0" w:color="auto"/>
              <w:left w:val="single" w:sz="4" w:space="0" w:color="auto"/>
            </w:tcBorders>
          </w:tcPr>
          <w:p w14:paraId="39415EA8" w14:textId="77777777" w:rsidR="00851C2F" w:rsidRPr="00BA7B68" w:rsidRDefault="00851C2F" w:rsidP="009706C9">
            <w:pPr>
              <w:spacing w:line="240" w:lineRule="auto"/>
              <w:jc w:val="center"/>
              <w:cnfStyle w:val="000000000000" w:firstRow="0" w:lastRow="0" w:firstColumn="0" w:lastColumn="0" w:oddVBand="0" w:evenVBand="0" w:oddHBand="0" w:evenHBand="0" w:firstRowFirstColumn="0" w:firstRowLastColumn="0" w:lastRowFirstColumn="0" w:lastRowLastColumn="0"/>
            </w:pPr>
            <w:r>
              <w:t>MacKinnon Approximate p-value</w:t>
            </w:r>
          </w:p>
        </w:tc>
      </w:tr>
      <w:tr w:rsidR="00851C2F" w:rsidRPr="00BA7B68" w14:paraId="37A5D35E" w14:textId="77777777" w:rsidTr="009706C9">
        <w:trPr>
          <w:trHeight w:val="329"/>
          <w:jc w:val="center"/>
        </w:trPr>
        <w:tc>
          <w:tcPr>
            <w:cnfStyle w:val="001000000000" w:firstRow="0" w:lastRow="0" w:firstColumn="1" w:lastColumn="0" w:oddVBand="0" w:evenVBand="0" w:oddHBand="0" w:evenHBand="0" w:firstRowFirstColumn="0" w:firstRowLastColumn="0" w:lastRowFirstColumn="0" w:lastRowLastColumn="0"/>
            <w:tcW w:w="1618" w:type="dxa"/>
            <w:tcBorders>
              <w:bottom w:val="single" w:sz="4" w:space="0" w:color="auto"/>
            </w:tcBorders>
          </w:tcPr>
          <w:p w14:paraId="73F1CBD2" w14:textId="77777777" w:rsidR="00851C2F" w:rsidRPr="00BA7B68" w:rsidRDefault="00851C2F" w:rsidP="009706C9">
            <w:pPr>
              <w:spacing w:line="240" w:lineRule="auto"/>
            </w:pPr>
          </w:p>
        </w:tc>
        <w:tc>
          <w:tcPr>
            <w:tcW w:w="949" w:type="dxa"/>
            <w:tcBorders>
              <w:bottom w:val="single" w:sz="4" w:space="0" w:color="auto"/>
              <w:right w:val="single" w:sz="4" w:space="0" w:color="auto"/>
            </w:tcBorders>
          </w:tcPr>
          <w:p w14:paraId="1E253326" w14:textId="77777777" w:rsidR="00851C2F" w:rsidRPr="00F61D61" w:rsidRDefault="00851C2F" w:rsidP="009706C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b/>
                <w:bCs/>
              </w:rPr>
            </w:pPr>
          </w:p>
        </w:tc>
        <w:tc>
          <w:tcPr>
            <w:tcW w:w="2153" w:type="dxa"/>
            <w:tcBorders>
              <w:left w:val="single" w:sz="4" w:space="0" w:color="auto"/>
              <w:bottom w:val="single" w:sz="4" w:space="0" w:color="auto"/>
            </w:tcBorders>
          </w:tcPr>
          <w:p w14:paraId="1427F606" w14:textId="77777777" w:rsidR="00851C2F" w:rsidRPr="00686223" w:rsidRDefault="00851C2F" w:rsidP="009706C9">
            <w:pPr>
              <w:spacing w:line="240" w:lineRule="auto"/>
              <w:jc w:val="both"/>
              <w:cnfStyle w:val="000000000000" w:firstRow="0" w:lastRow="0" w:firstColumn="0" w:lastColumn="0" w:oddVBand="0" w:evenVBand="0" w:oddHBand="0" w:evenHBand="0" w:firstRowFirstColumn="0" w:firstRowLastColumn="0" w:lastRowFirstColumn="0" w:lastRowLastColumn="0"/>
            </w:pPr>
            <w:r>
              <w:rPr>
                <w:rFonts w:eastAsia="Times New Roman"/>
              </w:rPr>
              <w:t xml:space="preserve">With </w:t>
            </w:r>
            <m:oMath>
              <m:r>
                <w:rPr>
                  <w:rFonts w:ascii="Cambria Math" w:hAnsi="Cambria Math"/>
                </w:rPr>
                <m:t>λt</m:t>
              </m:r>
            </m:oMath>
          </w:p>
        </w:tc>
        <w:tc>
          <w:tcPr>
            <w:tcW w:w="2153" w:type="dxa"/>
            <w:tcBorders>
              <w:bottom w:val="single" w:sz="4" w:space="0" w:color="auto"/>
            </w:tcBorders>
          </w:tcPr>
          <w:p w14:paraId="5C160704" w14:textId="77777777" w:rsidR="00851C2F" w:rsidRPr="00686223" w:rsidRDefault="00851C2F" w:rsidP="009706C9">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With </w:t>
            </w:r>
            <m:oMath>
              <m:r>
                <w:rPr>
                  <w:rFonts w:ascii="Cambria Math" w:hAnsi="Cambria Math"/>
                </w:rPr>
                <m:t>α</m:t>
              </m:r>
            </m:oMath>
          </w:p>
        </w:tc>
        <w:tc>
          <w:tcPr>
            <w:tcW w:w="2153" w:type="dxa"/>
            <w:tcBorders>
              <w:bottom w:val="single" w:sz="4" w:space="0" w:color="auto"/>
            </w:tcBorders>
          </w:tcPr>
          <w:p w14:paraId="5417FF31" w14:textId="77777777" w:rsidR="00851C2F" w:rsidRPr="00686223" w:rsidRDefault="00851C2F" w:rsidP="009706C9">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With </w:t>
            </w:r>
            <m:oMath>
              <m:sSub>
                <m:sSubPr>
                  <m:ctrlPr>
                    <w:rPr>
                      <w:rFonts w:ascii="Cambria Math" w:hAnsi="Cambria Math"/>
                      <w:i/>
                    </w:rPr>
                  </m:ctrlPr>
                </m:sSubPr>
                <m:e>
                  <m:r>
                    <w:rPr>
                      <w:rFonts w:ascii="Cambria Math" w:hAnsi="Cambria Math"/>
                    </w:rPr>
                    <m:t>β</m:t>
                  </m:r>
                </m:e>
                <m:sub>
                  <m:r>
                    <w:rPr>
                      <w:rFonts w:ascii="Cambria Math" w:hAnsi="Cambria Math"/>
                    </w:rPr>
                    <m:t>0</m:t>
                  </m:r>
                </m:sub>
              </m:sSub>
            </m:oMath>
          </w:p>
        </w:tc>
      </w:tr>
      <w:tr w:rsidR="00851C2F" w:rsidRPr="00BA7B68" w14:paraId="7CB48D7F" w14:textId="77777777" w:rsidTr="009706C9">
        <w:trPr>
          <w:trHeight w:val="277"/>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6FAA8B72" w14:textId="77777777" w:rsidR="00851C2F" w:rsidRPr="00F61D61" w:rsidRDefault="00851C2F" w:rsidP="009706C9">
            <w:pPr>
              <w:spacing w:line="240" w:lineRule="auto"/>
              <w:rPr>
                <w:i/>
                <w:iCs/>
              </w:rPr>
            </w:pPr>
            <w:r>
              <w:rPr>
                <w:i/>
                <w:iCs/>
              </w:rPr>
              <w:t>First Difference</w:t>
            </w:r>
          </w:p>
        </w:tc>
      </w:tr>
      <w:tr w:rsidR="00851C2F" w:rsidRPr="00BA7B68" w14:paraId="601A66C9" w14:textId="77777777" w:rsidTr="009706C9">
        <w:trPr>
          <w:trHeight w:val="281"/>
          <w:jc w:val="center"/>
        </w:trPr>
        <w:tc>
          <w:tcPr>
            <w:cnfStyle w:val="001000000000" w:firstRow="0" w:lastRow="0" w:firstColumn="1" w:lastColumn="0" w:oddVBand="0" w:evenVBand="0" w:oddHBand="0" w:evenHBand="0" w:firstRowFirstColumn="0" w:firstRowLastColumn="0" w:lastRowFirstColumn="0" w:lastRowLastColumn="0"/>
            <w:tcW w:w="1618" w:type="dxa"/>
          </w:tcPr>
          <w:p w14:paraId="59323794" w14:textId="77777777" w:rsidR="00851C2F" w:rsidRPr="00F61D61" w:rsidRDefault="00851C2F" w:rsidP="009706C9">
            <w:pPr>
              <w:spacing w:line="240" w:lineRule="auto"/>
              <w:jc w:val="both"/>
              <w:rPr>
                <w:rFonts w:eastAsia="Times New Roman"/>
                <w:b w:val="0"/>
                <w:bCs w:val="0"/>
              </w:rPr>
            </w:pPr>
            <m:oMathPara>
              <m:oMathParaPr>
                <m:jc m:val="right"/>
              </m:oMathParaPr>
              <m:oMath>
                <m:r>
                  <m:rPr>
                    <m:sty m:val="bi"/>
                  </m:rPr>
                  <w:rPr>
                    <w:rFonts w:ascii="Cambria Math" w:eastAsia="Times New Roman" w:hAnsi="Cambria Math"/>
                  </w:rPr>
                  <m:t>wage</m:t>
                </m:r>
                <m:sSub>
                  <m:sSubPr>
                    <m:ctrlPr>
                      <w:rPr>
                        <w:rFonts w:ascii="Cambria Math" w:eastAsia="Times New Roman" w:hAnsi="Cambria Math"/>
                        <w:b w:val="0"/>
                        <w:bCs w:val="0"/>
                        <w:i/>
                      </w:rPr>
                    </m:ctrlPr>
                  </m:sSubPr>
                  <m:e>
                    <m:r>
                      <m:rPr>
                        <m:sty m:val="bi"/>
                      </m:rPr>
                      <w:rPr>
                        <w:rFonts w:ascii="Cambria Math" w:eastAsia="Times New Roman" w:hAnsi="Cambria Math"/>
                      </w:rPr>
                      <m:t>s</m:t>
                    </m:r>
                    <m:ctrlPr>
                      <w:rPr>
                        <w:rFonts w:ascii="Cambria Math" w:eastAsia="Times New Roman" w:hAnsi="Cambria Math"/>
                        <w:i/>
                      </w:rPr>
                    </m:ctrlPr>
                  </m:e>
                  <m:sub>
                    <m:r>
                      <m:rPr>
                        <m:sty m:val="bi"/>
                      </m:rPr>
                      <w:rPr>
                        <w:rFonts w:ascii="Cambria Math" w:eastAsia="Times New Roman" w:hAnsi="Cambria Math"/>
                      </w:rPr>
                      <m:t>mean</m:t>
                    </m:r>
                  </m:sub>
                </m:sSub>
              </m:oMath>
            </m:oMathPara>
          </w:p>
        </w:tc>
        <w:tc>
          <w:tcPr>
            <w:tcW w:w="949" w:type="dxa"/>
            <w:tcBorders>
              <w:right w:val="single" w:sz="4" w:space="0" w:color="auto"/>
            </w:tcBorders>
          </w:tcPr>
          <w:p w14:paraId="768B0526" w14:textId="77777777" w:rsidR="00851C2F" w:rsidRPr="00BA7B68" w:rsidRDefault="00851C2F" w:rsidP="009706C9">
            <w:pPr>
              <w:spacing w:line="240" w:lineRule="auto"/>
              <w:jc w:val="right"/>
              <w:cnfStyle w:val="000000000000" w:firstRow="0" w:lastRow="0" w:firstColumn="0" w:lastColumn="0" w:oddVBand="0" w:evenVBand="0" w:oddHBand="0" w:evenHBand="0" w:firstRowFirstColumn="0" w:firstRowLastColumn="0" w:lastRowFirstColumn="0" w:lastRowLastColumn="0"/>
            </w:pPr>
            <w:r>
              <w:t>0</w:t>
            </w:r>
          </w:p>
        </w:tc>
        <w:tc>
          <w:tcPr>
            <w:tcW w:w="2153" w:type="dxa"/>
            <w:tcBorders>
              <w:left w:val="single" w:sz="4" w:space="0" w:color="auto"/>
            </w:tcBorders>
          </w:tcPr>
          <w:p w14:paraId="4E518195" w14:textId="5E6DF79B" w:rsidR="00851C2F" w:rsidRPr="00BA7B68" w:rsidRDefault="00851C2F" w:rsidP="009706C9">
            <w:pPr>
              <w:spacing w:line="240" w:lineRule="auto"/>
              <w:cnfStyle w:val="000000000000" w:firstRow="0" w:lastRow="0" w:firstColumn="0" w:lastColumn="0" w:oddVBand="0" w:evenVBand="0" w:oddHBand="0" w:evenHBand="0" w:firstRowFirstColumn="0" w:firstRowLastColumn="0" w:lastRowFirstColumn="0" w:lastRowLastColumn="0"/>
            </w:pPr>
            <w:r w:rsidRPr="00851C2F">
              <w:t>0.0018</w:t>
            </w:r>
            <w:r>
              <w:t>***</w:t>
            </w:r>
          </w:p>
        </w:tc>
        <w:tc>
          <w:tcPr>
            <w:tcW w:w="2153" w:type="dxa"/>
          </w:tcPr>
          <w:p w14:paraId="27E517DB" w14:textId="73A30F2C" w:rsidR="00851C2F" w:rsidRPr="00BA7B68" w:rsidRDefault="00851C2F" w:rsidP="009706C9">
            <w:pPr>
              <w:spacing w:line="240" w:lineRule="auto"/>
              <w:cnfStyle w:val="000000000000" w:firstRow="0" w:lastRow="0" w:firstColumn="0" w:lastColumn="0" w:oddVBand="0" w:evenVBand="0" w:oddHBand="0" w:evenHBand="0" w:firstRowFirstColumn="0" w:firstRowLastColumn="0" w:lastRowFirstColumn="0" w:lastRowLastColumn="0"/>
            </w:pPr>
            <w:r w:rsidRPr="00851C2F">
              <w:t>0.0002</w:t>
            </w:r>
          </w:p>
        </w:tc>
        <w:tc>
          <w:tcPr>
            <w:tcW w:w="2153" w:type="dxa"/>
          </w:tcPr>
          <w:p w14:paraId="1AD10786" w14:textId="4978A571" w:rsidR="00851C2F" w:rsidRPr="00BA7B68" w:rsidRDefault="00851C2F" w:rsidP="009706C9">
            <w:pPr>
              <w:spacing w:line="240" w:lineRule="auto"/>
              <w:cnfStyle w:val="000000000000" w:firstRow="0" w:lastRow="0" w:firstColumn="0" w:lastColumn="0" w:oddVBand="0" w:evenVBand="0" w:oddHBand="0" w:evenHBand="0" w:firstRowFirstColumn="0" w:firstRowLastColumn="0" w:lastRowFirstColumn="0" w:lastRowLastColumn="0"/>
            </w:pPr>
            <w:r w:rsidRPr="00851C2F">
              <w:t>0.0031</w:t>
            </w:r>
            <w:r>
              <w:t>***</w:t>
            </w:r>
          </w:p>
        </w:tc>
      </w:tr>
      <w:tr w:rsidR="00851C2F" w:rsidRPr="00BA7B68" w14:paraId="68CCBEA2" w14:textId="77777777" w:rsidTr="009706C9">
        <w:trPr>
          <w:trHeight w:val="592"/>
          <w:jc w:val="center"/>
        </w:trPr>
        <w:tc>
          <w:tcPr>
            <w:cnfStyle w:val="001000000000" w:firstRow="0" w:lastRow="0" w:firstColumn="1" w:lastColumn="0" w:oddVBand="0" w:evenVBand="0" w:oddHBand="0" w:evenHBand="0" w:firstRowFirstColumn="0" w:firstRowLastColumn="0" w:lastRowFirstColumn="0" w:lastRowLastColumn="0"/>
            <w:tcW w:w="9026" w:type="dxa"/>
            <w:gridSpan w:val="5"/>
            <w:tcBorders>
              <w:bottom w:val="single" w:sz="4" w:space="0" w:color="auto"/>
            </w:tcBorders>
            <w:vAlign w:val="bottom"/>
          </w:tcPr>
          <w:p w14:paraId="6FE61551" w14:textId="77777777" w:rsidR="00851C2F" w:rsidRPr="003B66F9" w:rsidRDefault="00851C2F" w:rsidP="009706C9">
            <w:pPr>
              <w:spacing w:line="240" w:lineRule="auto"/>
              <w:jc w:val="center"/>
              <w:rPr>
                <w:b w:val="0"/>
                <w:bCs w:val="0"/>
              </w:rPr>
            </w:pPr>
            <w:r w:rsidRPr="003B66F9">
              <w:rPr>
                <w:b w:val="0"/>
                <w:bCs w:val="0"/>
              </w:rPr>
              <w:t>[*,**,***] indicate rejection at the [1%,5%,10%] significance level.</w:t>
            </w:r>
          </w:p>
        </w:tc>
      </w:tr>
    </w:tbl>
    <w:p w14:paraId="7EE46407" w14:textId="07EF6497" w:rsidR="00851C2F" w:rsidRDefault="00131898" w:rsidP="00985227">
      <w:pPr>
        <w:spacing w:before="240"/>
      </w:pPr>
      <w:r>
        <w:t>Because</w:t>
      </w:r>
      <w:r w:rsidR="00851C2F">
        <w:t xml:space="preserve"> substituting variable data </w:t>
      </w:r>
      <w:r>
        <w:t>helped to pass the ADF test</w:t>
      </w:r>
      <w:r w:rsidR="00851C2F">
        <w:t xml:space="preserve">, </w:t>
      </w:r>
      <w:r>
        <w:t>it seems</w:t>
      </w:r>
      <w:r w:rsidR="00851C2F">
        <w:t xml:space="preserve"> that the lesser statistical power of the ADF and CMR tests in checking for a unit root originally was likely due a low number of observations</w:t>
      </w:r>
      <w:r>
        <w:t xml:space="preserve"> and not due to the presence of a unit root.</w:t>
      </w:r>
    </w:p>
    <w:p w14:paraId="4944B5A5" w14:textId="29F7DFA4" w:rsidR="00131898" w:rsidRDefault="00131898" w:rsidP="00985227">
      <w:pPr>
        <w:spacing w:before="240"/>
      </w:pPr>
      <w:r>
        <w:t xml:space="preserve">As such, we have determined that </w:t>
      </w:r>
      <m:oMath>
        <m:r>
          <m:rPr>
            <m:sty m:val="p"/>
          </m:rPr>
          <w:rPr>
            <w:rFonts w:ascii="Cambria Math" w:hAnsi="Cambria Math"/>
          </w:rPr>
          <m:t>Δ</m:t>
        </m:r>
        <m:r>
          <w:rPr>
            <w:rFonts w:ascii="Cambria Math" w:hAnsi="Cambria Math"/>
          </w:rPr>
          <m:t>wages</m:t>
        </m:r>
      </m:oMath>
      <w:r>
        <w:t xml:space="preserve">, </w:t>
      </w:r>
      <m:oMath>
        <m:r>
          <m:rPr>
            <m:sty m:val="p"/>
          </m:rPr>
          <w:rPr>
            <w:rFonts w:ascii="Cambria Math" w:hAnsi="Cambria Math"/>
          </w:rPr>
          <m:t>Δ</m:t>
        </m:r>
        <m:r>
          <w:rPr>
            <w:rFonts w:ascii="Cambria Math" w:hAnsi="Cambria Math"/>
          </w:rPr>
          <m:t>prod</m:t>
        </m:r>
      </m:oMath>
      <w:r>
        <w:t xml:space="preserve">, </w:t>
      </w:r>
      <m:oMath>
        <m:r>
          <m:rPr>
            <m:sty m:val="p"/>
          </m:rPr>
          <w:rPr>
            <w:rFonts w:ascii="Cambria Math" w:hAnsi="Cambria Math"/>
          </w:rPr>
          <m:t>Δ</m:t>
        </m:r>
        <m:r>
          <w:rPr>
            <w:rFonts w:ascii="Cambria Math" w:hAnsi="Cambria Math"/>
          </w:rPr>
          <m:t>comp</m:t>
        </m:r>
      </m:oMath>
      <w:r>
        <w:t xml:space="preserve">, and </w:t>
      </w:r>
      <m:oMath>
        <m:r>
          <w:rPr>
            <w:rFonts w:ascii="Cambria Math" w:hAnsi="Cambria Math"/>
          </w:rPr>
          <m:t>inf</m:t>
        </m:r>
      </m:oMath>
      <w:r>
        <w:t xml:space="preserve"> are all stationary.</w:t>
      </w:r>
    </w:p>
    <w:p w14:paraId="563F176B" w14:textId="3F831B4B" w:rsidR="00131898" w:rsidRDefault="00131898" w:rsidP="00131898">
      <w:pPr>
        <w:pStyle w:val="Heading2"/>
      </w:pPr>
      <w:bookmarkStart w:id="20" w:name="_Toc198794483"/>
      <w:r>
        <w:t>Appendix II</w:t>
      </w:r>
      <w:bookmarkEnd w:id="20"/>
    </w:p>
    <w:p w14:paraId="73D39F37" w14:textId="41364261" w:rsidR="00131898" w:rsidRDefault="00131898" w:rsidP="00131898">
      <w:r>
        <w:t>Different productivity specifications – NDP, NVA, GDP, GVA – are calculated by using the ONS Blue Book Time Series (2024). This provides information on GDP, GVA and NDP in current prices (CP), and also provides a GDP deflator. The total number of productivity hours in an economy was found using the ONS ‘Labour productivity by industry division’ (2022) dataset.</w:t>
      </w:r>
    </w:p>
    <w:p w14:paraId="025998DA" w14:textId="0A7E7AB0" w:rsidR="00131898" w:rsidRDefault="00131898" w:rsidP="00131898">
      <w:r>
        <w:t xml:space="preserve">The difference was found between GDP and GVA to calculate </w:t>
      </w:r>
      <m:oMath>
        <m:r>
          <w:rPr>
            <w:rFonts w:ascii="Cambria Math" w:hAnsi="Cambria Math"/>
          </w:rPr>
          <m:t>taxes-subsidies</m:t>
        </m:r>
      </m:oMath>
      <w:r>
        <w:t xml:space="preserve"> and added to NDP to calculate NVA. The only methodological hurdle is that the GDP deflator was used to deflate NDP, NVA and GVA. Because other output deflators are not available, I felt using the GDP deflator was the best option.</w:t>
      </w:r>
    </w:p>
    <w:p w14:paraId="664A1EA8" w14:textId="3AA38605" w:rsidR="00131898" w:rsidRDefault="00131898" w:rsidP="00131898">
      <w:pPr>
        <w:rPr>
          <w:color w:val="FF0000"/>
        </w:rPr>
      </w:pPr>
      <w:r>
        <w:t>Once all output measures were deflated, I divided by the number of hours worked to calculate productivity. I checked this method was accurate by cross-examining my synthetic GVA productivity with the ONS labour productivity time series</w:t>
      </w:r>
      <w:sdt>
        <w:sdtPr>
          <w:id w:val="-1584677951"/>
          <w:citation/>
        </w:sdtPr>
        <w:sdtContent>
          <w:r>
            <w:fldChar w:fldCharType="begin"/>
          </w:r>
          <w:r>
            <w:instrText xml:space="preserve"> CITATION ONS252 \l 2057 </w:instrText>
          </w:r>
          <w:r>
            <w:fldChar w:fldCharType="separate"/>
          </w:r>
          <w:r w:rsidR="007D5421">
            <w:rPr>
              <w:noProof/>
            </w:rPr>
            <w:t xml:space="preserve"> </w:t>
          </w:r>
          <w:r w:rsidR="007D5421" w:rsidRPr="007D5421">
            <w:rPr>
              <w:noProof/>
            </w:rPr>
            <w:t>(ONS, 2025)</w:t>
          </w:r>
          <w:r>
            <w:fldChar w:fldCharType="end"/>
          </w:r>
        </w:sdtContent>
      </w:sdt>
      <w:r>
        <w:t>. Results were nearly identical so I felt it was worth fully implementing into the research process.</w:t>
      </w:r>
    </w:p>
    <w:p w14:paraId="1852B04B" w14:textId="6D306258" w:rsidR="00625528" w:rsidRDefault="00625528" w:rsidP="00625528">
      <w:pPr>
        <w:jc w:val="center"/>
        <w:rPr>
          <w:color w:val="FF0000"/>
        </w:rPr>
      </w:pPr>
      <w:r>
        <w:rPr>
          <w:noProof/>
        </w:rPr>
        <w:drawing>
          <wp:inline distT="0" distB="0" distL="0" distR="0" wp14:anchorId="7439B736" wp14:editId="65368C86">
            <wp:extent cx="3785825" cy="2523744"/>
            <wp:effectExtent l="0" t="0" r="5715" b="0"/>
            <wp:docPr id="1748835734" name="Picture 9" descr="A graph of growth in different pos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5734" name="Picture 9" descr="A graph of growth in different position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6925" cy="2544476"/>
                    </a:xfrm>
                    <a:prstGeom prst="rect">
                      <a:avLst/>
                    </a:prstGeom>
                    <a:noFill/>
                    <a:ln>
                      <a:noFill/>
                    </a:ln>
                  </pic:spPr>
                </pic:pic>
              </a:graphicData>
            </a:graphic>
          </wp:inline>
        </w:drawing>
      </w:r>
    </w:p>
    <w:p w14:paraId="7903063E" w14:textId="09940299" w:rsidR="00625528" w:rsidRPr="00625528" w:rsidRDefault="00625528" w:rsidP="00625528">
      <w:pPr>
        <w:jc w:val="center"/>
        <w:rPr>
          <w:i/>
          <w:iCs/>
        </w:rPr>
      </w:pPr>
      <w:r w:rsidRPr="00625528">
        <w:rPr>
          <w:i/>
          <w:iCs/>
        </w:rPr>
        <w:t>Figure B1</w:t>
      </w:r>
    </w:p>
    <w:p w14:paraId="661ADD6F" w14:textId="5985E34A" w:rsidR="00625528" w:rsidRDefault="00625528" w:rsidP="00625528">
      <w:pPr>
        <w:pStyle w:val="Heading2"/>
      </w:pPr>
      <w:bookmarkStart w:id="21" w:name="_Toc198794484"/>
      <w:r>
        <w:t>Appendix III</w:t>
      </w:r>
      <w:bookmarkEnd w:id="21"/>
    </w:p>
    <w:p w14:paraId="04A062CD" w14:textId="505D787E" w:rsidR="00625528" w:rsidRDefault="00625528" w:rsidP="00625528">
      <w:r>
        <w:t xml:space="preserve">The 25-49yr old unemployment rate was calculated by first accessing UNEM01 </w:t>
      </w:r>
      <w:sdt>
        <w:sdtPr>
          <w:id w:val="1706986048"/>
          <w:citation/>
        </w:sdtPr>
        <w:sdtContent>
          <w:r>
            <w:fldChar w:fldCharType="begin"/>
          </w:r>
          <w:r>
            <w:instrText xml:space="preserve"> CITATION ONS255 \l 2057 </w:instrText>
          </w:r>
          <w:r>
            <w:fldChar w:fldCharType="separate"/>
          </w:r>
          <w:r w:rsidR="007D5421" w:rsidRPr="007D5421">
            <w:rPr>
              <w:noProof/>
            </w:rPr>
            <w:t>(ONS, 2025)</w:t>
          </w:r>
          <w:r>
            <w:fldChar w:fldCharType="end"/>
          </w:r>
        </w:sdtContent>
      </w:sdt>
      <w:r>
        <w:t xml:space="preserve"> which stores data on unemployment between age groups. The unemployment rate is the unemployment level divided by the activity level, so I summed up the 25-34 and 35-49yr old activity rate and unemployment level and divided them.</w:t>
      </w:r>
    </w:p>
    <w:p w14:paraId="48561C1E" w14:textId="744DEB3B" w:rsidR="00625528" w:rsidRDefault="00625528" w:rsidP="00625528">
      <w:r>
        <w:t>To convert the data from monthly to yearly I simply averaged across 12-months.</w:t>
      </w:r>
    </w:p>
    <w:p w14:paraId="5CF59999" w14:textId="18842921" w:rsidR="00625528" w:rsidRDefault="00625528" w:rsidP="00625528">
      <w:pPr>
        <w:jc w:val="center"/>
      </w:pPr>
      <w:r>
        <w:rPr>
          <w:noProof/>
        </w:rPr>
        <w:drawing>
          <wp:inline distT="0" distB="0" distL="0" distR="0" wp14:anchorId="212A89A4" wp14:editId="3F5C92C9">
            <wp:extent cx="3785610" cy="2523600"/>
            <wp:effectExtent l="0" t="0" r="5715" b="0"/>
            <wp:docPr id="1238091356" name="Picture 10" descr="A graph of a line graph with a line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91356" name="Picture 10" descr="A graph of a line graph with a line and a line graph&#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5610" cy="2523600"/>
                    </a:xfrm>
                    <a:prstGeom prst="rect">
                      <a:avLst/>
                    </a:prstGeom>
                    <a:noFill/>
                    <a:ln>
                      <a:noFill/>
                    </a:ln>
                  </pic:spPr>
                </pic:pic>
              </a:graphicData>
            </a:graphic>
          </wp:inline>
        </w:drawing>
      </w:r>
    </w:p>
    <w:p w14:paraId="7E6F6E3E" w14:textId="386E7398" w:rsidR="00625528" w:rsidRPr="0061275E" w:rsidRDefault="00625528" w:rsidP="0061275E">
      <w:pPr>
        <w:jc w:val="center"/>
        <w:rPr>
          <w:i/>
          <w:iCs/>
        </w:rPr>
      </w:pPr>
      <w:r>
        <w:rPr>
          <w:i/>
          <w:iCs/>
        </w:rPr>
        <w:t>Figure B2</w:t>
      </w:r>
    </w:p>
    <w:sectPr w:rsidR="00625528" w:rsidRPr="0061275E">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5D288" w14:textId="77777777" w:rsidR="008A0828" w:rsidRDefault="008A0828" w:rsidP="00A436A2">
      <w:r>
        <w:separator/>
      </w:r>
    </w:p>
  </w:endnote>
  <w:endnote w:type="continuationSeparator" w:id="0">
    <w:p w14:paraId="1919FA37" w14:textId="77777777" w:rsidR="008A0828" w:rsidRDefault="008A0828" w:rsidP="00A4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01708" w14:textId="77777777" w:rsidR="008A0828" w:rsidRDefault="008A0828" w:rsidP="00A436A2">
      <w:r>
        <w:separator/>
      </w:r>
    </w:p>
  </w:footnote>
  <w:footnote w:type="continuationSeparator" w:id="0">
    <w:p w14:paraId="160C340F" w14:textId="77777777" w:rsidR="008A0828" w:rsidRDefault="008A0828" w:rsidP="00A436A2">
      <w:r>
        <w:continuationSeparator/>
      </w:r>
    </w:p>
  </w:footnote>
  <w:footnote w:id="1">
    <w:p w14:paraId="37925091" w14:textId="756A2B00" w:rsidR="005F6AC3" w:rsidRDefault="005F6AC3" w:rsidP="00A436A2">
      <w:pPr>
        <w:pStyle w:val="FootnoteText"/>
      </w:pPr>
      <w:r>
        <w:rPr>
          <w:rStyle w:val="FootnoteReference"/>
        </w:rPr>
        <w:footnoteRef/>
      </w:r>
      <w:r>
        <w:t xml:space="preserve"> The view, however, is much older</w:t>
      </w:r>
      <w:r w:rsidR="000F0727">
        <w:t>. Lawrence &amp; Slaughter (1993) represents an earlier incarnation with Feldstein (2008) rebuking the view based on methodological grounds.</w:t>
      </w:r>
    </w:p>
  </w:footnote>
  <w:footnote w:id="2">
    <w:p w14:paraId="3ECAF5AE" w14:textId="762C5E18" w:rsidR="000676E8" w:rsidRDefault="000676E8" w:rsidP="00A436A2">
      <w:pPr>
        <w:pStyle w:val="FootnoteText"/>
      </w:pPr>
      <w:r>
        <w:rPr>
          <w:rStyle w:val="FootnoteReference"/>
        </w:rPr>
        <w:footnoteRef/>
      </w:r>
      <w:r>
        <w:t xml:space="preserve"> This is why Feldstein (2008) argues it is more appropriate to user a producer – rather than consumer – prices when deflating income to compare it to productivity.</w:t>
      </w:r>
    </w:p>
  </w:footnote>
  <w:footnote w:id="3">
    <w:p w14:paraId="3F4C21DA" w14:textId="1F7739BB" w:rsidR="00DB72C2" w:rsidRDefault="00DB72C2">
      <w:pPr>
        <w:pStyle w:val="FootnoteText"/>
      </w:pPr>
      <w:r>
        <w:rPr>
          <w:rStyle w:val="FootnoteReference"/>
        </w:rPr>
        <w:footnoteRef/>
      </w:r>
      <w:r>
        <w:t xml:space="preserve"> </w:t>
      </w:r>
      <w:r w:rsidR="005F086E">
        <w:t>I</w:t>
      </w:r>
      <w:r w:rsidR="00CB7076">
        <w:t xml:space="preserve">nequality is key in Pessoa &amp; Van Reenen (2013) and </w:t>
      </w:r>
      <w:proofErr w:type="spellStart"/>
      <w:r w:rsidR="00CB7076">
        <w:t>Teichgraeber</w:t>
      </w:r>
      <w:proofErr w:type="spellEnd"/>
      <w:r w:rsidR="00CB7076">
        <w:t xml:space="preserve"> &amp; Van Reenen (2023), </w:t>
      </w:r>
      <w:r w:rsidR="005F086E">
        <w:t>also showing up</w:t>
      </w:r>
      <w:r w:rsidR="00CB7076">
        <w:t xml:space="preserve"> </w:t>
      </w:r>
      <w:r w:rsidR="005F086E">
        <w:t xml:space="preserve">elsewhere in the </w:t>
      </w:r>
      <w:r w:rsidR="00CB7076">
        <w:t xml:space="preserve">western world </w:t>
      </w:r>
      <w:sdt>
        <w:sdtPr>
          <w:id w:val="326792184"/>
          <w:citation/>
        </w:sdtPr>
        <w:sdtContent>
          <w:r w:rsidR="00CB7076">
            <w:fldChar w:fldCharType="begin"/>
          </w:r>
          <w:r w:rsidR="00CB7076">
            <w:instrText xml:space="preserve"> CITATION Biv15 \l 2057  \m Biv17 \m Pas18</w:instrText>
          </w:r>
          <w:r w:rsidR="00E51BC3">
            <w:instrText xml:space="preserve"> \m Bro19</w:instrText>
          </w:r>
          <w:r w:rsidR="00CB7076">
            <w:fldChar w:fldCharType="separate"/>
          </w:r>
          <w:r w:rsidR="007D5421" w:rsidRPr="007D5421">
            <w:rPr>
              <w:noProof/>
            </w:rPr>
            <w:t>(Bivens &amp; Mishel, 2015; Bivens &amp; Mishel, 2017; Pasimeni, 2018; Brocek, 2019)</w:t>
          </w:r>
          <w:r w:rsidR="00CB7076">
            <w:fldChar w:fldCharType="end"/>
          </w:r>
        </w:sdtContent>
      </w:sdt>
      <w:r w:rsidR="00CB7076">
        <w:t>.</w:t>
      </w:r>
    </w:p>
  </w:footnote>
  <w:footnote w:id="4">
    <w:p w14:paraId="54EF0C32" w14:textId="58CED930" w:rsidR="00F50BC8" w:rsidRDefault="00F50BC8">
      <w:pPr>
        <w:pStyle w:val="FootnoteText"/>
      </w:pPr>
      <w:r>
        <w:rPr>
          <w:rStyle w:val="FootnoteReference"/>
        </w:rPr>
        <w:footnoteRef/>
      </w:r>
      <w:r>
        <w:t xml:space="preserve"> Stansbury &amp; Summers (2018, p</w:t>
      </w:r>
      <w:r w:rsidR="005651A6">
        <w:t xml:space="preserve">p. 14-15) also point out that compensation may also precede a rise in productivity, given that </w:t>
      </w:r>
      <w:r w:rsidR="003D2A3D">
        <w:t xml:space="preserve">the latter </w:t>
      </w:r>
      <w:r w:rsidR="005651A6">
        <w:t>is anticipated.</w:t>
      </w:r>
    </w:p>
  </w:footnote>
  <w:footnote w:id="5">
    <w:p w14:paraId="3C79390F" w14:textId="4AB710E1" w:rsidR="00A77C04" w:rsidRDefault="00A77C04" w:rsidP="00A77C04">
      <w:pPr>
        <w:pStyle w:val="FootnoteText"/>
      </w:pPr>
      <w:r>
        <w:rPr>
          <w:rStyle w:val="FootnoteReference"/>
        </w:rPr>
        <w:footnoteRef/>
      </w:r>
      <w:r>
        <w:t xml:space="preserve"> From Bivens &amp; Mishel (2017).</w:t>
      </w:r>
    </w:p>
  </w:footnote>
  <w:footnote w:id="6">
    <w:p w14:paraId="416C03ED" w14:textId="012AE722" w:rsidR="0020662F" w:rsidRDefault="0020662F">
      <w:pPr>
        <w:pStyle w:val="FootnoteText"/>
      </w:pPr>
      <w:r>
        <w:rPr>
          <w:rStyle w:val="FootnoteReference"/>
        </w:rPr>
        <w:footnoteRef/>
      </w:r>
      <w:r>
        <w:t xml:space="preserve"> ‘Hourly Earnings nth’ denotes the nth decile.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7282128"/>
      <w:docPartObj>
        <w:docPartGallery w:val="Page Numbers (Top of Page)"/>
        <w:docPartUnique/>
      </w:docPartObj>
    </w:sdtPr>
    <w:sdtEndPr>
      <w:rPr>
        <w:noProof/>
      </w:rPr>
    </w:sdtEndPr>
    <w:sdtContent>
      <w:p w14:paraId="268979DE" w14:textId="4026E7E0" w:rsidR="007D5421" w:rsidRDefault="007D54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F6342" w14:textId="77777777" w:rsidR="007D5421" w:rsidRDefault="007D5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E4835"/>
    <w:multiLevelType w:val="hybridMultilevel"/>
    <w:tmpl w:val="966AD1FE"/>
    <w:lvl w:ilvl="0" w:tplc="4B1CE7C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5A390109"/>
    <w:multiLevelType w:val="hybridMultilevel"/>
    <w:tmpl w:val="F8A2EA9E"/>
    <w:lvl w:ilvl="0" w:tplc="F3685D20">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C92BDF"/>
    <w:multiLevelType w:val="hybridMultilevel"/>
    <w:tmpl w:val="3C24B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80EAF"/>
    <w:multiLevelType w:val="hybridMultilevel"/>
    <w:tmpl w:val="11BE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353241">
    <w:abstractNumId w:val="0"/>
  </w:num>
  <w:num w:numId="2" w16cid:durableId="854458497">
    <w:abstractNumId w:val="1"/>
  </w:num>
  <w:num w:numId="3" w16cid:durableId="154688373">
    <w:abstractNumId w:val="3"/>
  </w:num>
  <w:num w:numId="4" w16cid:durableId="1893494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C3"/>
    <w:rsid w:val="00004C7A"/>
    <w:rsid w:val="00010E81"/>
    <w:rsid w:val="00030464"/>
    <w:rsid w:val="00031964"/>
    <w:rsid w:val="00040FAB"/>
    <w:rsid w:val="000448AB"/>
    <w:rsid w:val="00052ACE"/>
    <w:rsid w:val="000676E8"/>
    <w:rsid w:val="00094749"/>
    <w:rsid w:val="000A00DA"/>
    <w:rsid w:val="000A0B98"/>
    <w:rsid w:val="000B3469"/>
    <w:rsid w:val="000C0038"/>
    <w:rsid w:val="000C2AA4"/>
    <w:rsid w:val="000D09A3"/>
    <w:rsid w:val="000D526B"/>
    <w:rsid w:val="000D56F7"/>
    <w:rsid w:val="000F0727"/>
    <w:rsid w:val="000F7084"/>
    <w:rsid w:val="00114BF0"/>
    <w:rsid w:val="00114F39"/>
    <w:rsid w:val="00131898"/>
    <w:rsid w:val="001443D6"/>
    <w:rsid w:val="00146698"/>
    <w:rsid w:val="00147CE7"/>
    <w:rsid w:val="001542A2"/>
    <w:rsid w:val="00155A48"/>
    <w:rsid w:val="00156524"/>
    <w:rsid w:val="00172151"/>
    <w:rsid w:val="0018174E"/>
    <w:rsid w:val="001C0491"/>
    <w:rsid w:val="001E4432"/>
    <w:rsid w:val="001E463F"/>
    <w:rsid w:val="00204537"/>
    <w:rsid w:val="0020662F"/>
    <w:rsid w:val="00207640"/>
    <w:rsid w:val="002148E3"/>
    <w:rsid w:val="002221B1"/>
    <w:rsid w:val="00231D52"/>
    <w:rsid w:val="00232D31"/>
    <w:rsid w:val="00267A48"/>
    <w:rsid w:val="00274D12"/>
    <w:rsid w:val="00280128"/>
    <w:rsid w:val="00290F78"/>
    <w:rsid w:val="002B3049"/>
    <w:rsid w:val="002E2457"/>
    <w:rsid w:val="003061A5"/>
    <w:rsid w:val="003246AA"/>
    <w:rsid w:val="003336A3"/>
    <w:rsid w:val="00341EF1"/>
    <w:rsid w:val="00345F36"/>
    <w:rsid w:val="0035443B"/>
    <w:rsid w:val="00387877"/>
    <w:rsid w:val="003B66F9"/>
    <w:rsid w:val="003D2A3D"/>
    <w:rsid w:val="003F1F96"/>
    <w:rsid w:val="00410277"/>
    <w:rsid w:val="0041589F"/>
    <w:rsid w:val="00432ABF"/>
    <w:rsid w:val="0043753F"/>
    <w:rsid w:val="00463854"/>
    <w:rsid w:val="00486EAD"/>
    <w:rsid w:val="00490ED2"/>
    <w:rsid w:val="00493B69"/>
    <w:rsid w:val="004A7EBF"/>
    <w:rsid w:val="004B082F"/>
    <w:rsid w:val="004B1E91"/>
    <w:rsid w:val="004C3AEB"/>
    <w:rsid w:val="004D0DE7"/>
    <w:rsid w:val="004D6BFD"/>
    <w:rsid w:val="004E3C44"/>
    <w:rsid w:val="00502F51"/>
    <w:rsid w:val="00510082"/>
    <w:rsid w:val="00515D1A"/>
    <w:rsid w:val="00516686"/>
    <w:rsid w:val="00537709"/>
    <w:rsid w:val="0055297F"/>
    <w:rsid w:val="0056261D"/>
    <w:rsid w:val="00562959"/>
    <w:rsid w:val="005651A6"/>
    <w:rsid w:val="00566FD2"/>
    <w:rsid w:val="00596F86"/>
    <w:rsid w:val="005A6A68"/>
    <w:rsid w:val="005B7680"/>
    <w:rsid w:val="005D36FB"/>
    <w:rsid w:val="005E47B7"/>
    <w:rsid w:val="005F086E"/>
    <w:rsid w:val="005F6AC3"/>
    <w:rsid w:val="00603EF4"/>
    <w:rsid w:val="0061275E"/>
    <w:rsid w:val="00613923"/>
    <w:rsid w:val="00625528"/>
    <w:rsid w:val="00626BC0"/>
    <w:rsid w:val="00651AD1"/>
    <w:rsid w:val="0065464F"/>
    <w:rsid w:val="00675D0D"/>
    <w:rsid w:val="00691063"/>
    <w:rsid w:val="006B0BD2"/>
    <w:rsid w:val="006C0111"/>
    <w:rsid w:val="006C48E7"/>
    <w:rsid w:val="006D2104"/>
    <w:rsid w:val="006E1753"/>
    <w:rsid w:val="007A72D5"/>
    <w:rsid w:val="007C0726"/>
    <w:rsid w:val="007D5421"/>
    <w:rsid w:val="007E1CE5"/>
    <w:rsid w:val="007E2BAD"/>
    <w:rsid w:val="007E3A0F"/>
    <w:rsid w:val="007F6F98"/>
    <w:rsid w:val="00800866"/>
    <w:rsid w:val="008026FA"/>
    <w:rsid w:val="00830B09"/>
    <w:rsid w:val="00830B39"/>
    <w:rsid w:val="00843B8A"/>
    <w:rsid w:val="00845140"/>
    <w:rsid w:val="00851C2F"/>
    <w:rsid w:val="00882938"/>
    <w:rsid w:val="00896E65"/>
    <w:rsid w:val="008A0828"/>
    <w:rsid w:val="008B24FD"/>
    <w:rsid w:val="008B4E07"/>
    <w:rsid w:val="008D4335"/>
    <w:rsid w:val="008D4FB6"/>
    <w:rsid w:val="008D58B2"/>
    <w:rsid w:val="009100B5"/>
    <w:rsid w:val="00923EB6"/>
    <w:rsid w:val="00943268"/>
    <w:rsid w:val="009706C9"/>
    <w:rsid w:val="0097499A"/>
    <w:rsid w:val="009845BF"/>
    <w:rsid w:val="00985227"/>
    <w:rsid w:val="009C0C41"/>
    <w:rsid w:val="009C3EE2"/>
    <w:rsid w:val="009E43ED"/>
    <w:rsid w:val="009F66A2"/>
    <w:rsid w:val="00A03C40"/>
    <w:rsid w:val="00A126FA"/>
    <w:rsid w:val="00A17C6A"/>
    <w:rsid w:val="00A32DE4"/>
    <w:rsid w:val="00A3755F"/>
    <w:rsid w:val="00A436A2"/>
    <w:rsid w:val="00A77C04"/>
    <w:rsid w:val="00AA3440"/>
    <w:rsid w:val="00AB50C4"/>
    <w:rsid w:val="00B030C5"/>
    <w:rsid w:val="00B051A7"/>
    <w:rsid w:val="00B2243B"/>
    <w:rsid w:val="00B24831"/>
    <w:rsid w:val="00B30800"/>
    <w:rsid w:val="00B31D30"/>
    <w:rsid w:val="00B54BB4"/>
    <w:rsid w:val="00B63F18"/>
    <w:rsid w:val="00B658AF"/>
    <w:rsid w:val="00B766B2"/>
    <w:rsid w:val="00B856E4"/>
    <w:rsid w:val="00B9467F"/>
    <w:rsid w:val="00B9650F"/>
    <w:rsid w:val="00BA74A9"/>
    <w:rsid w:val="00BC782A"/>
    <w:rsid w:val="00BF2538"/>
    <w:rsid w:val="00C03969"/>
    <w:rsid w:val="00C13483"/>
    <w:rsid w:val="00C463B8"/>
    <w:rsid w:val="00C55E05"/>
    <w:rsid w:val="00C57CF1"/>
    <w:rsid w:val="00C64D26"/>
    <w:rsid w:val="00C70309"/>
    <w:rsid w:val="00CA6DF9"/>
    <w:rsid w:val="00CB2319"/>
    <w:rsid w:val="00CB7076"/>
    <w:rsid w:val="00CC2D31"/>
    <w:rsid w:val="00CC531E"/>
    <w:rsid w:val="00CC7177"/>
    <w:rsid w:val="00CC727C"/>
    <w:rsid w:val="00CE5FA0"/>
    <w:rsid w:val="00CE6248"/>
    <w:rsid w:val="00CF787A"/>
    <w:rsid w:val="00D26EBD"/>
    <w:rsid w:val="00D61DFE"/>
    <w:rsid w:val="00D82127"/>
    <w:rsid w:val="00D953C6"/>
    <w:rsid w:val="00DB72C2"/>
    <w:rsid w:val="00DF64C4"/>
    <w:rsid w:val="00E3148A"/>
    <w:rsid w:val="00E42CA0"/>
    <w:rsid w:val="00E45952"/>
    <w:rsid w:val="00E51BC3"/>
    <w:rsid w:val="00E5726A"/>
    <w:rsid w:val="00E63885"/>
    <w:rsid w:val="00EA719E"/>
    <w:rsid w:val="00EB1E71"/>
    <w:rsid w:val="00ED137A"/>
    <w:rsid w:val="00F27EEA"/>
    <w:rsid w:val="00F50BC8"/>
    <w:rsid w:val="00F763E7"/>
    <w:rsid w:val="00FB2CB8"/>
    <w:rsid w:val="00FC008C"/>
    <w:rsid w:val="00FE43AF"/>
    <w:rsid w:val="00FF0E04"/>
    <w:rsid w:val="00FF3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751E"/>
  <w15:chartTrackingRefBased/>
  <w15:docId w15:val="{295259B8-DFD0-412D-81F8-0D109ADF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28"/>
    <w:pPr>
      <w:spacing w:line="48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5F6AC3"/>
    <w:pPr>
      <w:keepNext/>
      <w:keepLines/>
      <w:spacing w:before="360" w:after="80"/>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0662F"/>
    <w:pPr>
      <w:jc w:val="center"/>
      <w:outlineLvl w:val="1"/>
    </w:pPr>
    <w:rPr>
      <w:b/>
      <w:bCs/>
      <w:sz w:val="28"/>
      <w:szCs w:val="28"/>
    </w:rPr>
  </w:style>
  <w:style w:type="paragraph" w:styleId="Heading3">
    <w:name w:val="heading 3"/>
    <w:basedOn w:val="Normal"/>
    <w:next w:val="Normal"/>
    <w:link w:val="Heading3Char"/>
    <w:uiPriority w:val="9"/>
    <w:unhideWhenUsed/>
    <w:qFormat/>
    <w:rsid w:val="00204537"/>
    <w:pPr>
      <w:jc w:val="center"/>
      <w:outlineLvl w:val="2"/>
    </w:pPr>
    <w:rPr>
      <w:b/>
      <w:bCs/>
    </w:rPr>
  </w:style>
  <w:style w:type="paragraph" w:styleId="Heading4">
    <w:name w:val="heading 4"/>
    <w:basedOn w:val="Normal"/>
    <w:next w:val="Normal"/>
    <w:link w:val="Heading4Char"/>
    <w:uiPriority w:val="9"/>
    <w:semiHidden/>
    <w:unhideWhenUsed/>
    <w:qFormat/>
    <w:rsid w:val="005F6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C3"/>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20662F"/>
    <w:rPr>
      <w:rFonts w:ascii="Times New Roman" w:eastAsiaTheme="minorEastAsia" w:hAnsi="Times New Roman" w:cs="Times New Roman"/>
      <w:b/>
      <w:bCs/>
      <w:sz w:val="28"/>
      <w:szCs w:val="28"/>
    </w:rPr>
  </w:style>
  <w:style w:type="character" w:customStyle="1" w:styleId="Heading3Char">
    <w:name w:val="Heading 3 Char"/>
    <w:basedOn w:val="DefaultParagraphFont"/>
    <w:link w:val="Heading3"/>
    <w:uiPriority w:val="9"/>
    <w:rsid w:val="00204537"/>
    <w:rPr>
      <w:rFonts w:ascii="Times New Roman" w:eastAsiaTheme="minorEastAsia" w:hAnsi="Times New Roman" w:cs="Times New Roman"/>
      <w:b/>
      <w:bCs/>
      <w:sz w:val="24"/>
      <w:szCs w:val="24"/>
    </w:rPr>
  </w:style>
  <w:style w:type="character" w:customStyle="1" w:styleId="Heading4Char">
    <w:name w:val="Heading 4 Char"/>
    <w:basedOn w:val="DefaultParagraphFont"/>
    <w:link w:val="Heading4"/>
    <w:uiPriority w:val="9"/>
    <w:semiHidden/>
    <w:rsid w:val="005F6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C3"/>
    <w:rPr>
      <w:rFonts w:eastAsiaTheme="majorEastAsia" w:cstheme="majorBidi"/>
      <w:color w:val="272727" w:themeColor="text1" w:themeTint="D8"/>
    </w:rPr>
  </w:style>
  <w:style w:type="paragraph" w:styleId="Title">
    <w:name w:val="Title"/>
    <w:basedOn w:val="Normal"/>
    <w:next w:val="Normal"/>
    <w:link w:val="TitleChar"/>
    <w:uiPriority w:val="10"/>
    <w:qFormat/>
    <w:rsid w:val="005F6AC3"/>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5F6AC3"/>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4B082F"/>
    <w:pPr>
      <w:spacing w:line="276" w:lineRule="auto"/>
      <w:ind w:left="720" w:right="720"/>
      <w:jc w:val="center"/>
    </w:pPr>
    <w:rPr>
      <w:i/>
      <w:iCs/>
      <w:sz w:val="20"/>
      <w:szCs w:val="20"/>
    </w:rPr>
  </w:style>
  <w:style w:type="character" w:customStyle="1" w:styleId="SubtitleChar">
    <w:name w:val="Subtitle Char"/>
    <w:basedOn w:val="DefaultParagraphFont"/>
    <w:link w:val="Subtitle"/>
    <w:uiPriority w:val="11"/>
    <w:rsid w:val="004B082F"/>
    <w:rPr>
      <w:rFonts w:ascii="Times New Roman" w:eastAsiaTheme="minorEastAsia" w:hAnsi="Times New Roman" w:cs="Times New Roman"/>
      <w:i/>
      <w:iCs/>
      <w:sz w:val="20"/>
      <w:szCs w:val="20"/>
    </w:rPr>
  </w:style>
  <w:style w:type="paragraph" w:styleId="Quote">
    <w:name w:val="Quote"/>
    <w:basedOn w:val="Normal"/>
    <w:next w:val="Normal"/>
    <w:link w:val="QuoteChar"/>
    <w:uiPriority w:val="29"/>
    <w:qFormat/>
    <w:rsid w:val="005F6AC3"/>
    <w:pPr>
      <w:spacing w:before="160"/>
      <w:jc w:val="center"/>
    </w:pPr>
    <w:rPr>
      <w:i/>
      <w:iCs/>
      <w:color w:val="404040" w:themeColor="text1" w:themeTint="BF"/>
    </w:rPr>
  </w:style>
  <w:style w:type="character" w:customStyle="1" w:styleId="QuoteChar">
    <w:name w:val="Quote Char"/>
    <w:basedOn w:val="DefaultParagraphFont"/>
    <w:link w:val="Quote"/>
    <w:uiPriority w:val="29"/>
    <w:rsid w:val="005F6AC3"/>
    <w:rPr>
      <w:i/>
      <w:iCs/>
      <w:color w:val="404040" w:themeColor="text1" w:themeTint="BF"/>
    </w:rPr>
  </w:style>
  <w:style w:type="paragraph" w:styleId="ListParagraph">
    <w:name w:val="List Paragraph"/>
    <w:basedOn w:val="Normal"/>
    <w:uiPriority w:val="34"/>
    <w:qFormat/>
    <w:rsid w:val="005F6AC3"/>
    <w:pPr>
      <w:ind w:left="720"/>
      <w:contextualSpacing/>
    </w:pPr>
  </w:style>
  <w:style w:type="character" w:styleId="IntenseEmphasis">
    <w:name w:val="Intense Emphasis"/>
    <w:basedOn w:val="DefaultParagraphFont"/>
    <w:uiPriority w:val="21"/>
    <w:qFormat/>
    <w:rsid w:val="005F6AC3"/>
    <w:rPr>
      <w:i/>
      <w:iCs/>
      <w:color w:val="2F5496" w:themeColor="accent1" w:themeShade="BF"/>
    </w:rPr>
  </w:style>
  <w:style w:type="paragraph" w:styleId="IntenseQuote">
    <w:name w:val="Intense Quote"/>
    <w:basedOn w:val="Normal"/>
    <w:next w:val="Normal"/>
    <w:link w:val="IntenseQuoteChar"/>
    <w:uiPriority w:val="30"/>
    <w:qFormat/>
    <w:rsid w:val="005F6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AC3"/>
    <w:rPr>
      <w:i/>
      <w:iCs/>
      <w:color w:val="2F5496" w:themeColor="accent1" w:themeShade="BF"/>
    </w:rPr>
  </w:style>
  <w:style w:type="character" w:styleId="IntenseReference">
    <w:name w:val="Intense Reference"/>
    <w:basedOn w:val="DefaultParagraphFont"/>
    <w:uiPriority w:val="32"/>
    <w:qFormat/>
    <w:rsid w:val="005F6AC3"/>
    <w:rPr>
      <w:b/>
      <w:bCs/>
      <w:smallCaps/>
      <w:color w:val="2F5496" w:themeColor="accent1" w:themeShade="BF"/>
      <w:spacing w:val="5"/>
    </w:rPr>
  </w:style>
  <w:style w:type="character" w:styleId="PlaceholderText">
    <w:name w:val="Placeholder Text"/>
    <w:basedOn w:val="DefaultParagraphFont"/>
    <w:uiPriority w:val="99"/>
    <w:semiHidden/>
    <w:rsid w:val="005F6AC3"/>
    <w:rPr>
      <w:color w:val="666666"/>
    </w:rPr>
  </w:style>
  <w:style w:type="paragraph" w:styleId="FootnoteText">
    <w:name w:val="footnote text"/>
    <w:basedOn w:val="Normal"/>
    <w:link w:val="FootnoteTextChar"/>
    <w:uiPriority w:val="99"/>
    <w:unhideWhenUsed/>
    <w:rsid w:val="005F6AC3"/>
    <w:pPr>
      <w:spacing w:after="0" w:line="240" w:lineRule="auto"/>
    </w:pPr>
    <w:rPr>
      <w:sz w:val="20"/>
      <w:szCs w:val="20"/>
    </w:rPr>
  </w:style>
  <w:style w:type="character" w:customStyle="1" w:styleId="FootnoteTextChar">
    <w:name w:val="Footnote Text Char"/>
    <w:basedOn w:val="DefaultParagraphFont"/>
    <w:link w:val="FootnoteText"/>
    <w:uiPriority w:val="99"/>
    <w:rsid w:val="005F6AC3"/>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5F6AC3"/>
    <w:rPr>
      <w:vertAlign w:val="superscript"/>
    </w:rPr>
  </w:style>
  <w:style w:type="paragraph" w:styleId="Revision">
    <w:name w:val="Revision"/>
    <w:hidden/>
    <w:uiPriority w:val="99"/>
    <w:semiHidden/>
    <w:rsid w:val="005F6AC3"/>
    <w:pPr>
      <w:spacing w:after="0" w:line="240" w:lineRule="auto"/>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5F6AC3"/>
    <w:rPr>
      <w:sz w:val="16"/>
      <w:szCs w:val="16"/>
    </w:rPr>
  </w:style>
  <w:style w:type="paragraph" w:styleId="CommentText">
    <w:name w:val="annotation text"/>
    <w:basedOn w:val="Normal"/>
    <w:link w:val="CommentTextChar"/>
    <w:uiPriority w:val="99"/>
    <w:unhideWhenUsed/>
    <w:rsid w:val="005F6AC3"/>
    <w:pPr>
      <w:spacing w:line="240" w:lineRule="auto"/>
    </w:pPr>
    <w:rPr>
      <w:sz w:val="20"/>
      <w:szCs w:val="20"/>
    </w:rPr>
  </w:style>
  <w:style w:type="character" w:customStyle="1" w:styleId="CommentTextChar">
    <w:name w:val="Comment Text Char"/>
    <w:basedOn w:val="DefaultParagraphFont"/>
    <w:link w:val="CommentText"/>
    <w:uiPriority w:val="99"/>
    <w:rsid w:val="005F6AC3"/>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6AC3"/>
    <w:rPr>
      <w:b/>
      <w:bCs/>
    </w:rPr>
  </w:style>
  <w:style w:type="character" w:customStyle="1" w:styleId="CommentSubjectChar">
    <w:name w:val="Comment Subject Char"/>
    <w:basedOn w:val="CommentTextChar"/>
    <w:link w:val="CommentSubject"/>
    <w:uiPriority w:val="99"/>
    <w:semiHidden/>
    <w:rsid w:val="005F6AC3"/>
    <w:rPr>
      <w:rFonts w:ascii="Times New Roman" w:eastAsiaTheme="minorEastAsia" w:hAnsi="Times New Roman" w:cs="Times New Roman"/>
      <w:b/>
      <w:bCs/>
      <w:sz w:val="20"/>
      <w:szCs w:val="20"/>
    </w:rPr>
  </w:style>
  <w:style w:type="table" w:styleId="TableGrid">
    <w:name w:val="Table Grid"/>
    <w:basedOn w:val="TableNormal"/>
    <w:uiPriority w:val="39"/>
    <w:rsid w:val="00B05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100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0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E81"/>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10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E81"/>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147CE7"/>
    <w:pPr>
      <w:spacing w:before="240" w:after="0" w:line="259" w:lineRule="auto"/>
      <w:jc w:val="left"/>
      <w:outlineLvl w:val="9"/>
    </w:pPr>
    <w:rPr>
      <w:rFonts w:asciiTheme="majorHAnsi" w:hAnsiTheme="majorHAnsi" w:cstheme="majorBidi"/>
      <w:b w:val="0"/>
      <w:bCs w:val="0"/>
      <w:color w:val="2F5496" w:themeColor="accent1" w:themeShade="BF"/>
      <w:kern w:val="0"/>
      <w:lang w:val="en-US"/>
      <w14:ligatures w14:val="none"/>
    </w:rPr>
  </w:style>
  <w:style w:type="paragraph" w:styleId="TOC1">
    <w:name w:val="toc 1"/>
    <w:basedOn w:val="Normal"/>
    <w:next w:val="Normal"/>
    <w:autoRedefine/>
    <w:uiPriority w:val="39"/>
    <w:unhideWhenUsed/>
    <w:rsid w:val="00147CE7"/>
    <w:pPr>
      <w:spacing w:after="100"/>
    </w:pPr>
  </w:style>
  <w:style w:type="paragraph" w:styleId="TOC2">
    <w:name w:val="toc 2"/>
    <w:basedOn w:val="Normal"/>
    <w:next w:val="Normal"/>
    <w:autoRedefine/>
    <w:uiPriority w:val="39"/>
    <w:unhideWhenUsed/>
    <w:rsid w:val="00147CE7"/>
    <w:pPr>
      <w:spacing w:after="100"/>
      <w:ind w:left="240"/>
    </w:pPr>
  </w:style>
  <w:style w:type="paragraph" w:styleId="TOC3">
    <w:name w:val="toc 3"/>
    <w:basedOn w:val="Normal"/>
    <w:next w:val="Normal"/>
    <w:autoRedefine/>
    <w:uiPriority w:val="39"/>
    <w:unhideWhenUsed/>
    <w:rsid w:val="00147CE7"/>
    <w:pPr>
      <w:spacing w:after="100"/>
      <w:ind w:left="480"/>
    </w:pPr>
  </w:style>
  <w:style w:type="character" w:styleId="Hyperlink">
    <w:name w:val="Hyperlink"/>
    <w:basedOn w:val="DefaultParagraphFont"/>
    <w:uiPriority w:val="99"/>
    <w:unhideWhenUsed/>
    <w:rsid w:val="00147CE7"/>
    <w:rPr>
      <w:color w:val="0563C1" w:themeColor="hyperlink"/>
      <w:u w:val="single"/>
    </w:rPr>
  </w:style>
  <w:style w:type="table" w:styleId="GridTable1Light">
    <w:name w:val="Grid Table 1 Light"/>
    <w:basedOn w:val="TableNormal"/>
    <w:uiPriority w:val="46"/>
    <w:rsid w:val="00B030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8829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2938"/>
    <w:rPr>
      <w:rFonts w:ascii="Times New Roman" w:eastAsiaTheme="minorEastAsia" w:hAnsi="Times New Roman" w:cs="Times New Roman"/>
      <w:sz w:val="20"/>
      <w:szCs w:val="20"/>
    </w:rPr>
  </w:style>
  <w:style w:type="character" w:styleId="EndnoteReference">
    <w:name w:val="endnote reference"/>
    <w:basedOn w:val="DefaultParagraphFont"/>
    <w:uiPriority w:val="99"/>
    <w:semiHidden/>
    <w:unhideWhenUsed/>
    <w:rsid w:val="00882938"/>
    <w:rPr>
      <w:vertAlign w:val="superscript"/>
    </w:rPr>
  </w:style>
  <w:style w:type="paragraph" w:styleId="Bibliography">
    <w:name w:val="Bibliography"/>
    <w:basedOn w:val="Normal"/>
    <w:next w:val="Normal"/>
    <w:uiPriority w:val="37"/>
    <w:unhideWhenUsed/>
    <w:rsid w:val="007D5421"/>
  </w:style>
  <w:style w:type="paragraph" w:customStyle="1" w:styleId="SectionTitle">
    <w:name w:val="Section Title"/>
    <w:basedOn w:val="Normal"/>
    <w:link w:val="SectionTitleChar"/>
    <w:qFormat/>
    <w:rsid w:val="00FF3E10"/>
    <w:pPr>
      <w:framePr w:hSpace="180" w:wrap="around" w:vAnchor="text" w:hAnchor="text" w:x="108" w:y="1"/>
      <w:spacing w:after="0" w:line="240" w:lineRule="auto"/>
      <w:suppressOverlap/>
      <w:jc w:val="center"/>
    </w:pPr>
    <w:rPr>
      <w:rFonts w:ascii="Kozuka Gothic Pro B" w:eastAsia="Times New Roman" w:hAnsi="Kozuka Gothic Pro B"/>
      <w:b/>
      <w:color w:val="403152"/>
      <w:kern w:val="0"/>
      <w:szCs w:val="22"/>
      <w:lang w:eastAsia="en-GB"/>
      <w14:ligatures w14:val="none"/>
    </w:rPr>
  </w:style>
  <w:style w:type="character" w:customStyle="1" w:styleId="SectionTitleChar">
    <w:name w:val="Section Title Char"/>
    <w:link w:val="SectionTitle"/>
    <w:rsid w:val="00FF3E10"/>
    <w:rPr>
      <w:rFonts w:ascii="Kozuka Gothic Pro B" w:eastAsia="Times New Roman" w:hAnsi="Kozuka Gothic Pro B" w:cs="Times New Roman"/>
      <w:b/>
      <w:color w:val="403152"/>
      <w:kern w:val="0"/>
      <w:sz w:val="24"/>
      <w:lang w:eastAsia="en-GB"/>
      <w14:ligatures w14:val="none"/>
    </w:rPr>
  </w:style>
  <w:style w:type="paragraph" w:customStyle="1" w:styleId="PartyorEventName">
    <w:name w:val="Party or Event Name"/>
    <w:basedOn w:val="Normal"/>
    <w:link w:val="PartyorEventNameChar"/>
    <w:qFormat/>
    <w:rsid w:val="00FF3E10"/>
    <w:pPr>
      <w:spacing w:after="0" w:line="240" w:lineRule="auto"/>
    </w:pPr>
    <w:rPr>
      <w:rFonts w:ascii="Candara" w:eastAsia="Times New Roman" w:hAnsi="Candara"/>
      <w:noProof/>
      <w:color w:val="0D0D0D"/>
      <w:kern w:val="0"/>
      <w:sz w:val="20"/>
      <w:szCs w:val="22"/>
      <w:lang w:eastAsia="en-GB"/>
      <w14:ligatures w14:val="none"/>
    </w:rPr>
  </w:style>
  <w:style w:type="character" w:customStyle="1" w:styleId="PartyorEventNameChar">
    <w:name w:val="Party or Event Name Char"/>
    <w:link w:val="PartyorEventName"/>
    <w:rsid w:val="00FF3E10"/>
    <w:rPr>
      <w:rFonts w:ascii="Candara" w:eastAsia="Times New Roman" w:hAnsi="Candara" w:cs="Times New Roman"/>
      <w:noProof/>
      <w:color w:val="0D0D0D"/>
      <w:kern w:val="0"/>
      <w:sz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698">
      <w:bodyDiv w:val="1"/>
      <w:marLeft w:val="0"/>
      <w:marRight w:val="0"/>
      <w:marTop w:val="0"/>
      <w:marBottom w:val="0"/>
      <w:divBdr>
        <w:top w:val="none" w:sz="0" w:space="0" w:color="auto"/>
        <w:left w:val="none" w:sz="0" w:space="0" w:color="auto"/>
        <w:bottom w:val="none" w:sz="0" w:space="0" w:color="auto"/>
        <w:right w:val="none" w:sz="0" w:space="0" w:color="auto"/>
      </w:divBdr>
    </w:div>
    <w:div w:id="27028361">
      <w:bodyDiv w:val="1"/>
      <w:marLeft w:val="0"/>
      <w:marRight w:val="0"/>
      <w:marTop w:val="0"/>
      <w:marBottom w:val="0"/>
      <w:divBdr>
        <w:top w:val="none" w:sz="0" w:space="0" w:color="auto"/>
        <w:left w:val="none" w:sz="0" w:space="0" w:color="auto"/>
        <w:bottom w:val="none" w:sz="0" w:space="0" w:color="auto"/>
        <w:right w:val="none" w:sz="0" w:space="0" w:color="auto"/>
      </w:divBdr>
    </w:div>
    <w:div w:id="32779178">
      <w:bodyDiv w:val="1"/>
      <w:marLeft w:val="0"/>
      <w:marRight w:val="0"/>
      <w:marTop w:val="0"/>
      <w:marBottom w:val="0"/>
      <w:divBdr>
        <w:top w:val="none" w:sz="0" w:space="0" w:color="auto"/>
        <w:left w:val="none" w:sz="0" w:space="0" w:color="auto"/>
        <w:bottom w:val="none" w:sz="0" w:space="0" w:color="auto"/>
        <w:right w:val="none" w:sz="0" w:space="0" w:color="auto"/>
      </w:divBdr>
    </w:div>
    <w:div w:id="38282678">
      <w:bodyDiv w:val="1"/>
      <w:marLeft w:val="0"/>
      <w:marRight w:val="0"/>
      <w:marTop w:val="0"/>
      <w:marBottom w:val="0"/>
      <w:divBdr>
        <w:top w:val="none" w:sz="0" w:space="0" w:color="auto"/>
        <w:left w:val="none" w:sz="0" w:space="0" w:color="auto"/>
        <w:bottom w:val="none" w:sz="0" w:space="0" w:color="auto"/>
        <w:right w:val="none" w:sz="0" w:space="0" w:color="auto"/>
      </w:divBdr>
    </w:div>
    <w:div w:id="49576755">
      <w:bodyDiv w:val="1"/>
      <w:marLeft w:val="0"/>
      <w:marRight w:val="0"/>
      <w:marTop w:val="0"/>
      <w:marBottom w:val="0"/>
      <w:divBdr>
        <w:top w:val="none" w:sz="0" w:space="0" w:color="auto"/>
        <w:left w:val="none" w:sz="0" w:space="0" w:color="auto"/>
        <w:bottom w:val="none" w:sz="0" w:space="0" w:color="auto"/>
        <w:right w:val="none" w:sz="0" w:space="0" w:color="auto"/>
      </w:divBdr>
    </w:div>
    <w:div w:id="60953836">
      <w:bodyDiv w:val="1"/>
      <w:marLeft w:val="0"/>
      <w:marRight w:val="0"/>
      <w:marTop w:val="0"/>
      <w:marBottom w:val="0"/>
      <w:divBdr>
        <w:top w:val="none" w:sz="0" w:space="0" w:color="auto"/>
        <w:left w:val="none" w:sz="0" w:space="0" w:color="auto"/>
        <w:bottom w:val="none" w:sz="0" w:space="0" w:color="auto"/>
        <w:right w:val="none" w:sz="0" w:space="0" w:color="auto"/>
      </w:divBdr>
    </w:div>
    <w:div w:id="63456707">
      <w:bodyDiv w:val="1"/>
      <w:marLeft w:val="0"/>
      <w:marRight w:val="0"/>
      <w:marTop w:val="0"/>
      <w:marBottom w:val="0"/>
      <w:divBdr>
        <w:top w:val="none" w:sz="0" w:space="0" w:color="auto"/>
        <w:left w:val="none" w:sz="0" w:space="0" w:color="auto"/>
        <w:bottom w:val="none" w:sz="0" w:space="0" w:color="auto"/>
        <w:right w:val="none" w:sz="0" w:space="0" w:color="auto"/>
      </w:divBdr>
    </w:div>
    <w:div w:id="67197428">
      <w:bodyDiv w:val="1"/>
      <w:marLeft w:val="0"/>
      <w:marRight w:val="0"/>
      <w:marTop w:val="0"/>
      <w:marBottom w:val="0"/>
      <w:divBdr>
        <w:top w:val="none" w:sz="0" w:space="0" w:color="auto"/>
        <w:left w:val="none" w:sz="0" w:space="0" w:color="auto"/>
        <w:bottom w:val="none" w:sz="0" w:space="0" w:color="auto"/>
        <w:right w:val="none" w:sz="0" w:space="0" w:color="auto"/>
      </w:divBdr>
    </w:div>
    <w:div w:id="69696353">
      <w:bodyDiv w:val="1"/>
      <w:marLeft w:val="0"/>
      <w:marRight w:val="0"/>
      <w:marTop w:val="0"/>
      <w:marBottom w:val="0"/>
      <w:divBdr>
        <w:top w:val="none" w:sz="0" w:space="0" w:color="auto"/>
        <w:left w:val="none" w:sz="0" w:space="0" w:color="auto"/>
        <w:bottom w:val="none" w:sz="0" w:space="0" w:color="auto"/>
        <w:right w:val="none" w:sz="0" w:space="0" w:color="auto"/>
      </w:divBdr>
    </w:div>
    <w:div w:id="75593790">
      <w:bodyDiv w:val="1"/>
      <w:marLeft w:val="0"/>
      <w:marRight w:val="0"/>
      <w:marTop w:val="0"/>
      <w:marBottom w:val="0"/>
      <w:divBdr>
        <w:top w:val="none" w:sz="0" w:space="0" w:color="auto"/>
        <w:left w:val="none" w:sz="0" w:space="0" w:color="auto"/>
        <w:bottom w:val="none" w:sz="0" w:space="0" w:color="auto"/>
        <w:right w:val="none" w:sz="0" w:space="0" w:color="auto"/>
      </w:divBdr>
    </w:div>
    <w:div w:id="86654584">
      <w:bodyDiv w:val="1"/>
      <w:marLeft w:val="0"/>
      <w:marRight w:val="0"/>
      <w:marTop w:val="0"/>
      <w:marBottom w:val="0"/>
      <w:divBdr>
        <w:top w:val="none" w:sz="0" w:space="0" w:color="auto"/>
        <w:left w:val="none" w:sz="0" w:space="0" w:color="auto"/>
        <w:bottom w:val="none" w:sz="0" w:space="0" w:color="auto"/>
        <w:right w:val="none" w:sz="0" w:space="0" w:color="auto"/>
      </w:divBdr>
    </w:div>
    <w:div w:id="93744548">
      <w:bodyDiv w:val="1"/>
      <w:marLeft w:val="0"/>
      <w:marRight w:val="0"/>
      <w:marTop w:val="0"/>
      <w:marBottom w:val="0"/>
      <w:divBdr>
        <w:top w:val="none" w:sz="0" w:space="0" w:color="auto"/>
        <w:left w:val="none" w:sz="0" w:space="0" w:color="auto"/>
        <w:bottom w:val="none" w:sz="0" w:space="0" w:color="auto"/>
        <w:right w:val="none" w:sz="0" w:space="0" w:color="auto"/>
      </w:divBdr>
    </w:div>
    <w:div w:id="95755955">
      <w:bodyDiv w:val="1"/>
      <w:marLeft w:val="0"/>
      <w:marRight w:val="0"/>
      <w:marTop w:val="0"/>
      <w:marBottom w:val="0"/>
      <w:divBdr>
        <w:top w:val="none" w:sz="0" w:space="0" w:color="auto"/>
        <w:left w:val="none" w:sz="0" w:space="0" w:color="auto"/>
        <w:bottom w:val="none" w:sz="0" w:space="0" w:color="auto"/>
        <w:right w:val="none" w:sz="0" w:space="0" w:color="auto"/>
      </w:divBdr>
    </w:div>
    <w:div w:id="99834594">
      <w:bodyDiv w:val="1"/>
      <w:marLeft w:val="0"/>
      <w:marRight w:val="0"/>
      <w:marTop w:val="0"/>
      <w:marBottom w:val="0"/>
      <w:divBdr>
        <w:top w:val="none" w:sz="0" w:space="0" w:color="auto"/>
        <w:left w:val="none" w:sz="0" w:space="0" w:color="auto"/>
        <w:bottom w:val="none" w:sz="0" w:space="0" w:color="auto"/>
        <w:right w:val="none" w:sz="0" w:space="0" w:color="auto"/>
      </w:divBdr>
    </w:div>
    <w:div w:id="101340609">
      <w:bodyDiv w:val="1"/>
      <w:marLeft w:val="0"/>
      <w:marRight w:val="0"/>
      <w:marTop w:val="0"/>
      <w:marBottom w:val="0"/>
      <w:divBdr>
        <w:top w:val="none" w:sz="0" w:space="0" w:color="auto"/>
        <w:left w:val="none" w:sz="0" w:space="0" w:color="auto"/>
        <w:bottom w:val="none" w:sz="0" w:space="0" w:color="auto"/>
        <w:right w:val="none" w:sz="0" w:space="0" w:color="auto"/>
      </w:divBdr>
    </w:div>
    <w:div w:id="101919826">
      <w:bodyDiv w:val="1"/>
      <w:marLeft w:val="0"/>
      <w:marRight w:val="0"/>
      <w:marTop w:val="0"/>
      <w:marBottom w:val="0"/>
      <w:divBdr>
        <w:top w:val="none" w:sz="0" w:space="0" w:color="auto"/>
        <w:left w:val="none" w:sz="0" w:space="0" w:color="auto"/>
        <w:bottom w:val="none" w:sz="0" w:space="0" w:color="auto"/>
        <w:right w:val="none" w:sz="0" w:space="0" w:color="auto"/>
      </w:divBdr>
    </w:div>
    <w:div w:id="105005074">
      <w:bodyDiv w:val="1"/>
      <w:marLeft w:val="0"/>
      <w:marRight w:val="0"/>
      <w:marTop w:val="0"/>
      <w:marBottom w:val="0"/>
      <w:divBdr>
        <w:top w:val="none" w:sz="0" w:space="0" w:color="auto"/>
        <w:left w:val="none" w:sz="0" w:space="0" w:color="auto"/>
        <w:bottom w:val="none" w:sz="0" w:space="0" w:color="auto"/>
        <w:right w:val="none" w:sz="0" w:space="0" w:color="auto"/>
      </w:divBdr>
    </w:div>
    <w:div w:id="110632688">
      <w:bodyDiv w:val="1"/>
      <w:marLeft w:val="0"/>
      <w:marRight w:val="0"/>
      <w:marTop w:val="0"/>
      <w:marBottom w:val="0"/>
      <w:divBdr>
        <w:top w:val="none" w:sz="0" w:space="0" w:color="auto"/>
        <w:left w:val="none" w:sz="0" w:space="0" w:color="auto"/>
        <w:bottom w:val="none" w:sz="0" w:space="0" w:color="auto"/>
        <w:right w:val="none" w:sz="0" w:space="0" w:color="auto"/>
      </w:divBdr>
    </w:div>
    <w:div w:id="114443760">
      <w:bodyDiv w:val="1"/>
      <w:marLeft w:val="0"/>
      <w:marRight w:val="0"/>
      <w:marTop w:val="0"/>
      <w:marBottom w:val="0"/>
      <w:divBdr>
        <w:top w:val="none" w:sz="0" w:space="0" w:color="auto"/>
        <w:left w:val="none" w:sz="0" w:space="0" w:color="auto"/>
        <w:bottom w:val="none" w:sz="0" w:space="0" w:color="auto"/>
        <w:right w:val="none" w:sz="0" w:space="0" w:color="auto"/>
      </w:divBdr>
    </w:div>
    <w:div w:id="124010389">
      <w:bodyDiv w:val="1"/>
      <w:marLeft w:val="0"/>
      <w:marRight w:val="0"/>
      <w:marTop w:val="0"/>
      <w:marBottom w:val="0"/>
      <w:divBdr>
        <w:top w:val="none" w:sz="0" w:space="0" w:color="auto"/>
        <w:left w:val="none" w:sz="0" w:space="0" w:color="auto"/>
        <w:bottom w:val="none" w:sz="0" w:space="0" w:color="auto"/>
        <w:right w:val="none" w:sz="0" w:space="0" w:color="auto"/>
      </w:divBdr>
    </w:div>
    <w:div w:id="130054811">
      <w:bodyDiv w:val="1"/>
      <w:marLeft w:val="0"/>
      <w:marRight w:val="0"/>
      <w:marTop w:val="0"/>
      <w:marBottom w:val="0"/>
      <w:divBdr>
        <w:top w:val="none" w:sz="0" w:space="0" w:color="auto"/>
        <w:left w:val="none" w:sz="0" w:space="0" w:color="auto"/>
        <w:bottom w:val="none" w:sz="0" w:space="0" w:color="auto"/>
        <w:right w:val="none" w:sz="0" w:space="0" w:color="auto"/>
      </w:divBdr>
    </w:div>
    <w:div w:id="131798183">
      <w:bodyDiv w:val="1"/>
      <w:marLeft w:val="0"/>
      <w:marRight w:val="0"/>
      <w:marTop w:val="0"/>
      <w:marBottom w:val="0"/>
      <w:divBdr>
        <w:top w:val="none" w:sz="0" w:space="0" w:color="auto"/>
        <w:left w:val="none" w:sz="0" w:space="0" w:color="auto"/>
        <w:bottom w:val="none" w:sz="0" w:space="0" w:color="auto"/>
        <w:right w:val="none" w:sz="0" w:space="0" w:color="auto"/>
      </w:divBdr>
    </w:div>
    <w:div w:id="139926802">
      <w:bodyDiv w:val="1"/>
      <w:marLeft w:val="0"/>
      <w:marRight w:val="0"/>
      <w:marTop w:val="0"/>
      <w:marBottom w:val="0"/>
      <w:divBdr>
        <w:top w:val="none" w:sz="0" w:space="0" w:color="auto"/>
        <w:left w:val="none" w:sz="0" w:space="0" w:color="auto"/>
        <w:bottom w:val="none" w:sz="0" w:space="0" w:color="auto"/>
        <w:right w:val="none" w:sz="0" w:space="0" w:color="auto"/>
      </w:divBdr>
    </w:div>
    <w:div w:id="145168677">
      <w:bodyDiv w:val="1"/>
      <w:marLeft w:val="0"/>
      <w:marRight w:val="0"/>
      <w:marTop w:val="0"/>
      <w:marBottom w:val="0"/>
      <w:divBdr>
        <w:top w:val="none" w:sz="0" w:space="0" w:color="auto"/>
        <w:left w:val="none" w:sz="0" w:space="0" w:color="auto"/>
        <w:bottom w:val="none" w:sz="0" w:space="0" w:color="auto"/>
        <w:right w:val="none" w:sz="0" w:space="0" w:color="auto"/>
      </w:divBdr>
    </w:div>
    <w:div w:id="152725770">
      <w:bodyDiv w:val="1"/>
      <w:marLeft w:val="0"/>
      <w:marRight w:val="0"/>
      <w:marTop w:val="0"/>
      <w:marBottom w:val="0"/>
      <w:divBdr>
        <w:top w:val="none" w:sz="0" w:space="0" w:color="auto"/>
        <w:left w:val="none" w:sz="0" w:space="0" w:color="auto"/>
        <w:bottom w:val="none" w:sz="0" w:space="0" w:color="auto"/>
        <w:right w:val="none" w:sz="0" w:space="0" w:color="auto"/>
      </w:divBdr>
    </w:div>
    <w:div w:id="173083047">
      <w:bodyDiv w:val="1"/>
      <w:marLeft w:val="0"/>
      <w:marRight w:val="0"/>
      <w:marTop w:val="0"/>
      <w:marBottom w:val="0"/>
      <w:divBdr>
        <w:top w:val="none" w:sz="0" w:space="0" w:color="auto"/>
        <w:left w:val="none" w:sz="0" w:space="0" w:color="auto"/>
        <w:bottom w:val="none" w:sz="0" w:space="0" w:color="auto"/>
        <w:right w:val="none" w:sz="0" w:space="0" w:color="auto"/>
      </w:divBdr>
    </w:div>
    <w:div w:id="186794756">
      <w:bodyDiv w:val="1"/>
      <w:marLeft w:val="0"/>
      <w:marRight w:val="0"/>
      <w:marTop w:val="0"/>
      <w:marBottom w:val="0"/>
      <w:divBdr>
        <w:top w:val="none" w:sz="0" w:space="0" w:color="auto"/>
        <w:left w:val="none" w:sz="0" w:space="0" w:color="auto"/>
        <w:bottom w:val="none" w:sz="0" w:space="0" w:color="auto"/>
        <w:right w:val="none" w:sz="0" w:space="0" w:color="auto"/>
      </w:divBdr>
    </w:div>
    <w:div w:id="191579566">
      <w:bodyDiv w:val="1"/>
      <w:marLeft w:val="0"/>
      <w:marRight w:val="0"/>
      <w:marTop w:val="0"/>
      <w:marBottom w:val="0"/>
      <w:divBdr>
        <w:top w:val="none" w:sz="0" w:space="0" w:color="auto"/>
        <w:left w:val="none" w:sz="0" w:space="0" w:color="auto"/>
        <w:bottom w:val="none" w:sz="0" w:space="0" w:color="auto"/>
        <w:right w:val="none" w:sz="0" w:space="0" w:color="auto"/>
      </w:divBdr>
    </w:div>
    <w:div w:id="201524420">
      <w:bodyDiv w:val="1"/>
      <w:marLeft w:val="0"/>
      <w:marRight w:val="0"/>
      <w:marTop w:val="0"/>
      <w:marBottom w:val="0"/>
      <w:divBdr>
        <w:top w:val="none" w:sz="0" w:space="0" w:color="auto"/>
        <w:left w:val="none" w:sz="0" w:space="0" w:color="auto"/>
        <w:bottom w:val="none" w:sz="0" w:space="0" w:color="auto"/>
        <w:right w:val="none" w:sz="0" w:space="0" w:color="auto"/>
      </w:divBdr>
    </w:div>
    <w:div w:id="215236921">
      <w:bodyDiv w:val="1"/>
      <w:marLeft w:val="0"/>
      <w:marRight w:val="0"/>
      <w:marTop w:val="0"/>
      <w:marBottom w:val="0"/>
      <w:divBdr>
        <w:top w:val="none" w:sz="0" w:space="0" w:color="auto"/>
        <w:left w:val="none" w:sz="0" w:space="0" w:color="auto"/>
        <w:bottom w:val="none" w:sz="0" w:space="0" w:color="auto"/>
        <w:right w:val="none" w:sz="0" w:space="0" w:color="auto"/>
      </w:divBdr>
    </w:div>
    <w:div w:id="222910007">
      <w:bodyDiv w:val="1"/>
      <w:marLeft w:val="0"/>
      <w:marRight w:val="0"/>
      <w:marTop w:val="0"/>
      <w:marBottom w:val="0"/>
      <w:divBdr>
        <w:top w:val="none" w:sz="0" w:space="0" w:color="auto"/>
        <w:left w:val="none" w:sz="0" w:space="0" w:color="auto"/>
        <w:bottom w:val="none" w:sz="0" w:space="0" w:color="auto"/>
        <w:right w:val="none" w:sz="0" w:space="0" w:color="auto"/>
      </w:divBdr>
    </w:div>
    <w:div w:id="231546936">
      <w:bodyDiv w:val="1"/>
      <w:marLeft w:val="0"/>
      <w:marRight w:val="0"/>
      <w:marTop w:val="0"/>
      <w:marBottom w:val="0"/>
      <w:divBdr>
        <w:top w:val="none" w:sz="0" w:space="0" w:color="auto"/>
        <w:left w:val="none" w:sz="0" w:space="0" w:color="auto"/>
        <w:bottom w:val="none" w:sz="0" w:space="0" w:color="auto"/>
        <w:right w:val="none" w:sz="0" w:space="0" w:color="auto"/>
      </w:divBdr>
    </w:div>
    <w:div w:id="232815700">
      <w:bodyDiv w:val="1"/>
      <w:marLeft w:val="0"/>
      <w:marRight w:val="0"/>
      <w:marTop w:val="0"/>
      <w:marBottom w:val="0"/>
      <w:divBdr>
        <w:top w:val="none" w:sz="0" w:space="0" w:color="auto"/>
        <w:left w:val="none" w:sz="0" w:space="0" w:color="auto"/>
        <w:bottom w:val="none" w:sz="0" w:space="0" w:color="auto"/>
        <w:right w:val="none" w:sz="0" w:space="0" w:color="auto"/>
      </w:divBdr>
    </w:div>
    <w:div w:id="237256842">
      <w:bodyDiv w:val="1"/>
      <w:marLeft w:val="0"/>
      <w:marRight w:val="0"/>
      <w:marTop w:val="0"/>
      <w:marBottom w:val="0"/>
      <w:divBdr>
        <w:top w:val="none" w:sz="0" w:space="0" w:color="auto"/>
        <w:left w:val="none" w:sz="0" w:space="0" w:color="auto"/>
        <w:bottom w:val="none" w:sz="0" w:space="0" w:color="auto"/>
        <w:right w:val="none" w:sz="0" w:space="0" w:color="auto"/>
      </w:divBdr>
    </w:div>
    <w:div w:id="239759882">
      <w:bodyDiv w:val="1"/>
      <w:marLeft w:val="0"/>
      <w:marRight w:val="0"/>
      <w:marTop w:val="0"/>
      <w:marBottom w:val="0"/>
      <w:divBdr>
        <w:top w:val="none" w:sz="0" w:space="0" w:color="auto"/>
        <w:left w:val="none" w:sz="0" w:space="0" w:color="auto"/>
        <w:bottom w:val="none" w:sz="0" w:space="0" w:color="auto"/>
        <w:right w:val="none" w:sz="0" w:space="0" w:color="auto"/>
      </w:divBdr>
    </w:div>
    <w:div w:id="243881436">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60797323">
      <w:bodyDiv w:val="1"/>
      <w:marLeft w:val="0"/>
      <w:marRight w:val="0"/>
      <w:marTop w:val="0"/>
      <w:marBottom w:val="0"/>
      <w:divBdr>
        <w:top w:val="none" w:sz="0" w:space="0" w:color="auto"/>
        <w:left w:val="none" w:sz="0" w:space="0" w:color="auto"/>
        <w:bottom w:val="none" w:sz="0" w:space="0" w:color="auto"/>
        <w:right w:val="none" w:sz="0" w:space="0" w:color="auto"/>
      </w:divBdr>
    </w:div>
    <w:div w:id="267272824">
      <w:bodyDiv w:val="1"/>
      <w:marLeft w:val="0"/>
      <w:marRight w:val="0"/>
      <w:marTop w:val="0"/>
      <w:marBottom w:val="0"/>
      <w:divBdr>
        <w:top w:val="none" w:sz="0" w:space="0" w:color="auto"/>
        <w:left w:val="none" w:sz="0" w:space="0" w:color="auto"/>
        <w:bottom w:val="none" w:sz="0" w:space="0" w:color="auto"/>
        <w:right w:val="none" w:sz="0" w:space="0" w:color="auto"/>
      </w:divBdr>
    </w:div>
    <w:div w:id="267933346">
      <w:bodyDiv w:val="1"/>
      <w:marLeft w:val="0"/>
      <w:marRight w:val="0"/>
      <w:marTop w:val="0"/>
      <w:marBottom w:val="0"/>
      <w:divBdr>
        <w:top w:val="none" w:sz="0" w:space="0" w:color="auto"/>
        <w:left w:val="none" w:sz="0" w:space="0" w:color="auto"/>
        <w:bottom w:val="none" w:sz="0" w:space="0" w:color="auto"/>
        <w:right w:val="none" w:sz="0" w:space="0" w:color="auto"/>
      </w:divBdr>
    </w:div>
    <w:div w:id="270012961">
      <w:bodyDiv w:val="1"/>
      <w:marLeft w:val="0"/>
      <w:marRight w:val="0"/>
      <w:marTop w:val="0"/>
      <w:marBottom w:val="0"/>
      <w:divBdr>
        <w:top w:val="none" w:sz="0" w:space="0" w:color="auto"/>
        <w:left w:val="none" w:sz="0" w:space="0" w:color="auto"/>
        <w:bottom w:val="none" w:sz="0" w:space="0" w:color="auto"/>
        <w:right w:val="none" w:sz="0" w:space="0" w:color="auto"/>
      </w:divBdr>
    </w:div>
    <w:div w:id="274363518">
      <w:bodyDiv w:val="1"/>
      <w:marLeft w:val="0"/>
      <w:marRight w:val="0"/>
      <w:marTop w:val="0"/>
      <w:marBottom w:val="0"/>
      <w:divBdr>
        <w:top w:val="none" w:sz="0" w:space="0" w:color="auto"/>
        <w:left w:val="none" w:sz="0" w:space="0" w:color="auto"/>
        <w:bottom w:val="none" w:sz="0" w:space="0" w:color="auto"/>
        <w:right w:val="none" w:sz="0" w:space="0" w:color="auto"/>
      </w:divBdr>
    </w:div>
    <w:div w:id="277570046">
      <w:bodyDiv w:val="1"/>
      <w:marLeft w:val="0"/>
      <w:marRight w:val="0"/>
      <w:marTop w:val="0"/>
      <w:marBottom w:val="0"/>
      <w:divBdr>
        <w:top w:val="none" w:sz="0" w:space="0" w:color="auto"/>
        <w:left w:val="none" w:sz="0" w:space="0" w:color="auto"/>
        <w:bottom w:val="none" w:sz="0" w:space="0" w:color="auto"/>
        <w:right w:val="none" w:sz="0" w:space="0" w:color="auto"/>
      </w:divBdr>
    </w:div>
    <w:div w:id="280840335">
      <w:bodyDiv w:val="1"/>
      <w:marLeft w:val="0"/>
      <w:marRight w:val="0"/>
      <w:marTop w:val="0"/>
      <w:marBottom w:val="0"/>
      <w:divBdr>
        <w:top w:val="none" w:sz="0" w:space="0" w:color="auto"/>
        <w:left w:val="none" w:sz="0" w:space="0" w:color="auto"/>
        <w:bottom w:val="none" w:sz="0" w:space="0" w:color="auto"/>
        <w:right w:val="none" w:sz="0" w:space="0" w:color="auto"/>
      </w:divBdr>
    </w:div>
    <w:div w:id="286277840">
      <w:bodyDiv w:val="1"/>
      <w:marLeft w:val="0"/>
      <w:marRight w:val="0"/>
      <w:marTop w:val="0"/>
      <w:marBottom w:val="0"/>
      <w:divBdr>
        <w:top w:val="none" w:sz="0" w:space="0" w:color="auto"/>
        <w:left w:val="none" w:sz="0" w:space="0" w:color="auto"/>
        <w:bottom w:val="none" w:sz="0" w:space="0" w:color="auto"/>
        <w:right w:val="none" w:sz="0" w:space="0" w:color="auto"/>
      </w:divBdr>
    </w:div>
    <w:div w:id="290868184">
      <w:bodyDiv w:val="1"/>
      <w:marLeft w:val="0"/>
      <w:marRight w:val="0"/>
      <w:marTop w:val="0"/>
      <w:marBottom w:val="0"/>
      <w:divBdr>
        <w:top w:val="none" w:sz="0" w:space="0" w:color="auto"/>
        <w:left w:val="none" w:sz="0" w:space="0" w:color="auto"/>
        <w:bottom w:val="none" w:sz="0" w:space="0" w:color="auto"/>
        <w:right w:val="none" w:sz="0" w:space="0" w:color="auto"/>
      </w:divBdr>
    </w:div>
    <w:div w:id="294258600">
      <w:bodyDiv w:val="1"/>
      <w:marLeft w:val="0"/>
      <w:marRight w:val="0"/>
      <w:marTop w:val="0"/>
      <w:marBottom w:val="0"/>
      <w:divBdr>
        <w:top w:val="none" w:sz="0" w:space="0" w:color="auto"/>
        <w:left w:val="none" w:sz="0" w:space="0" w:color="auto"/>
        <w:bottom w:val="none" w:sz="0" w:space="0" w:color="auto"/>
        <w:right w:val="none" w:sz="0" w:space="0" w:color="auto"/>
      </w:divBdr>
    </w:div>
    <w:div w:id="294722403">
      <w:bodyDiv w:val="1"/>
      <w:marLeft w:val="0"/>
      <w:marRight w:val="0"/>
      <w:marTop w:val="0"/>
      <w:marBottom w:val="0"/>
      <w:divBdr>
        <w:top w:val="none" w:sz="0" w:space="0" w:color="auto"/>
        <w:left w:val="none" w:sz="0" w:space="0" w:color="auto"/>
        <w:bottom w:val="none" w:sz="0" w:space="0" w:color="auto"/>
        <w:right w:val="none" w:sz="0" w:space="0" w:color="auto"/>
      </w:divBdr>
    </w:div>
    <w:div w:id="295332098">
      <w:bodyDiv w:val="1"/>
      <w:marLeft w:val="0"/>
      <w:marRight w:val="0"/>
      <w:marTop w:val="0"/>
      <w:marBottom w:val="0"/>
      <w:divBdr>
        <w:top w:val="none" w:sz="0" w:space="0" w:color="auto"/>
        <w:left w:val="none" w:sz="0" w:space="0" w:color="auto"/>
        <w:bottom w:val="none" w:sz="0" w:space="0" w:color="auto"/>
        <w:right w:val="none" w:sz="0" w:space="0" w:color="auto"/>
      </w:divBdr>
    </w:div>
    <w:div w:id="297808126">
      <w:bodyDiv w:val="1"/>
      <w:marLeft w:val="0"/>
      <w:marRight w:val="0"/>
      <w:marTop w:val="0"/>
      <w:marBottom w:val="0"/>
      <w:divBdr>
        <w:top w:val="none" w:sz="0" w:space="0" w:color="auto"/>
        <w:left w:val="none" w:sz="0" w:space="0" w:color="auto"/>
        <w:bottom w:val="none" w:sz="0" w:space="0" w:color="auto"/>
        <w:right w:val="none" w:sz="0" w:space="0" w:color="auto"/>
      </w:divBdr>
    </w:div>
    <w:div w:id="299112952">
      <w:bodyDiv w:val="1"/>
      <w:marLeft w:val="0"/>
      <w:marRight w:val="0"/>
      <w:marTop w:val="0"/>
      <w:marBottom w:val="0"/>
      <w:divBdr>
        <w:top w:val="none" w:sz="0" w:space="0" w:color="auto"/>
        <w:left w:val="none" w:sz="0" w:space="0" w:color="auto"/>
        <w:bottom w:val="none" w:sz="0" w:space="0" w:color="auto"/>
        <w:right w:val="none" w:sz="0" w:space="0" w:color="auto"/>
      </w:divBdr>
    </w:div>
    <w:div w:id="308024260">
      <w:bodyDiv w:val="1"/>
      <w:marLeft w:val="0"/>
      <w:marRight w:val="0"/>
      <w:marTop w:val="0"/>
      <w:marBottom w:val="0"/>
      <w:divBdr>
        <w:top w:val="none" w:sz="0" w:space="0" w:color="auto"/>
        <w:left w:val="none" w:sz="0" w:space="0" w:color="auto"/>
        <w:bottom w:val="none" w:sz="0" w:space="0" w:color="auto"/>
        <w:right w:val="none" w:sz="0" w:space="0" w:color="auto"/>
      </w:divBdr>
    </w:div>
    <w:div w:id="310410834">
      <w:bodyDiv w:val="1"/>
      <w:marLeft w:val="0"/>
      <w:marRight w:val="0"/>
      <w:marTop w:val="0"/>
      <w:marBottom w:val="0"/>
      <w:divBdr>
        <w:top w:val="none" w:sz="0" w:space="0" w:color="auto"/>
        <w:left w:val="none" w:sz="0" w:space="0" w:color="auto"/>
        <w:bottom w:val="none" w:sz="0" w:space="0" w:color="auto"/>
        <w:right w:val="none" w:sz="0" w:space="0" w:color="auto"/>
      </w:divBdr>
    </w:div>
    <w:div w:id="320157364">
      <w:bodyDiv w:val="1"/>
      <w:marLeft w:val="0"/>
      <w:marRight w:val="0"/>
      <w:marTop w:val="0"/>
      <w:marBottom w:val="0"/>
      <w:divBdr>
        <w:top w:val="none" w:sz="0" w:space="0" w:color="auto"/>
        <w:left w:val="none" w:sz="0" w:space="0" w:color="auto"/>
        <w:bottom w:val="none" w:sz="0" w:space="0" w:color="auto"/>
        <w:right w:val="none" w:sz="0" w:space="0" w:color="auto"/>
      </w:divBdr>
    </w:div>
    <w:div w:id="326592497">
      <w:bodyDiv w:val="1"/>
      <w:marLeft w:val="0"/>
      <w:marRight w:val="0"/>
      <w:marTop w:val="0"/>
      <w:marBottom w:val="0"/>
      <w:divBdr>
        <w:top w:val="none" w:sz="0" w:space="0" w:color="auto"/>
        <w:left w:val="none" w:sz="0" w:space="0" w:color="auto"/>
        <w:bottom w:val="none" w:sz="0" w:space="0" w:color="auto"/>
        <w:right w:val="none" w:sz="0" w:space="0" w:color="auto"/>
      </w:divBdr>
    </w:div>
    <w:div w:id="328408220">
      <w:bodyDiv w:val="1"/>
      <w:marLeft w:val="0"/>
      <w:marRight w:val="0"/>
      <w:marTop w:val="0"/>
      <w:marBottom w:val="0"/>
      <w:divBdr>
        <w:top w:val="none" w:sz="0" w:space="0" w:color="auto"/>
        <w:left w:val="none" w:sz="0" w:space="0" w:color="auto"/>
        <w:bottom w:val="none" w:sz="0" w:space="0" w:color="auto"/>
        <w:right w:val="none" w:sz="0" w:space="0" w:color="auto"/>
      </w:divBdr>
    </w:div>
    <w:div w:id="332489453">
      <w:bodyDiv w:val="1"/>
      <w:marLeft w:val="0"/>
      <w:marRight w:val="0"/>
      <w:marTop w:val="0"/>
      <w:marBottom w:val="0"/>
      <w:divBdr>
        <w:top w:val="none" w:sz="0" w:space="0" w:color="auto"/>
        <w:left w:val="none" w:sz="0" w:space="0" w:color="auto"/>
        <w:bottom w:val="none" w:sz="0" w:space="0" w:color="auto"/>
        <w:right w:val="none" w:sz="0" w:space="0" w:color="auto"/>
      </w:divBdr>
    </w:div>
    <w:div w:id="343092607">
      <w:bodyDiv w:val="1"/>
      <w:marLeft w:val="0"/>
      <w:marRight w:val="0"/>
      <w:marTop w:val="0"/>
      <w:marBottom w:val="0"/>
      <w:divBdr>
        <w:top w:val="none" w:sz="0" w:space="0" w:color="auto"/>
        <w:left w:val="none" w:sz="0" w:space="0" w:color="auto"/>
        <w:bottom w:val="none" w:sz="0" w:space="0" w:color="auto"/>
        <w:right w:val="none" w:sz="0" w:space="0" w:color="auto"/>
      </w:divBdr>
    </w:div>
    <w:div w:id="345406617">
      <w:bodyDiv w:val="1"/>
      <w:marLeft w:val="0"/>
      <w:marRight w:val="0"/>
      <w:marTop w:val="0"/>
      <w:marBottom w:val="0"/>
      <w:divBdr>
        <w:top w:val="none" w:sz="0" w:space="0" w:color="auto"/>
        <w:left w:val="none" w:sz="0" w:space="0" w:color="auto"/>
        <w:bottom w:val="none" w:sz="0" w:space="0" w:color="auto"/>
        <w:right w:val="none" w:sz="0" w:space="0" w:color="auto"/>
      </w:divBdr>
    </w:div>
    <w:div w:id="349255931">
      <w:bodyDiv w:val="1"/>
      <w:marLeft w:val="0"/>
      <w:marRight w:val="0"/>
      <w:marTop w:val="0"/>
      <w:marBottom w:val="0"/>
      <w:divBdr>
        <w:top w:val="none" w:sz="0" w:space="0" w:color="auto"/>
        <w:left w:val="none" w:sz="0" w:space="0" w:color="auto"/>
        <w:bottom w:val="none" w:sz="0" w:space="0" w:color="auto"/>
        <w:right w:val="none" w:sz="0" w:space="0" w:color="auto"/>
      </w:divBdr>
    </w:div>
    <w:div w:id="371731779">
      <w:bodyDiv w:val="1"/>
      <w:marLeft w:val="0"/>
      <w:marRight w:val="0"/>
      <w:marTop w:val="0"/>
      <w:marBottom w:val="0"/>
      <w:divBdr>
        <w:top w:val="none" w:sz="0" w:space="0" w:color="auto"/>
        <w:left w:val="none" w:sz="0" w:space="0" w:color="auto"/>
        <w:bottom w:val="none" w:sz="0" w:space="0" w:color="auto"/>
        <w:right w:val="none" w:sz="0" w:space="0" w:color="auto"/>
      </w:divBdr>
    </w:div>
    <w:div w:id="383528865">
      <w:bodyDiv w:val="1"/>
      <w:marLeft w:val="0"/>
      <w:marRight w:val="0"/>
      <w:marTop w:val="0"/>
      <w:marBottom w:val="0"/>
      <w:divBdr>
        <w:top w:val="none" w:sz="0" w:space="0" w:color="auto"/>
        <w:left w:val="none" w:sz="0" w:space="0" w:color="auto"/>
        <w:bottom w:val="none" w:sz="0" w:space="0" w:color="auto"/>
        <w:right w:val="none" w:sz="0" w:space="0" w:color="auto"/>
      </w:divBdr>
    </w:div>
    <w:div w:id="393699803">
      <w:bodyDiv w:val="1"/>
      <w:marLeft w:val="0"/>
      <w:marRight w:val="0"/>
      <w:marTop w:val="0"/>
      <w:marBottom w:val="0"/>
      <w:divBdr>
        <w:top w:val="none" w:sz="0" w:space="0" w:color="auto"/>
        <w:left w:val="none" w:sz="0" w:space="0" w:color="auto"/>
        <w:bottom w:val="none" w:sz="0" w:space="0" w:color="auto"/>
        <w:right w:val="none" w:sz="0" w:space="0" w:color="auto"/>
      </w:divBdr>
    </w:div>
    <w:div w:id="428893193">
      <w:bodyDiv w:val="1"/>
      <w:marLeft w:val="0"/>
      <w:marRight w:val="0"/>
      <w:marTop w:val="0"/>
      <w:marBottom w:val="0"/>
      <w:divBdr>
        <w:top w:val="none" w:sz="0" w:space="0" w:color="auto"/>
        <w:left w:val="none" w:sz="0" w:space="0" w:color="auto"/>
        <w:bottom w:val="none" w:sz="0" w:space="0" w:color="auto"/>
        <w:right w:val="none" w:sz="0" w:space="0" w:color="auto"/>
      </w:divBdr>
    </w:div>
    <w:div w:id="432556076">
      <w:bodyDiv w:val="1"/>
      <w:marLeft w:val="0"/>
      <w:marRight w:val="0"/>
      <w:marTop w:val="0"/>
      <w:marBottom w:val="0"/>
      <w:divBdr>
        <w:top w:val="none" w:sz="0" w:space="0" w:color="auto"/>
        <w:left w:val="none" w:sz="0" w:space="0" w:color="auto"/>
        <w:bottom w:val="none" w:sz="0" w:space="0" w:color="auto"/>
        <w:right w:val="none" w:sz="0" w:space="0" w:color="auto"/>
      </w:divBdr>
    </w:div>
    <w:div w:id="442311304">
      <w:bodyDiv w:val="1"/>
      <w:marLeft w:val="0"/>
      <w:marRight w:val="0"/>
      <w:marTop w:val="0"/>
      <w:marBottom w:val="0"/>
      <w:divBdr>
        <w:top w:val="none" w:sz="0" w:space="0" w:color="auto"/>
        <w:left w:val="none" w:sz="0" w:space="0" w:color="auto"/>
        <w:bottom w:val="none" w:sz="0" w:space="0" w:color="auto"/>
        <w:right w:val="none" w:sz="0" w:space="0" w:color="auto"/>
      </w:divBdr>
    </w:div>
    <w:div w:id="444349051">
      <w:bodyDiv w:val="1"/>
      <w:marLeft w:val="0"/>
      <w:marRight w:val="0"/>
      <w:marTop w:val="0"/>
      <w:marBottom w:val="0"/>
      <w:divBdr>
        <w:top w:val="none" w:sz="0" w:space="0" w:color="auto"/>
        <w:left w:val="none" w:sz="0" w:space="0" w:color="auto"/>
        <w:bottom w:val="none" w:sz="0" w:space="0" w:color="auto"/>
        <w:right w:val="none" w:sz="0" w:space="0" w:color="auto"/>
      </w:divBdr>
    </w:div>
    <w:div w:id="457533147">
      <w:bodyDiv w:val="1"/>
      <w:marLeft w:val="0"/>
      <w:marRight w:val="0"/>
      <w:marTop w:val="0"/>
      <w:marBottom w:val="0"/>
      <w:divBdr>
        <w:top w:val="none" w:sz="0" w:space="0" w:color="auto"/>
        <w:left w:val="none" w:sz="0" w:space="0" w:color="auto"/>
        <w:bottom w:val="none" w:sz="0" w:space="0" w:color="auto"/>
        <w:right w:val="none" w:sz="0" w:space="0" w:color="auto"/>
      </w:divBdr>
    </w:div>
    <w:div w:id="474874620">
      <w:bodyDiv w:val="1"/>
      <w:marLeft w:val="0"/>
      <w:marRight w:val="0"/>
      <w:marTop w:val="0"/>
      <w:marBottom w:val="0"/>
      <w:divBdr>
        <w:top w:val="none" w:sz="0" w:space="0" w:color="auto"/>
        <w:left w:val="none" w:sz="0" w:space="0" w:color="auto"/>
        <w:bottom w:val="none" w:sz="0" w:space="0" w:color="auto"/>
        <w:right w:val="none" w:sz="0" w:space="0" w:color="auto"/>
      </w:divBdr>
    </w:div>
    <w:div w:id="476842046">
      <w:bodyDiv w:val="1"/>
      <w:marLeft w:val="0"/>
      <w:marRight w:val="0"/>
      <w:marTop w:val="0"/>
      <w:marBottom w:val="0"/>
      <w:divBdr>
        <w:top w:val="none" w:sz="0" w:space="0" w:color="auto"/>
        <w:left w:val="none" w:sz="0" w:space="0" w:color="auto"/>
        <w:bottom w:val="none" w:sz="0" w:space="0" w:color="auto"/>
        <w:right w:val="none" w:sz="0" w:space="0" w:color="auto"/>
      </w:divBdr>
    </w:div>
    <w:div w:id="479427875">
      <w:bodyDiv w:val="1"/>
      <w:marLeft w:val="0"/>
      <w:marRight w:val="0"/>
      <w:marTop w:val="0"/>
      <w:marBottom w:val="0"/>
      <w:divBdr>
        <w:top w:val="none" w:sz="0" w:space="0" w:color="auto"/>
        <w:left w:val="none" w:sz="0" w:space="0" w:color="auto"/>
        <w:bottom w:val="none" w:sz="0" w:space="0" w:color="auto"/>
        <w:right w:val="none" w:sz="0" w:space="0" w:color="auto"/>
      </w:divBdr>
    </w:div>
    <w:div w:id="482700837">
      <w:bodyDiv w:val="1"/>
      <w:marLeft w:val="0"/>
      <w:marRight w:val="0"/>
      <w:marTop w:val="0"/>
      <w:marBottom w:val="0"/>
      <w:divBdr>
        <w:top w:val="none" w:sz="0" w:space="0" w:color="auto"/>
        <w:left w:val="none" w:sz="0" w:space="0" w:color="auto"/>
        <w:bottom w:val="none" w:sz="0" w:space="0" w:color="auto"/>
        <w:right w:val="none" w:sz="0" w:space="0" w:color="auto"/>
      </w:divBdr>
    </w:div>
    <w:div w:id="483855859">
      <w:bodyDiv w:val="1"/>
      <w:marLeft w:val="0"/>
      <w:marRight w:val="0"/>
      <w:marTop w:val="0"/>
      <w:marBottom w:val="0"/>
      <w:divBdr>
        <w:top w:val="none" w:sz="0" w:space="0" w:color="auto"/>
        <w:left w:val="none" w:sz="0" w:space="0" w:color="auto"/>
        <w:bottom w:val="none" w:sz="0" w:space="0" w:color="auto"/>
        <w:right w:val="none" w:sz="0" w:space="0" w:color="auto"/>
      </w:divBdr>
    </w:div>
    <w:div w:id="486634427">
      <w:bodyDiv w:val="1"/>
      <w:marLeft w:val="0"/>
      <w:marRight w:val="0"/>
      <w:marTop w:val="0"/>
      <w:marBottom w:val="0"/>
      <w:divBdr>
        <w:top w:val="none" w:sz="0" w:space="0" w:color="auto"/>
        <w:left w:val="none" w:sz="0" w:space="0" w:color="auto"/>
        <w:bottom w:val="none" w:sz="0" w:space="0" w:color="auto"/>
        <w:right w:val="none" w:sz="0" w:space="0" w:color="auto"/>
      </w:divBdr>
    </w:div>
    <w:div w:id="491600092">
      <w:bodyDiv w:val="1"/>
      <w:marLeft w:val="0"/>
      <w:marRight w:val="0"/>
      <w:marTop w:val="0"/>
      <w:marBottom w:val="0"/>
      <w:divBdr>
        <w:top w:val="none" w:sz="0" w:space="0" w:color="auto"/>
        <w:left w:val="none" w:sz="0" w:space="0" w:color="auto"/>
        <w:bottom w:val="none" w:sz="0" w:space="0" w:color="auto"/>
        <w:right w:val="none" w:sz="0" w:space="0" w:color="auto"/>
      </w:divBdr>
    </w:div>
    <w:div w:id="497696329">
      <w:bodyDiv w:val="1"/>
      <w:marLeft w:val="0"/>
      <w:marRight w:val="0"/>
      <w:marTop w:val="0"/>
      <w:marBottom w:val="0"/>
      <w:divBdr>
        <w:top w:val="none" w:sz="0" w:space="0" w:color="auto"/>
        <w:left w:val="none" w:sz="0" w:space="0" w:color="auto"/>
        <w:bottom w:val="none" w:sz="0" w:space="0" w:color="auto"/>
        <w:right w:val="none" w:sz="0" w:space="0" w:color="auto"/>
      </w:divBdr>
    </w:div>
    <w:div w:id="502596092">
      <w:bodyDiv w:val="1"/>
      <w:marLeft w:val="0"/>
      <w:marRight w:val="0"/>
      <w:marTop w:val="0"/>
      <w:marBottom w:val="0"/>
      <w:divBdr>
        <w:top w:val="none" w:sz="0" w:space="0" w:color="auto"/>
        <w:left w:val="none" w:sz="0" w:space="0" w:color="auto"/>
        <w:bottom w:val="none" w:sz="0" w:space="0" w:color="auto"/>
        <w:right w:val="none" w:sz="0" w:space="0" w:color="auto"/>
      </w:divBdr>
    </w:div>
    <w:div w:id="522091375">
      <w:bodyDiv w:val="1"/>
      <w:marLeft w:val="0"/>
      <w:marRight w:val="0"/>
      <w:marTop w:val="0"/>
      <w:marBottom w:val="0"/>
      <w:divBdr>
        <w:top w:val="none" w:sz="0" w:space="0" w:color="auto"/>
        <w:left w:val="none" w:sz="0" w:space="0" w:color="auto"/>
        <w:bottom w:val="none" w:sz="0" w:space="0" w:color="auto"/>
        <w:right w:val="none" w:sz="0" w:space="0" w:color="auto"/>
      </w:divBdr>
    </w:div>
    <w:div w:id="527253422">
      <w:bodyDiv w:val="1"/>
      <w:marLeft w:val="0"/>
      <w:marRight w:val="0"/>
      <w:marTop w:val="0"/>
      <w:marBottom w:val="0"/>
      <w:divBdr>
        <w:top w:val="none" w:sz="0" w:space="0" w:color="auto"/>
        <w:left w:val="none" w:sz="0" w:space="0" w:color="auto"/>
        <w:bottom w:val="none" w:sz="0" w:space="0" w:color="auto"/>
        <w:right w:val="none" w:sz="0" w:space="0" w:color="auto"/>
      </w:divBdr>
    </w:div>
    <w:div w:id="528614040">
      <w:bodyDiv w:val="1"/>
      <w:marLeft w:val="0"/>
      <w:marRight w:val="0"/>
      <w:marTop w:val="0"/>
      <w:marBottom w:val="0"/>
      <w:divBdr>
        <w:top w:val="none" w:sz="0" w:space="0" w:color="auto"/>
        <w:left w:val="none" w:sz="0" w:space="0" w:color="auto"/>
        <w:bottom w:val="none" w:sz="0" w:space="0" w:color="auto"/>
        <w:right w:val="none" w:sz="0" w:space="0" w:color="auto"/>
      </w:divBdr>
    </w:div>
    <w:div w:id="534118571">
      <w:bodyDiv w:val="1"/>
      <w:marLeft w:val="0"/>
      <w:marRight w:val="0"/>
      <w:marTop w:val="0"/>
      <w:marBottom w:val="0"/>
      <w:divBdr>
        <w:top w:val="none" w:sz="0" w:space="0" w:color="auto"/>
        <w:left w:val="none" w:sz="0" w:space="0" w:color="auto"/>
        <w:bottom w:val="none" w:sz="0" w:space="0" w:color="auto"/>
        <w:right w:val="none" w:sz="0" w:space="0" w:color="auto"/>
      </w:divBdr>
    </w:div>
    <w:div w:id="538787271">
      <w:bodyDiv w:val="1"/>
      <w:marLeft w:val="0"/>
      <w:marRight w:val="0"/>
      <w:marTop w:val="0"/>
      <w:marBottom w:val="0"/>
      <w:divBdr>
        <w:top w:val="none" w:sz="0" w:space="0" w:color="auto"/>
        <w:left w:val="none" w:sz="0" w:space="0" w:color="auto"/>
        <w:bottom w:val="none" w:sz="0" w:space="0" w:color="auto"/>
        <w:right w:val="none" w:sz="0" w:space="0" w:color="auto"/>
      </w:divBdr>
    </w:div>
    <w:div w:id="541938937">
      <w:bodyDiv w:val="1"/>
      <w:marLeft w:val="0"/>
      <w:marRight w:val="0"/>
      <w:marTop w:val="0"/>
      <w:marBottom w:val="0"/>
      <w:divBdr>
        <w:top w:val="none" w:sz="0" w:space="0" w:color="auto"/>
        <w:left w:val="none" w:sz="0" w:space="0" w:color="auto"/>
        <w:bottom w:val="none" w:sz="0" w:space="0" w:color="auto"/>
        <w:right w:val="none" w:sz="0" w:space="0" w:color="auto"/>
      </w:divBdr>
    </w:div>
    <w:div w:id="561717790">
      <w:bodyDiv w:val="1"/>
      <w:marLeft w:val="0"/>
      <w:marRight w:val="0"/>
      <w:marTop w:val="0"/>
      <w:marBottom w:val="0"/>
      <w:divBdr>
        <w:top w:val="none" w:sz="0" w:space="0" w:color="auto"/>
        <w:left w:val="none" w:sz="0" w:space="0" w:color="auto"/>
        <w:bottom w:val="none" w:sz="0" w:space="0" w:color="auto"/>
        <w:right w:val="none" w:sz="0" w:space="0" w:color="auto"/>
      </w:divBdr>
    </w:div>
    <w:div w:id="577860903">
      <w:bodyDiv w:val="1"/>
      <w:marLeft w:val="0"/>
      <w:marRight w:val="0"/>
      <w:marTop w:val="0"/>
      <w:marBottom w:val="0"/>
      <w:divBdr>
        <w:top w:val="none" w:sz="0" w:space="0" w:color="auto"/>
        <w:left w:val="none" w:sz="0" w:space="0" w:color="auto"/>
        <w:bottom w:val="none" w:sz="0" w:space="0" w:color="auto"/>
        <w:right w:val="none" w:sz="0" w:space="0" w:color="auto"/>
      </w:divBdr>
    </w:div>
    <w:div w:id="579681628">
      <w:bodyDiv w:val="1"/>
      <w:marLeft w:val="0"/>
      <w:marRight w:val="0"/>
      <w:marTop w:val="0"/>
      <w:marBottom w:val="0"/>
      <w:divBdr>
        <w:top w:val="none" w:sz="0" w:space="0" w:color="auto"/>
        <w:left w:val="none" w:sz="0" w:space="0" w:color="auto"/>
        <w:bottom w:val="none" w:sz="0" w:space="0" w:color="auto"/>
        <w:right w:val="none" w:sz="0" w:space="0" w:color="auto"/>
      </w:divBdr>
    </w:div>
    <w:div w:id="583300486">
      <w:bodyDiv w:val="1"/>
      <w:marLeft w:val="0"/>
      <w:marRight w:val="0"/>
      <w:marTop w:val="0"/>
      <w:marBottom w:val="0"/>
      <w:divBdr>
        <w:top w:val="none" w:sz="0" w:space="0" w:color="auto"/>
        <w:left w:val="none" w:sz="0" w:space="0" w:color="auto"/>
        <w:bottom w:val="none" w:sz="0" w:space="0" w:color="auto"/>
        <w:right w:val="none" w:sz="0" w:space="0" w:color="auto"/>
      </w:divBdr>
    </w:div>
    <w:div w:id="587348278">
      <w:bodyDiv w:val="1"/>
      <w:marLeft w:val="0"/>
      <w:marRight w:val="0"/>
      <w:marTop w:val="0"/>
      <w:marBottom w:val="0"/>
      <w:divBdr>
        <w:top w:val="none" w:sz="0" w:space="0" w:color="auto"/>
        <w:left w:val="none" w:sz="0" w:space="0" w:color="auto"/>
        <w:bottom w:val="none" w:sz="0" w:space="0" w:color="auto"/>
        <w:right w:val="none" w:sz="0" w:space="0" w:color="auto"/>
      </w:divBdr>
    </w:div>
    <w:div w:id="596913573">
      <w:bodyDiv w:val="1"/>
      <w:marLeft w:val="0"/>
      <w:marRight w:val="0"/>
      <w:marTop w:val="0"/>
      <w:marBottom w:val="0"/>
      <w:divBdr>
        <w:top w:val="none" w:sz="0" w:space="0" w:color="auto"/>
        <w:left w:val="none" w:sz="0" w:space="0" w:color="auto"/>
        <w:bottom w:val="none" w:sz="0" w:space="0" w:color="auto"/>
        <w:right w:val="none" w:sz="0" w:space="0" w:color="auto"/>
      </w:divBdr>
    </w:div>
    <w:div w:id="603267117">
      <w:bodyDiv w:val="1"/>
      <w:marLeft w:val="0"/>
      <w:marRight w:val="0"/>
      <w:marTop w:val="0"/>
      <w:marBottom w:val="0"/>
      <w:divBdr>
        <w:top w:val="none" w:sz="0" w:space="0" w:color="auto"/>
        <w:left w:val="none" w:sz="0" w:space="0" w:color="auto"/>
        <w:bottom w:val="none" w:sz="0" w:space="0" w:color="auto"/>
        <w:right w:val="none" w:sz="0" w:space="0" w:color="auto"/>
      </w:divBdr>
    </w:div>
    <w:div w:id="620192420">
      <w:bodyDiv w:val="1"/>
      <w:marLeft w:val="0"/>
      <w:marRight w:val="0"/>
      <w:marTop w:val="0"/>
      <w:marBottom w:val="0"/>
      <w:divBdr>
        <w:top w:val="none" w:sz="0" w:space="0" w:color="auto"/>
        <w:left w:val="none" w:sz="0" w:space="0" w:color="auto"/>
        <w:bottom w:val="none" w:sz="0" w:space="0" w:color="auto"/>
        <w:right w:val="none" w:sz="0" w:space="0" w:color="auto"/>
      </w:divBdr>
    </w:div>
    <w:div w:id="635259747">
      <w:bodyDiv w:val="1"/>
      <w:marLeft w:val="0"/>
      <w:marRight w:val="0"/>
      <w:marTop w:val="0"/>
      <w:marBottom w:val="0"/>
      <w:divBdr>
        <w:top w:val="none" w:sz="0" w:space="0" w:color="auto"/>
        <w:left w:val="none" w:sz="0" w:space="0" w:color="auto"/>
        <w:bottom w:val="none" w:sz="0" w:space="0" w:color="auto"/>
        <w:right w:val="none" w:sz="0" w:space="0" w:color="auto"/>
      </w:divBdr>
    </w:div>
    <w:div w:id="651521314">
      <w:bodyDiv w:val="1"/>
      <w:marLeft w:val="0"/>
      <w:marRight w:val="0"/>
      <w:marTop w:val="0"/>
      <w:marBottom w:val="0"/>
      <w:divBdr>
        <w:top w:val="none" w:sz="0" w:space="0" w:color="auto"/>
        <w:left w:val="none" w:sz="0" w:space="0" w:color="auto"/>
        <w:bottom w:val="none" w:sz="0" w:space="0" w:color="auto"/>
        <w:right w:val="none" w:sz="0" w:space="0" w:color="auto"/>
      </w:divBdr>
    </w:div>
    <w:div w:id="652025268">
      <w:bodyDiv w:val="1"/>
      <w:marLeft w:val="0"/>
      <w:marRight w:val="0"/>
      <w:marTop w:val="0"/>
      <w:marBottom w:val="0"/>
      <w:divBdr>
        <w:top w:val="none" w:sz="0" w:space="0" w:color="auto"/>
        <w:left w:val="none" w:sz="0" w:space="0" w:color="auto"/>
        <w:bottom w:val="none" w:sz="0" w:space="0" w:color="auto"/>
        <w:right w:val="none" w:sz="0" w:space="0" w:color="auto"/>
      </w:divBdr>
    </w:div>
    <w:div w:id="660041560">
      <w:bodyDiv w:val="1"/>
      <w:marLeft w:val="0"/>
      <w:marRight w:val="0"/>
      <w:marTop w:val="0"/>
      <w:marBottom w:val="0"/>
      <w:divBdr>
        <w:top w:val="none" w:sz="0" w:space="0" w:color="auto"/>
        <w:left w:val="none" w:sz="0" w:space="0" w:color="auto"/>
        <w:bottom w:val="none" w:sz="0" w:space="0" w:color="auto"/>
        <w:right w:val="none" w:sz="0" w:space="0" w:color="auto"/>
      </w:divBdr>
    </w:div>
    <w:div w:id="662317871">
      <w:bodyDiv w:val="1"/>
      <w:marLeft w:val="0"/>
      <w:marRight w:val="0"/>
      <w:marTop w:val="0"/>
      <w:marBottom w:val="0"/>
      <w:divBdr>
        <w:top w:val="none" w:sz="0" w:space="0" w:color="auto"/>
        <w:left w:val="none" w:sz="0" w:space="0" w:color="auto"/>
        <w:bottom w:val="none" w:sz="0" w:space="0" w:color="auto"/>
        <w:right w:val="none" w:sz="0" w:space="0" w:color="auto"/>
      </w:divBdr>
    </w:div>
    <w:div w:id="667100866">
      <w:bodyDiv w:val="1"/>
      <w:marLeft w:val="0"/>
      <w:marRight w:val="0"/>
      <w:marTop w:val="0"/>
      <w:marBottom w:val="0"/>
      <w:divBdr>
        <w:top w:val="none" w:sz="0" w:space="0" w:color="auto"/>
        <w:left w:val="none" w:sz="0" w:space="0" w:color="auto"/>
        <w:bottom w:val="none" w:sz="0" w:space="0" w:color="auto"/>
        <w:right w:val="none" w:sz="0" w:space="0" w:color="auto"/>
      </w:divBdr>
    </w:div>
    <w:div w:id="672682412">
      <w:bodyDiv w:val="1"/>
      <w:marLeft w:val="0"/>
      <w:marRight w:val="0"/>
      <w:marTop w:val="0"/>
      <w:marBottom w:val="0"/>
      <w:divBdr>
        <w:top w:val="none" w:sz="0" w:space="0" w:color="auto"/>
        <w:left w:val="none" w:sz="0" w:space="0" w:color="auto"/>
        <w:bottom w:val="none" w:sz="0" w:space="0" w:color="auto"/>
        <w:right w:val="none" w:sz="0" w:space="0" w:color="auto"/>
      </w:divBdr>
    </w:div>
    <w:div w:id="678772231">
      <w:bodyDiv w:val="1"/>
      <w:marLeft w:val="0"/>
      <w:marRight w:val="0"/>
      <w:marTop w:val="0"/>
      <w:marBottom w:val="0"/>
      <w:divBdr>
        <w:top w:val="none" w:sz="0" w:space="0" w:color="auto"/>
        <w:left w:val="none" w:sz="0" w:space="0" w:color="auto"/>
        <w:bottom w:val="none" w:sz="0" w:space="0" w:color="auto"/>
        <w:right w:val="none" w:sz="0" w:space="0" w:color="auto"/>
      </w:divBdr>
    </w:div>
    <w:div w:id="682559485">
      <w:bodyDiv w:val="1"/>
      <w:marLeft w:val="0"/>
      <w:marRight w:val="0"/>
      <w:marTop w:val="0"/>
      <w:marBottom w:val="0"/>
      <w:divBdr>
        <w:top w:val="none" w:sz="0" w:space="0" w:color="auto"/>
        <w:left w:val="none" w:sz="0" w:space="0" w:color="auto"/>
        <w:bottom w:val="none" w:sz="0" w:space="0" w:color="auto"/>
        <w:right w:val="none" w:sz="0" w:space="0" w:color="auto"/>
      </w:divBdr>
    </w:div>
    <w:div w:id="683241350">
      <w:bodyDiv w:val="1"/>
      <w:marLeft w:val="0"/>
      <w:marRight w:val="0"/>
      <w:marTop w:val="0"/>
      <w:marBottom w:val="0"/>
      <w:divBdr>
        <w:top w:val="none" w:sz="0" w:space="0" w:color="auto"/>
        <w:left w:val="none" w:sz="0" w:space="0" w:color="auto"/>
        <w:bottom w:val="none" w:sz="0" w:space="0" w:color="auto"/>
        <w:right w:val="none" w:sz="0" w:space="0" w:color="auto"/>
      </w:divBdr>
    </w:div>
    <w:div w:id="690684379">
      <w:bodyDiv w:val="1"/>
      <w:marLeft w:val="0"/>
      <w:marRight w:val="0"/>
      <w:marTop w:val="0"/>
      <w:marBottom w:val="0"/>
      <w:divBdr>
        <w:top w:val="none" w:sz="0" w:space="0" w:color="auto"/>
        <w:left w:val="none" w:sz="0" w:space="0" w:color="auto"/>
        <w:bottom w:val="none" w:sz="0" w:space="0" w:color="auto"/>
        <w:right w:val="none" w:sz="0" w:space="0" w:color="auto"/>
      </w:divBdr>
    </w:div>
    <w:div w:id="692272148">
      <w:bodyDiv w:val="1"/>
      <w:marLeft w:val="0"/>
      <w:marRight w:val="0"/>
      <w:marTop w:val="0"/>
      <w:marBottom w:val="0"/>
      <w:divBdr>
        <w:top w:val="none" w:sz="0" w:space="0" w:color="auto"/>
        <w:left w:val="none" w:sz="0" w:space="0" w:color="auto"/>
        <w:bottom w:val="none" w:sz="0" w:space="0" w:color="auto"/>
        <w:right w:val="none" w:sz="0" w:space="0" w:color="auto"/>
      </w:divBdr>
    </w:div>
    <w:div w:id="692651176">
      <w:bodyDiv w:val="1"/>
      <w:marLeft w:val="0"/>
      <w:marRight w:val="0"/>
      <w:marTop w:val="0"/>
      <w:marBottom w:val="0"/>
      <w:divBdr>
        <w:top w:val="none" w:sz="0" w:space="0" w:color="auto"/>
        <w:left w:val="none" w:sz="0" w:space="0" w:color="auto"/>
        <w:bottom w:val="none" w:sz="0" w:space="0" w:color="auto"/>
        <w:right w:val="none" w:sz="0" w:space="0" w:color="auto"/>
      </w:divBdr>
    </w:div>
    <w:div w:id="695621930">
      <w:bodyDiv w:val="1"/>
      <w:marLeft w:val="0"/>
      <w:marRight w:val="0"/>
      <w:marTop w:val="0"/>
      <w:marBottom w:val="0"/>
      <w:divBdr>
        <w:top w:val="none" w:sz="0" w:space="0" w:color="auto"/>
        <w:left w:val="none" w:sz="0" w:space="0" w:color="auto"/>
        <w:bottom w:val="none" w:sz="0" w:space="0" w:color="auto"/>
        <w:right w:val="none" w:sz="0" w:space="0" w:color="auto"/>
      </w:divBdr>
    </w:div>
    <w:div w:id="707534808">
      <w:bodyDiv w:val="1"/>
      <w:marLeft w:val="0"/>
      <w:marRight w:val="0"/>
      <w:marTop w:val="0"/>
      <w:marBottom w:val="0"/>
      <w:divBdr>
        <w:top w:val="none" w:sz="0" w:space="0" w:color="auto"/>
        <w:left w:val="none" w:sz="0" w:space="0" w:color="auto"/>
        <w:bottom w:val="none" w:sz="0" w:space="0" w:color="auto"/>
        <w:right w:val="none" w:sz="0" w:space="0" w:color="auto"/>
      </w:divBdr>
    </w:div>
    <w:div w:id="709065344">
      <w:bodyDiv w:val="1"/>
      <w:marLeft w:val="0"/>
      <w:marRight w:val="0"/>
      <w:marTop w:val="0"/>
      <w:marBottom w:val="0"/>
      <w:divBdr>
        <w:top w:val="none" w:sz="0" w:space="0" w:color="auto"/>
        <w:left w:val="none" w:sz="0" w:space="0" w:color="auto"/>
        <w:bottom w:val="none" w:sz="0" w:space="0" w:color="auto"/>
        <w:right w:val="none" w:sz="0" w:space="0" w:color="auto"/>
      </w:divBdr>
    </w:div>
    <w:div w:id="709913139">
      <w:bodyDiv w:val="1"/>
      <w:marLeft w:val="0"/>
      <w:marRight w:val="0"/>
      <w:marTop w:val="0"/>
      <w:marBottom w:val="0"/>
      <w:divBdr>
        <w:top w:val="none" w:sz="0" w:space="0" w:color="auto"/>
        <w:left w:val="none" w:sz="0" w:space="0" w:color="auto"/>
        <w:bottom w:val="none" w:sz="0" w:space="0" w:color="auto"/>
        <w:right w:val="none" w:sz="0" w:space="0" w:color="auto"/>
      </w:divBdr>
    </w:div>
    <w:div w:id="711534528">
      <w:bodyDiv w:val="1"/>
      <w:marLeft w:val="0"/>
      <w:marRight w:val="0"/>
      <w:marTop w:val="0"/>
      <w:marBottom w:val="0"/>
      <w:divBdr>
        <w:top w:val="none" w:sz="0" w:space="0" w:color="auto"/>
        <w:left w:val="none" w:sz="0" w:space="0" w:color="auto"/>
        <w:bottom w:val="none" w:sz="0" w:space="0" w:color="auto"/>
        <w:right w:val="none" w:sz="0" w:space="0" w:color="auto"/>
      </w:divBdr>
    </w:div>
    <w:div w:id="714155563">
      <w:bodyDiv w:val="1"/>
      <w:marLeft w:val="0"/>
      <w:marRight w:val="0"/>
      <w:marTop w:val="0"/>
      <w:marBottom w:val="0"/>
      <w:divBdr>
        <w:top w:val="none" w:sz="0" w:space="0" w:color="auto"/>
        <w:left w:val="none" w:sz="0" w:space="0" w:color="auto"/>
        <w:bottom w:val="none" w:sz="0" w:space="0" w:color="auto"/>
        <w:right w:val="none" w:sz="0" w:space="0" w:color="auto"/>
      </w:divBdr>
    </w:div>
    <w:div w:id="714506098">
      <w:bodyDiv w:val="1"/>
      <w:marLeft w:val="0"/>
      <w:marRight w:val="0"/>
      <w:marTop w:val="0"/>
      <w:marBottom w:val="0"/>
      <w:divBdr>
        <w:top w:val="none" w:sz="0" w:space="0" w:color="auto"/>
        <w:left w:val="none" w:sz="0" w:space="0" w:color="auto"/>
        <w:bottom w:val="none" w:sz="0" w:space="0" w:color="auto"/>
        <w:right w:val="none" w:sz="0" w:space="0" w:color="auto"/>
      </w:divBdr>
    </w:div>
    <w:div w:id="721294802">
      <w:bodyDiv w:val="1"/>
      <w:marLeft w:val="0"/>
      <w:marRight w:val="0"/>
      <w:marTop w:val="0"/>
      <w:marBottom w:val="0"/>
      <w:divBdr>
        <w:top w:val="none" w:sz="0" w:space="0" w:color="auto"/>
        <w:left w:val="none" w:sz="0" w:space="0" w:color="auto"/>
        <w:bottom w:val="none" w:sz="0" w:space="0" w:color="auto"/>
        <w:right w:val="none" w:sz="0" w:space="0" w:color="auto"/>
      </w:divBdr>
    </w:div>
    <w:div w:id="722601127">
      <w:bodyDiv w:val="1"/>
      <w:marLeft w:val="0"/>
      <w:marRight w:val="0"/>
      <w:marTop w:val="0"/>
      <w:marBottom w:val="0"/>
      <w:divBdr>
        <w:top w:val="none" w:sz="0" w:space="0" w:color="auto"/>
        <w:left w:val="none" w:sz="0" w:space="0" w:color="auto"/>
        <w:bottom w:val="none" w:sz="0" w:space="0" w:color="auto"/>
        <w:right w:val="none" w:sz="0" w:space="0" w:color="auto"/>
      </w:divBdr>
    </w:div>
    <w:div w:id="722757444">
      <w:bodyDiv w:val="1"/>
      <w:marLeft w:val="0"/>
      <w:marRight w:val="0"/>
      <w:marTop w:val="0"/>
      <w:marBottom w:val="0"/>
      <w:divBdr>
        <w:top w:val="none" w:sz="0" w:space="0" w:color="auto"/>
        <w:left w:val="none" w:sz="0" w:space="0" w:color="auto"/>
        <w:bottom w:val="none" w:sz="0" w:space="0" w:color="auto"/>
        <w:right w:val="none" w:sz="0" w:space="0" w:color="auto"/>
      </w:divBdr>
    </w:div>
    <w:div w:id="725614766">
      <w:bodyDiv w:val="1"/>
      <w:marLeft w:val="0"/>
      <w:marRight w:val="0"/>
      <w:marTop w:val="0"/>
      <w:marBottom w:val="0"/>
      <w:divBdr>
        <w:top w:val="none" w:sz="0" w:space="0" w:color="auto"/>
        <w:left w:val="none" w:sz="0" w:space="0" w:color="auto"/>
        <w:bottom w:val="none" w:sz="0" w:space="0" w:color="auto"/>
        <w:right w:val="none" w:sz="0" w:space="0" w:color="auto"/>
      </w:divBdr>
    </w:div>
    <w:div w:id="728192497">
      <w:bodyDiv w:val="1"/>
      <w:marLeft w:val="0"/>
      <w:marRight w:val="0"/>
      <w:marTop w:val="0"/>
      <w:marBottom w:val="0"/>
      <w:divBdr>
        <w:top w:val="none" w:sz="0" w:space="0" w:color="auto"/>
        <w:left w:val="none" w:sz="0" w:space="0" w:color="auto"/>
        <w:bottom w:val="none" w:sz="0" w:space="0" w:color="auto"/>
        <w:right w:val="none" w:sz="0" w:space="0" w:color="auto"/>
      </w:divBdr>
    </w:div>
    <w:div w:id="730465117">
      <w:bodyDiv w:val="1"/>
      <w:marLeft w:val="0"/>
      <w:marRight w:val="0"/>
      <w:marTop w:val="0"/>
      <w:marBottom w:val="0"/>
      <w:divBdr>
        <w:top w:val="none" w:sz="0" w:space="0" w:color="auto"/>
        <w:left w:val="none" w:sz="0" w:space="0" w:color="auto"/>
        <w:bottom w:val="none" w:sz="0" w:space="0" w:color="auto"/>
        <w:right w:val="none" w:sz="0" w:space="0" w:color="auto"/>
      </w:divBdr>
    </w:div>
    <w:div w:id="732120690">
      <w:bodyDiv w:val="1"/>
      <w:marLeft w:val="0"/>
      <w:marRight w:val="0"/>
      <w:marTop w:val="0"/>
      <w:marBottom w:val="0"/>
      <w:divBdr>
        <w:top w:val="none" w:sz="0" w:space="0" w:color="auto"/>
        <w:left w:val="none" w:sz="0" w:space="0" w:color="auto"/>
        <w:bottom w:val="none" w:sz="0" w:space="0" w:color="auto"/>
        <w:right w:val="none" w:sz="0" w:space="0" w:color="auto"/>
      </w:divBdr>
    </w:div>
    <w:div w:id="733549567">
      <w:bodyDiv w:val="1"/>
      <w:marLeft w:val="0"/>
      <w:marRight w:val="0"/>
      <w:marTop w:val="0"/>
      <w:marBottom w:val="0"/>
      <w:divBdr>
        <w:top w:val="none" w:sz="0" w:space="0" w:color="auto"/>
        <w:left w:val="none" w:sz="0" w:space="0" w:color="auto"/>
        <w:bottom w:val="none" w:sz="0" w:space="0" w:color="auto"/>
        <w:right w:val="none" w:sz="0" w:space="0" w:color="auto"/>
      </w:divBdr>
    </w:div>
    <w:div w:id="738595795">
      <w:bodyDiv w:val="1"/>
      <w:marLeft w:val="0"/>
      <w:marRight w:val="0"/>
      <w:marTop w:val="0"/>
      <w:marBottom w:val="0"/>
      <w:divBdr>
        <w:top w:val="none" w:sz="0" w:space="0" w:color="auto"/>
        <w:left w:val="none" w:sz="0" w:space="0" w:color="auto"/>
        <w:bottom w:val="none" w:sz="0" w:space="0" w:color="auto"/>
        <w:right w:val="none" w:sz="0" w:space="0" w:color="auto"/>
      </w:divBdr>
    </w:div>
    <w:div w:id="743721692">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 w:id="791825819">
      <w:bodyDiv w:val="1"/>
      <w:marLeft w:val="0"/>
      <w:marRight w:val="0"/>
      <w:marTop w:val="0"/>
      <w:marBottom w:val="0"/>
      <w:divBdr>
        <w:top w:val="none" w:sz="0" w:space="0" w:color="auto"/>
        <w:left w:val="none" w:sz="0" w:space="0" w:color="auto"/>
        <w:bottom w:val="none" w:sz="0" w:space="0" w:color="auto"/>
        <w:right w:val="none" w:sz="0" w:space="0" w:color="auto"/>
      </w:divBdr>
    </w:div>
    <w:div w:id="794442799">
      <w:bodyDiv w:val="1"/>
      <w:marLeft w:val="0"/>
      <w:marRight w:val="0"/>
      <w:marTop w:val="0"/>
      <w:marBottom w:val="0"/>
      <w:divBdr>
        <w:top w:val="none" w:sz="0" w:space="0" w:color="auto"/>
        <w:left w:val="none" w:sz="0" w:space="0" w:color="auto"/>
        <w:bottom w:val="none" w:sz="0" w:space="0" w:color="auto"/>
        <w:right w:val="none" w:sz="0" w:space="0" w:color="auto"/>
      </w:divBdr>
    </w:div>
    <w:div w:id="796071197">
      <w:bodyDiv w:val="1"/>
      <w:marLeft w:val="0"/>
      <w:marRight w:val="0"/>
      <w:marTop w:val="0"/>
      <w:marBottom w:val="0"/>
      <w:divBdr>
        <w:top w:val="none" w:sz="0" w:space="0" w:color="auto"/>
        <w:left w:val="none" w:sz="0" w:space="0" w:color="auto"/>
        <w:bottom w:val="none" w:sz="0" w:space="0" w:color="auto"/>
        <w:right w:val="none" w:sz="0" w:space="0" w:color="auto"/>
      </w:divBdr>
    </w:div>
    <w:div w:id="797574992">
      <w:bodyDiv w:val="1"/>
      <w:marLeft w:val="0"/>
      <w:marRight w:val="0"/>
      <w:marTop w:val="0"/>
      <w:marBottom w:val="0"/>
      <w:divBdr>
        <w:top w:val="none" w:sz="0" w:space="0" w:color="auto"/>
        <w:left w:val="none" w:sz="0" w:space="0" w:color="auto"/>
        <w:bottom w:val="none" w:sz="0" w:space="0" w:color="auto"/>
        <w:right w:val="none" w:sz="0" w:space="0" w:color="auto"/>
      </w:divBdr>
    </w:div>
    <w:div w:id="802621165">
      <w:bodyDiv w:val="1"/>
      <w:marLeft w:val="0"/>
      <w:marRight w:val="0"/>
      <w:marTop w:val="0"/>
      <w:marBottom w:val="0"/>
      <w:divBdr>
        <w:top w:val="none" w:sz="0" w:space="0" w:color="auto"/>
        <w:left w:val="none" w:sz="0" w:space="0" w:color="auto"/>
        <w:bottom w:val="none" w:sz="0" w:space="0" w:color="auto"/>
        <w:right w:val="none" w:sz="0" w:space="0" w:color="auto"/>
      </w:divBdr>
    </w:div>
    <w:div w:id="811753206">
      <w:bodyDiv w:val="1"/>
      <w:marLeft w:val="0"/>
      <w:marRight w:val="0"/>
      <w:marTop w:val="0"/>
      <w:marBottom w:val="0"/>
      <w:divBdr>
        <w:top w:val="none" w:sz="0" w:space="0" w:color="auto"/>
        <w:left w:val="none" w:sz="0" w:space="0" w:color="auto"/>
        <w:bottom w:val="none" w:sz="0" w:space="0" w:color="auto"/>
        <w:right w:val="none" w:sz="0" w:space="0" w:color="auto"/>
      </w:divBdr>
    </w:div>
    <w:div w:id="813570768">
      <w:bodyDiv w:val="1"/>
      <w:marLeft w:val="0"/>
      <w:marRight w:val="0"/>
      <w:marTop w:val="0"/>
      <w:marBottom w:val="0"/>
      <w:divBdr>
        <w:top w:val="none" w:sz="0" w:space="0" w:color="auto"/>
        <w:left w:val="none" w:sz="0" w:space="0" w:color="auto"/>
        <w:bottom w:val="none" w:sz="0" w:space="0" w:color="auto"/>
        <w:right w:val="none" w:sz="0" w:space="0" w:color="auto"/>
      </w:divBdr>
    </w:div>
    <w:div w:id="817263606">
      <w:bodyDiv w:val="1"/>
      <w:marLeft w:val="0"/>
      <w:marRight w:val="0"/>
      <w:marTop w:val="0"/>
      <w:marBottom w:val="0"/>
      <w:divBdr>
        <w:top w:val="none" w:sz="0" w:space="0" w:color="auto"/>
        <w:left w:val="none" w:sz="0" w:space="0" w:color="auto"/>
        <w:bottom w:val="none" w:sz="0" w:space="0" w:color="auto"/>
        <w:right w:val="none" w:sz="0" w:space="0" w:color="auto"/>
      </w:divBdr>
    </w:div>
    <w:div w:id="819543151">
      <w:bodyDiv w:val="1"/>
      <w:marLeft w:val="0"/>
      <w:marRight w:val="0"/>
      <w:marTop w:val="0"/>
      <w:marBottom w:val="0"/>
      <w:divBdr>
        <w:top w:val="none" w:sz="0" w:space="0" w:color="auto"/>
        <w:left w:val="none" w:sz="0" w:space="0" w:color="auto"/>
        <w:bottom w:val="none" w:sz="0" w:space="0" w:color="auto"/>
        <w:right w:val="none" w:sz="0" w:space="0" w:color="auto"/>
      </w:divBdr>
    </w:div>
    <w:div w:id="826552779">
      <w:bodyDiv w:val="1"/>
      <w:marLeft w:val="0"/>
      <w:marRight w:val="0"/>
      <w:marTop w:val="0"/>
      <w:marBottom w:val="0"/>
      <w:divBdr>
        <w:top w:val="none" w:sz="0" w:space="0" w:color="auto"/>
        <w:left w:val="none" w:sz="0" w:space="0" w:color="auto"/>
        <w:bottom w:val="none" w:sz="0" w:space="0" w:color="auto"/>
        <w:right w:val="none" w:sz="0" w:space="0" w:color="auto"/>
      </w:divBdr>
    </w:div>
    <w:div w:id="841510818">
      <w:bodyDiv w:val="1"/>
      <w:marLeft w:val="0"/>
      <w:marRight w:val="0"/>
      <w:marTop w:val="0"/>
      <w:marBottom w:val="0"/>
      <w:divBdr>
        <w:top w:val="none" w:sz="0" w:space="0" w:color="auto"/>
        <w:left w:val="none" w:sz="0" w:space="0" w:color="auto"/>
        <w:bottom w:val="none" w:sz="0" w:space="0" w:color="auto"/>
        <w:right w:val="none" w:sz="0" w:space="0" w:color="auto"/>
      </w:divBdr>
    </w:div>
    <w:div w:id="843939078">
      <w:bodyDiv w:val="1"/>
      <w:marLeft w:val="0"/>
      <w:marRight w:val="0"/>
      <w:marTop w:val="0"/>
      <w:marBottom w:val="0"/>
      <w:divBdr>
        <w:top w:val="none" w:sz="0" w:space="0" w:color="auto"/>
        <w:left w:val="none" w:sz="0" w:space="0" w:color="auto"/>
        <w:bottom w:val="none" w:sz="0" w:space="0" w:color="auto"/>
        <w:right w:val="none" w:sz="0" w:space="0" w:color="auto"/>
      </w:divBdr>
    </w:div>
    <w:div w:id="845480971">
      <w:bodyDiv w:val="1"/>
      <w:marLeft w:val="0"/>
      <w:marRight w:val="0"/>
      <w:marTop w:val="0"/>
      <w:marBottom w:val="0"/>
      <w:divBdr>
        <w:top w:val="none" w:sz="0" w:space="0" w:color="auto"/>
        <w:left w:val="none" w:sz="0" w:space="0" w:color="auto"/>
        <w:bottom w:val="none" w:sz="0" w:space="0" w:color="auto"/>
        <w:right w:val="none" w:sz="0" w:space="0" w:color="auto"/>
      </w:divBdr>
    </w:div>
    <w:div w:id="855312056">
      <w:bodyDiv w:val="1"/>
      <w:marLeft w:val="0"/>
      <w:marRight w:val="0"/>
      <w:marTop w:val="0"/>
      <w:marBottom w:val="0"/>
      <w:divBdr>
        <w:top w:val="none" w:sz="0" w:space="0" w:color="auto"/>
        <w:left w:val="none" w:sz="0" w:space="0" w:color="auto"/>
        <w:bottom w:val="none" w:sz="0" w:space="0" w:color="auto"/>
        <w:right w:val="none" w:sz="0" w:space="0" w:color="auto"/>
      </w:divBdr>
    </w:div>
    <w:div w:id="857695886">
      <w:bodyDiv w:val="1"/>
      <w:marLeft w:val="0"/>
      <w:marRight w:val="0"/>
      <w:marTop w:val="0"/>
      <w:marBottom w:val="0"/>
      <w:divBdr>
        <w:top w:val="none" w:sz="0" w:space="0" w:color="auto"/>
        <w:left w:val="none" w:sz="0" w:space="0" w:color="auto"/>
        <w:bottom w:val="none" w:sz="0" w:space="0" w:color="auto"/>
        <w:right w:val="none" w:sz="0" w:space="0" w:color="auto"/>
      </w:divBdr>
    </w:div>
    <w:div w:id="861094149">
      <w:bodyDiv w:val="1"/>
      <w:marLeft w:val="0"/>
      <w:marRight w:val="0"/>
      <w:marTop w:val="0"/>
      <w:marBottom w:val="0"/>
      <w:divBdr>
        <w:top w:val="none" w:sz="0" w:space="0" w:color="auto"/>
        <w:left w:val="none" w:sz="0" w:space="0" w:color="auto"/>
        <w:bottom w:val="none" w:sz="0" w:space="0" w:color="auto"/>
        <w:right w:val="none" w:sz="0" w:space="0" w:color="auto"/>
      </w:divBdr>
    </w:div>
    <w:div w:id="867640253">
      <w:bodyDiv w:val="1"/>
      <w:marLeft w:val="0"/>
      <w:marRight w:val="0"/>
      <w:marTop w:val="0"/>
      <w:marBottom w:val="0"/>
      <w:divBdr>
        <w:top w:val="none" w:sz="0" w:space="0" w:color="auto"/>
        <w:left w:val="none" w:sz="0" w:space="0" w:color="auto"/>
        <w:bottom w:val="none" w:sz="0" w:space="0" w:color="auto"/>
        <w:right w:val="none" w:sz="0" w:space="0" w:color="auto"/>
      </w:divBdr>
    </w:div>
    <w:div w:id="870217485">
      <w:bodyDiv w:val="1"/>
      <w:marLeft w:val="0"/>
      <w:marRight w:val="0"/>
      <w:marTop w:val="0"/>
      <w:marBottom w:val="0"/>
      <w:divBdr>
        <w:top w:val="none" w:sz="0" w:space="0" w:color="auto"/>
        <w:left w:val="none" w:sz="0" w:space="0" w:color="auto"/>
        <w:bottom w:val="none" w:sz="0" w:space="0" w:color="auto"/>
        <w:right w:val="none" w:sz="0" w:space="0" w:color="auto"/>
      </w:divBdr>
    </w:div>
    <w:div w:id="872883689">
      <w:bodyDiv w:val="1"/>
      <w:marLeft w:val="0"/>
      <w:marRight w:val="0"/>
      <w:marTop w:val="0"/>
      <w:marBottom w:val="0"/>
      <w:divBdr>
        <w:top w:val="none" w:sz="0" w:space="0" w:color="auto"/>
        <w:left w:val="none" w:sz="0" w:space="0" w:color="auto"/>
        <w:bottom w:val="none" w:sz="0" w:space="0" w:color="auto"/>
        <w:right w:val="none" w:sz="0" w:space="0" w:color="auto"/>
      </w:divBdr>
    </w:div>
    <w:div w:id="876236414">
      <w:bodyDiv w:val="1"/>
      <w:marLeft w:val="0"/>
      <w:marRight w:val="0"/>
      <w:marTop w:val="0"/>
      <w:marBottom w:val="0"/>
      <w:divBdr>
        <w:top w:val="none" w:sz="0" w:space="0" w:color="auto"/>
        <w:left w:val="none" w:sz="0" w:space="0" w:color="auto"/>
        <w:bottom w:val="none" w:sz="0" w:space="0" w:color="auto"/>
        <w:right w:val="none" w:sz="0" w:space="0" w:color="auto"/>
      </w:divBdr>
    </w:div>
    <w:div w:id="877202754">
      <w:bodyDiv w:val="1"/>
      <w:marLeft w:val="0"/>
      <w:marRight w:val="0"/>
      <w:marTop w:val="0"/>
      <w:marBottom w:val="0"/>
      <w:divBdr>
        <w:top w:val="none" w:sz="0" w:space="0" w:color="auto"/>
        <w:left w:val="none" w:sz="0" w:space="0" w:color="auto"/>
        <w:bottom w:val="none" w:sz="0" w:space="0" w:color="auto"/>
        <w:right w:val="none" w:sz="0" w:space="0" w:color="auto"/>
      </w:divBdr>
    </w:div>
    <w:div w:id="895045356">
      <w:bodyDiv w:val="1"/>
      <w:marLeft w:val="0"/>
      <w:marRight w:val="0"/>
      <w:marTop w:val="0"/>
      <w:marBottom w:val="0"/>
      <w:divBdr>
        <w:top w:val="none" w:sz="0" w:space="0" w:color="auto"/>
        <w:left w:val="none" w:sz="0" w:space="0" w:color="auto"/>
        <w:bottom w:val="none" w:sz="0" w:space="0" w:color="auto"/>
        <w:right w:val="none" w:sz="0" w:space="0" w:color="auto"/>
      </w:divBdr>
    </w:div>
    <w:div w:id="903293407">
      <w:bodyDiv w:val="1"/>
      <w:marLeft w:val="0"/>
      <w:marRight w:val="0"/>
      <w:marTop w:val="0"/>
      <w:marBottom w:val="0"/>
      <w:divBdr>
        <w:top w:val="none" w:sz="0" w:space="0" w:color="auto"/>
        <w:left w:val="none" w:sz="0" w:space="0" w:color="auto"/>
        <w:bottom w:val="none" w:sz="0" w:space="0" w:color="auto"/>
        <w:right w:val="none" w:sz="0" w:space="0" w:color="auto"/>
      </w:divBdr>
    </w:div>
    <w:div w:id="917054789">
      <w:bodyDiv w:val="1"/>
      <w:marLeft w:val="0"/>
      <w:marRight w:val="0"/>
      <w:marTop w:val="0"/>
      <w:marBottom w:val="0"/>
      <w:divBdr>
        <w:top w:val="none" w:sz="0" w:space="0" w:color="auto"/>
        <w:left w:val="none" w:sz="0" w:space="0" w:color="auto"/>
        <w:bottom w:val="none" w:sz="0" w:space="0" w:color="auto"/>
        <w:right w:val="none" w:sz="0" w:space="0" w:color="auto"/>
      </w:divBdr>
    </w:div>
    <w:div w:id="923149942">
      <w:bodyDiv w:val="1"/>
      <w:marLeft w:val="0"/>
      <w:marRight w:val="0"/>
      <w:marTop w:val="0"/>
      <w:marBottom w:val="0"/>
      <w:divBdr>
        <w:top w:val="none" w:sz="0" w:space="0" w:color="auto"/>
        <w:left w:val="none" w:sz="0" w:space="0" w:color="auto"/>
        <w:bottom w:val="none" w:sz="0" w:space="0" w:color="auto"/>
        <w:right w:val="none" w:sz="0" w:space="0" w:color="auto"/>
      </w:divBdr>
    </w:div>
    <w:div w:id="925647835">
      <w:bodyDiv w:val="1"/>
      <w:marLeft w:val="0"/>
      <w:marRight w:val="0"/>
      <w:marTop w:val="0"/>
      <w:marBottom w:val="0"/>
      <w:divBdr>
        <w:top w:val="none" w:sz="0" w:space="0" w:color="auto"/>
        <w:left w:val="none" w:sz="0" w:space="0" w:color="auto"/>
        <w:bottom w:val="none" w:sz="0" w:space="0" w:color="auto"/>
        <w:right w:val="none" w:sz="0" w:space="0" w:color="auto"/>
      </w:divBdr>
    </w:div>
    <w:div w:id="928539827">
      <w:bodyDiv w:val="1"/>
      <w:marLeft w:val="0"/>
      <w:marRight w:val="0"/>
      <w:marTop w:val="0"/>
      <w:marBottom w:val="0"/>
      <w:divBdr>
        <w:top w:val="none" w:sz="0" w:space="0" w:color="auto"/>
        <w:left w:val="none" w:sz="0" w:space="0" w:color="auto"/>
        <w:bottom w:val="none" w:sz="0" w:space="0" w:color="auto"/>
        <w:right w:val="none" w:sz="0" w:space="0" w:color="auto"/>
      </w:divBdr>
    </w:div>
    <w:div w:id="929119243">
      <w:bodyDiv w:val="1"/>
      <w:marLeft w:val="0"/>
      <w:marRight w:val="0"/>
      <w:marTop w:val="0"/>
      <w:marBottom w:val="0"/>
      <w:divBdr>
        <w:top w:val="none" w:sz="0" w:space="0" w:color="auto"/>
        <w:left w:val="none" w:sz="0" w:space="0" w:color="auto"/>
        <w:bottom w:val="none" w:sz="0" w:space="0" w:color="auto"/>
        <w:right w:val="none" w:sz="0" w:space="0" w:color="auto"/>
      </w:divBdr>
    </w:div>
    <w:div w:id="934435856">
      <w:bodyDiv w:val="1"/>
      <w:marLeft w:val="0"/>
      <w:marRight w:val="0"/>
      <w:marTop w:val="0"/>
      <w:marBottom w:val="0"/>
      <w:divBdr>
        <w:top w:val="none" w:sz="0" w:space="0" w:color="auto"/>
        <w:left w:val="none" w:sz="0" w:space="0" w:color="auto"/>
        <w:bottom w:val="none" w:sz="0" w:space="0" w:color="auto"/>
        <w:right w:val="none" w:sz="0" w:space="0" w:color="auto"/>
      </w:divBdr>
    </w:div>
    <w:div w:id="942146909">
      <w:bodyDiv w:val="1"/>
      <w:marLeft w:val="0"/>
      <w:marRight w:val="0"/>
      <w:marTop w:val="0"/>
      <w:marBottom w:val="0"/>
      <w:divBdr>
        <w:top w:val="none" w:sz="0" w:space="0" w:color="auto"/>
        <w:left w:val="none" w:sz="0" w:space="0" w:color="auto"/>
        <w:bottom w:val="none" w:sz="0" w:space="0" w:color="auto"/>
        <w:right w:val="none" w:sz="0" w:space="0" w:color="auto"/>
      </w:divBdr>
    </w:div>
    <w:div w:id="946237854">
      <w:bodyDiv w:val="1"/>
      <w:marLeft w:val="0"/>
      <w:marRight w:val="0"/>
      <w:marTop w:val="0"/>
      <w:marBottom w:val="0"/>
      <w:divBdr>
        <w:top w:val="none" w:sz="0" w:space="0" w:color="auto"/>
        <w:left w:val="none" w:sz="0" w:space="0" w:color="auto"/>
        <w:bottom w:val="none" w:sz="0" w:space="0" w:color="auto"/>
        <w:right w:val="none" w:sz="0" w:space="0" w:color="auto"/>
      </w:divBdr>
    </w:div>
    <w:div w:id="948008387">
      <w:bodyDiv w:val="1"/>
      <w:marLeft w:val="0"/>
      <w:marRight w:val="0"/>
      <w:marTop w:val="0"/>
      <w:marBottom w:val="0"/>
      <w:divBdr>
        <w:top w:val="none" w:sz="0" w:space="0" w:color="auto"/>
        <w:left w:val="none" w:sz="0" w:space="0" w:color="auto"/>
        <w:bottom w:val="none" w:sz="0" w:space="0" w:color="auto"/>
        <w:right w:val="none" w:sz="0" w:space="0" w:color="auto"/>
      </w:divBdr>
    </w:div>
    <w:div w:id="948046483">
      <w:bodyDiv w:val="1"/>
      <w:marLeft w:val="0"/>
      <w:marRight w:val="0"/>
      <w:marTop w:val="0"/>
      <w:marBottom w:val="0"/>
      <w:divBdr>
        <w:top w:val="none" w:sz="0" w:space="0" w:color="auto"/>
        <w:left w:val="none" w:sz="0" w:space="0" w:color="auto"/>
        <w:bottom w:val="none" w:sz="0" w:space="0" w:color="auto"/>
        <w:right w:val="none" w:sz="0" w:space="0" w:color="auto"/>
      </w:divBdr>
    </w:div>
    <w:div w:id="954479935">
      <w:bodyDiv w:val="1"/>
      <w:marLeft w:val="0"/>
      <w:marRight w:val="0"/>
      <w:marTop w:val="0"/>
      <w:marBottom w:val="0"/>
      <w:divBdr>
        <w:top w:val="none" w:sz="0" w:space="0" w:color="auto"/>
        <w:left w:val="none" w:sz="0" w:space="0" w:color="auto"/>
        <w:bottom w:val="none" w:sz="0" w:space="0" w:color="auto"/>
        <w:right w:val="none" w:sz="0" w:space="0" w:color="auto"/>
      </w:divBdr>
    </w:div>
    <w:div w:id="961501603">
      <w:bodyDiv w:val="1"/>
      <w:marLeft w:val="0"/>
      <w:marRight w:val="0"/>
      <w:marTop w:val="0"/>
      <w:marBottom w:val="0"/>
      <w:divBdr>
        <w:top w:val="none" w:sz="0" w:space="0" w:color="auto"/>
        <w:left w:val="none" w:sz="0" w:space="0" w:color="auto"/>
        <w:bottom w:val="none" w:sz="0" w:space="0" w:color="auto"/>
        <w:right w:val="none" w:sz="0" w:space="0" w:color="auto"/>
      </w:divBdr>
    </w:div>
    <w:div w:id="964845079">
      <w:bodyDiv w:val="1"/>
      <w:marLeft w:val="0"/>
      <w:marRight w:val="0"/>
      <w:marTop w:val="0"/>
      <w:marBottom w:val="0"/>
      <w:divBdr>
        <w:top w:val="none" w:sz="0" w:space="0" w:color="auto"/>
        <w:left w:val="none" w:sz="0" w:space="0" w:color="auto"/>
        <w:bottom w:val="none" w:sz="0" w:space="0" w:color="auto"/>
        <w:right w:val="none" w:sz="0" w:space="0" w:color="auto"/>
      </w:divBdr>
    </w:div>
    <w:div w:id="966743363">
      <w:bodyDiv w:val="1"/>
      <w:marLeft w:val="0"/>
      <w:marRight w:val="0"/>
      <w:marTop w:val="0"/>
      <w:marBottom w:val="0"/>
      <w:divBdr>
        <w:top w:val="none" w:sz="0" w:space="0" w:color="auto"/>
        <w:left w:val="none" w:sz="0" w:space="0" w:color="auto"/>
        <w:bottom w:val="none" w:sz="0" w:space="0" w:color="auto"/>
        <w:right w:val="none" w:sz="0" w:space="0" w:color="auto"/>
      </w:divBdr>
    </w:div>
    <w:div w:id="976571719">
      <w:bodyDiv w:val="1"/>
      <w:marLeft w:val="0"/>
      <w:marRight w:val="0"/>
      <w:marTop w:val="0"/>
      <w:marBottom w:val="0"/>
      <w:divBdr>
        <w:top w:val="none" w:sz="0" w:space="0" w:color="auto"/>
        <w:left w:val="none" w:sz="0" w:space="0" w:color="auto"/>
        <w:bottom w:val="none" w:sz="0" w:space="0" w:color="auto"/>
        <w:right w:val="none" w:sz="0" w:space="0" w:color="auto"/>
      </w:divBdr>
    </w:div>
    <w:div w:id="977804803">
      <w:bodyDiv w:val="1"/>
      <w:marLeft w:val="0"/>
      <w:marRight w:val="0"/>
      <w:marTop w:val="0"/>
      <w:marBottom w:val="0"/>
      <w:divBdr>
        <w:top w:val="none" w:sz="0" w:space="0" w:color="auto"/>
        <w:left w:val="none" w:sz="0" w:space="0" w:color="auto"/>
        <w:bottom w:val="none" w:sz="0" w:space="0" w:color="auto"/>
        <w:right w:val="none" w:sz="0" w:space="0" w:color="auto"/>
      </w:divBdr>
    </w:div>
    <w:div w:id="1006521334">
      <w:bodyDiv w:val="1"/>
      <w:marLeft w:val="0"/>
      <w:marRight w:val="0"/>
      <w:marTop w:val="0"/>
      <w:marBottom w:val="0"/>
      <w:divBdr>
        <w:top w:val="none" w:sz="0" w:space="0" w:color="auto"/>
        <w:left w:val="none" w:sz="0" w:space="0" w:color="auto"/>
        <w:bottom w:val="none" w:sz="0" w:space="0" w:color="auto"/>
        <w:right w:val="none" w:sz="0" w:space="0" w:color="auto"/>
      </w:divBdr>
    </w:div>
    <w:div w:id="1022628970">
      <w:bodyDiv w:val="1"/>
      <w:marLeft w:val="0"/>
      <w:marRight w:val="0"/>
      <w:marTop w:val="0"/>
      <w:marBottom w:val="0"/>
      <w:divBdr>
        <w:top w:val="none" w:sz="0" w:space="0" w:color="auto"/>
        <w:left w:val="none" w:sz="0" w:space="0" w:color="auto"/>
        <w:bottom w:val="none" w:sz="0" w:space="0" w:color="auto"/>
        <w:right w:val="none" w:sz="0" w:space="0" w:color="auto"/>
      </w:divBdr>
    </w:div>
    <w:div w:id="1025403936">
      <w:bodyDiv w:val="1"/>
      <w:marLeft w:val="0"/>
      <w:marRight w:val="0"/>
      <w:marTop w:val="0"/>
      <w:marBottom w:val="0"/>
      <w:divBdr>
        <w:top w:val="none" w:sz="0" w:space="0" w:color="auto"/>
        <w:left w:val="none" w:sz="0" w:space="0" w:color="auto"/>
        <w:bottom w:val="none" w:sz="0" w:space="0" w:color="auto"/>
        <w:right w:val="none" w:sz="0" w:space="0" w:color="auto"/>
      </w:divBdr>
    </w:div>
    <w:div w:id="1031343220">
      <w:bodyDiv w:val="1"/>
      <w:marLeft w:val="0"/>
      <w:marRight w:val="0"/>
      <w:marTop w:val="0"/>
      <w:marBottom w:val="0"/>
      <w:divBdr>
        <w:top w:val="none" w:sz="0" w:space="0" w:color="auto"/>
        <w:left w:val="none" w:sz="0" w:space="0" w:color="auto"/>
        <w:bottom w:val="none" w:sz="0" w:space="0" w:color="auto"/>
        <w:right w:val="none" w:sz="0" w:space="0" w:color="auto"/>
      </w:divBdr>
    </w:div>
    <w:div w:id="1033117770">
      <w:bodyDiv w:val="1"/>
      <w:marLeft w:val="0"/>
      <w:marRight w:val="0"/>
      <w:marTop w:val="0"/>
      <w:marBottom w:val="0"/>
      <w:divBdr>
        <w:top w:val="none" w:sz="0" w:space="0" w:color="auto"/>
        <w:left w:val="none" w:sz="0" w:space="0" w:color="auto"/>
        <w:bottom w:val="none" w:sz="0" w:space="0" w:color="auto"/>
        <w:right w:val="none" w:sz="0" w:space="0" w:color="auto"/>
      </w:divBdr>
    </w:div>
    <w:div w:id="1036780990">
      <w:bodyDiv w:val="1"/>
      <w:marLeft w:val="0"/>
      <w:marRight w:val="0"/>
      <w:marTop w:val="0"/>
      <w:marBottom w:val="0"/>
      <w:divBdr>
        <w:top w:val="none" w:sz="0" w:space="0" w:color="auto"/>
        <w:left w:val="none" w:sz="0" w:space="0" w:color="auto"/>
        <w:bottom w:val="none" w:sz="0" w:space="0" w:color="auto"/>
        <w:right w:val="none" w:sz="0" w:space="0" w:color="auto"/>
      </w:divBdr>
    </w:div>
    <w:div w:id="1048988657">
      <w:bodyDiv w:val="1"/>
      <w:marLeft w:val="0"/>
      <w:marRight w:val="0"/>
      <w:marTop w:val="0"/>
      <w:marBottom w:val="0"/>
      <w:divBdr>
        <w:top w:val="none" w:sz="0" w:space="0" w:color="auto"/>
        <w:left w:val="none" w:sz="0" w:space="0" w:color="auto"/>
        <w:bottom w:val="none" w:sz="0" w:space="0" w:color="auto"/>
        <w:right w:val="none" w:sz="0" w:space="0" w:color="auto"/>
      </w:divBdr>
    </w:div>
    <w:div w:id="1063790792">
      <w:bodyDiv w:val="1"/>
      <w:marLeft w:val="0"/>
      <w:marRight w:val="0"/>
      <w:marTop w:val="0"/>
      <w:marBottom w:val="0"/>
      <w:divBdr>
        <w:top w:val="none" w:sz="0" w:space="0" w:color="auto"/>
        <w:left w:val="none" w:sz="0" w:space="0" w:color="auto"/>
        <w:bottom w:val="none" w:sz="0" w:space="0" w:color="auto"/>
        <w:right w:val="none" w:sz="0" w:space="0" w:color="auto"/>
      </w:divBdr>
    </w:div>
    <w:div w:id="1065101399">
      <w:bodyDiv w:val="1"/>
      <w:marLeft w:val="0"/>
      <w:marRight w:val="0"/>
      <w:marTop w:val="0"/>
      <w:marBottom w:val="0"/>
      <w:divBdr>
        <w:top w:val="none" w:sz="0" w:space="0" w:color="auto"/>
        <w:left w:val="none" w:sz="0" w:space="0" w:color="auto"/>
        <w:bottom w:val="none" w:sz="0" w:space="0" w:color="auto"/>
        <w:right w:val="none" w:sz="0" w:space="0" w:color="auto"/>
      </w:divBdr>
    </w:div>
    <w:div w:id="1070614767">
      <w:bodyDiv w:val="1"/>
      <w:marLeft w:val="0"/>
      <w:marRight w:val="0"/>
      <w:marTop w:val="0"/>
      <w:marBottom w:val="0"/>
      <w:divBdr>
        <w:top w:val="none" w:sz="0" w:space="0" w:color="auto"/>
        <w:left w:val="none" w:sz="0" w:space="0" w:color="auto"/>
        <w:bottom w:val="none" w:sz="0" w:space="0" w:color="auto"/>
        <w:right w:val="none" w:sz="0" w:space="0" w:color="auto"/>
      </w:divBdr>
    </w:div>
    <w:div w:id="1072772040">
      <w:bodyDiv w:val="1"/>
      <w:marLeft w:val="0"/>
      <w:marRight w:val="0"/>
      <w:marTop w:val="0"/>
      <w:marBottom w:val="0"/>
      <w:divBdr>
        <w:top w:val="none" w:sz="0" w:space="0" w:color="auto"/>
        <w:left w:val="none" w:sz="0" w:space="0" w:color="auto"/>
        <w:bottom w:val="none" w:sz="0" w:space="0" w:color="auto"/>
        <w:right w:val="none" w:sz="0" w:space="0" w:color="auto"/>
      </w:divBdr>
    </w:div>
    <w:div w:id="1081492180">
      <w:bodyDiv w:val="1"/>
      <w:marLeft w:val="0"/>
      <w:marRight w:val="0"/>
      <w:marTop w:val="0"/>
      <w:marBottom w:val="0"/>
      <w:divBdr>
        <w:top w:val="none" w:sz="0" w:space="0" w:color="auto"/>
        <w:left w:val="none" w:sz="0" w:space="0" w:color="auto"/>
        <w:bottom w:val="none" w:sz="0" w:space="0" w:color="auto"/>
        <w:right w:val="none" w:sz="0" w:space="0" w:color="auto"/>
      </w:divBdr>
    </w:div>
    <w:div w:id="1082526335">
      <w:bodyDiv w:val="1"/>
      <w:marLeft w:val="0"/>
      <w:marRight w:val="0"/>
      <w:marTop w:val="0"/>
      <w:marBottom w:val="0"/>
      <w:divBdr>
        <w:top w:val="none" w:sz="0" w:space="0" w:color="auto"/>
        <w:left w:val="none" w:sz="0" w:space="0" w:color="auto"/>
        <w:bottom w:val="none" w:sz="0" w:space="0" w:color="auto"/>
        <w:right w:val="none" w:sz="0" w:space="0" w:color="auto"/>
      </w:divBdr>
    </w:div>
    <w:div w:id="1088422331">
      <w:bodyDiv w:val="1"/>
      <w:marLeft w:val="0"/>
      <w:marRight w:val="0"/>
      <w:marTop w:val="0"/>
      <w:marBottom w:val="0"/>
      <w:divBdr>
        <w:top w:val="none" w:sz="0" w:space="0" w:color="auto"/>
        <w:left w:val="none" w:sz="0" w:space="0" w:color="auto"/>
        <w:bottom w:val="none" w:sz="0" w:space="0" w:color="auto"/>
        <w:right w:val="none" w:sz="0" w:space="0" w:color="auto"/>
      </w:divBdr>
    </w:div>
    <w:div w:id="1089615587">
      <w:bodyDiv w:val="1"/>
      <w:marLeft w:val="0"/>
      <w:marRight w:val="0"/>
      <w:marTop w:val="0"/>
      <w:marBottom w:val="0"/>
      <w:divBdr>
        <w:top w:val="none" w:sz="0" w:space="0" w:color="auto"/>
        <w:left w:val="none" w:sz="0" w:space="0" w:color="auto"/>
        <w:bottom w:val="none" w:sz="0" w:space="0" w:color="auto"/>
        <w:right w:val="none" w:sz="0" w:space="0" w:color="auto"/>
      </w:divBdr>
    </w:div>
    <w:div w:id="1101954021">
      <w:bodyDiv w:val="1"/>
      <w:marLeft w:val="0"/>
      <w:marRight w:val="0"/>
      <w:marTop w:val="0"/>
      <w:marBottom w:val="0"/>
      <w:divBdr>
        <w:top w:val="none" w:sz="0" w:space="0" w:color="auto"/>
        <w:left w:val="none" w:sz="0" w:space="0" w:color="auto"/>
        <w:bottom w:val="none" w:sz="0" w:space="0" w:color="auto"/>
        <w:right w:val="none" w:sz="0" w:space="0" w:color="auto"/>
      </w:divBdr>
    </w:div>
    <w:div w:id="1102192046">
      <w:bodyDiv w:val="1"/>
      <w:marLeft w:val="0"/>
      <w:marRight w:val="0"/>
      <w:marTop w:val="0"/>
      <w:marBottom w:val="0"/>
      <w:divBdr>
        <w:top w:val="none" w:sz="0" w:space="0" w:color="auto"/>
        <w:left w:val="none" w:sz="0" w:space="0" w:color="auto"/>
        <w:bottom w:val="none" w:sz="0" w:space="0" w:color="auto"/>
        <w:right w:val="none" w:sz="0" w:space="0" w:color="auto"/>
      </w:divBdr>
    </w:div>
    <w:div w:id="1105611305">
      <w:bodyDiv w:val="1"/>
      <w:marLeft w:val="0"/>
      <w:marRight w:val="0"/>
      <w:marTop w:val="0"/>
      <w:marBottom w:val="0"/>
      <w:divBdr>
        <w:top w:val="none" w:sz="0" w:space="0" w:color="auto"/>
        <w:left w:val="none" w:sz="0" w:space="0" w:color="auto"/>
        <w:bottom w:val="none" w:sz="0" w:space="0" w:color="auto"/>
        <w:right w:val="none" w:sz="0" w:space="0" w:color="auto"/>
      </w:divBdr>
    </w:div>
    <w:div w:id="1108507466">
      <w:bodyDiv w:val="1"/>
      <w:marLeft w:val="0"/>
      <w:marRight w:val="0"/>
      <w:marTop w:val="0"/>
      <w:marBottom w:val="0"/>
      <w:divBdr>
        <w:top w:val="none" w:sz="0" w:space="0" w:color="auto"/>
        <w:left w:val="none" w:sz="0" w:space="0" w:color="auto"/>
        <w:bottom w:val="none" w:sz="0" w:space="0" w:color="auto"/>
        <w:right w:val="none" w:sz="0" w:space="0" w:color="auto"/>
      </w:divBdr>
    </w:div>
    <w:div w:id="1112480750">
      <w:bodyDiv w:val="1"/>
      <w:marLeft w:val="0"/>
      <w:marRight w:val="0"/>
      <w:marTop w:val="0"/>
      <w:marBottom w:val="0"/>
      <w:divBdr>
        <w:top w:val="none" w:sz="0" w:space="0" w:color="auto"/>
        <w:left w:val="none" w:sz="0" w:space="0" w:color="auto"/>
        <w:bottom w:val="none" w:sz="0" w:space="0" w:color="auto"/>
        <w:right w:val="none" w:sz="0" w:space="0" w:color="auto"/>
      </w:divBdr>
    </w:div>
    <w:div w:id="1113670907">
      <w:bodyDiv w:val="1"/>
      <w:marLeft w:val="0"/>
      <w:marRight w:val="0"/>
      <w:marTop w:val="0"/>
      <w:marBottom w:val="0"/>
      <w:divBdr>
        <w:top w:val="none" w:sz="0" w:space="0" w:color="auto"/>
        <w:left w:val="none" w:sz="0" w:space="0" w:color="auto"/>
        <w:bottom w:val="none" w:sz="0" w:space="0" w:color="auto"/>
        <w:right w:val="none" w:sz="0" w:space="0" w:color="auto"/>
      </w:divBdr>
    </w:div>
    <w:div w:id="1121873377">
      <w:bodyDiv w:val="1"/>
      <w:marLeft w:val="0"/>
      <w:marRight w:val="0"/>
      <w:marTop w:val="0"/>
      <w:marBottom w:val="0"/>
      <w:divBdr>
        <w:top w:val="none" w:sz="0" w:space="0" w:color="auto"/>
        <w:left w:val="none" w:sz="0" w:space="0" w:color="auto"/>
        <w:bottom w:val="none" w:sz="0" w:space="0" w:color="auto"/>
        <w:right w:val="none" w:sz="0" w:space="0" w:color="auto"/>
      </w:divBdr>
    </w:div>
    <w:div w:id="1129202842">
      <w:bodyDiv w:val="1"/>
      <w:marLeft w:val="0"/>
      <w:marRight w:val="0"/>
      <w:marTop w:val="0"/>
      <w:marBottom w:val="0"/>
      <w:divBdr>
        <w:top w:val="none" w:sz="0" w:space="0" w:color="auto"/>
        <w:left w:val="none" w:sz="0" w:space="0" w:color="auto"/>
        <w:bottom w:val="none" w:sz="0" w:space="0" w:color="auto"/>
        <w:right w:val="none" w:sz="0" w:space="0" w:color="auto"/>
      </w:divBdr>
    </w:div>
    <w:div w:id="1130245183">
      <w:bodyDiv w:val="1"/>
      <w:marLeft w:val="0"/>
      <w:marRight w:val="0"/>
      <w:marTop w:val="0"/>
      <w:marBottom w:val="0"/>
      <w:divBdr>
        <w:top w:val="none" w:sz="0" w:space="0" w:color="auto"/>
        <w:left w:val="none" w:sz="0" w:space="0" w:color="auto"/>
        <w:bottom w:val="none" w:sz="0" w:space="0" w:color="auto"/>
        <w:right w:val="none" w:sz="0" w:space="0" w:color="auto"/>
      </w:divBdr>
    </w:div>
    <w:div w:id="1135021685">
      <w:bodyDiv w:val="1"/>
      <w:marLeft w:val="0"/>
      <w:marRight w:val="0"/>
      <w:marTop w:val="0"/>
      <w:marBottom w:val="0"/>
      <w:divBdr>
        <w:top w:val="none" w:sz="0" w:space="0" w:color="auto"/>
        <w:left w:val="none" w:sz="0" w:space="0" w:color="auto"/>
        <w:bottom w:val="none" w:sz="0" w:space="0" w:color="auto"/>
        <w:right w:val="none" w:sz="0" w:space="0" w:color="auto"/>
      </w:divBdr>
    </w:div>
    <w:div w:id="1135294870">
      <w:bodyDiv w:val="1"/>
      <w:marLeft w:val="0"/>
      <w:marRight w:val="0"/>
      <w:marTop w:val="0"/>
      <w:marBottom w:val="0"/>
      <w:divBdr>
        <w:top w:val="none" w:sz="0" w:space="0" w:color="auto"/>
        <w:left w:val="none" w:sz="0" w:space="0" w:color="auto"/>
        <w:bottom w:val="none" w:sz="0" w:space="0" w:color="auto"/>
        <w:right w:val="none" w:sz="0" w:space="0" w:color="auto"/>
      </w:divBdr>
    </w:div>
    <w:div w:id="1136533962">
      <w:bodyDiv w:val="1"/>
      <w:marLeft w:val="0"/>
      <w:marRight w:val="0"/>
      <w:marTop w:val="0"/>
      <w:marBottom w:val="0"/>
      <w:divBdr>
        <w:top w:val="none" w:sz="0" w:space="0" w:color="auto"/>
        <w:left w:val="none" w:sz="0" w:space="0" w:color="auto"/>
        <w:bottom w:val="none" w:sz="0" w:space="0" w:color="auto"/>
        <w:right w:val="none" w:sz="0" w:space="0" w:color="auto"/>
      </w:divBdr>
    </w:div>
    <w:div w:id="1153181147">
      <w:bodyDiv w:val="1"/>
      <w:marLeft w:val="0"/>
      <w:marRight w:val="0"/>
      <w:marTop w:val="0"/>
      <w:marBottom w:val="0"/>
      <w:divBdr>
        <w:top w:val="none" w:sz="0" w:space="0" w:color="auto"/>
        <w:left w:val="none" w:sz="0" w:space="0" w:color="auto"/>
        <w:bottom w:val="none" w:sz="0" w:space="0" w:color="auto"/>
        <w:right w:val="none" w:sz="0" w:space="0" w:color="auto"/>
      </w:divBdr>
    </w:div>
    <w:div w:id="1155990358">
      <w:bodyDiv w:val="1"/>
      <w:marLeft w:val="0"/>
      <w:marRight w:val="0"/>
      <w:marTop w:val="0"/>
      <w:marBottom w:val="0"/>
      <w:divBdr>
        <w:top w:val="none" w:sz="0" w:space="0" w:color="auto"/>
        <w:left w:val="none" w:sz="0" w:space="0" w:color="auto"/>
        <w:bottom w:val="none" w:sz="0" w:space="0" w:color="auto"/>
        <w:right w:val="none" w:sz="0" w:space="0" w:color="auto"/>
      </w:divBdr>
    </w:div>
    <w:div w:id="1163199613">
      <w:bodyDiv w:val="1"/>
      <w:marLeft w:val="0"/>
      <w:marRight w:val="0"/>
      <w:marTop w:val="0"/>
      <w:marBottom w:val="0"/>
      <w:divBdr>
        <w:top w:val="none" w:sz="0" w:space="0" w:color="auto"/>
        <w:left w:val="none" w:sz="0" w:space="0" w:color="auto"/>
        <w:bottom w:val="none" w:sz="0" w:space="0" w:color="auto"/>
        <w:right w:val="none" w:sz="0" w:space="0" w:color="auto"/>
      </w:divBdr>
    </w:div>
    <w:div w:id="1171457151">
      <w:bodyDiv w:val="1"/>
      <w:marLeft w:val="0"/>
      <w:marRight w:val="0"/>
      <w:marTop w:val="0"/>
      <w:marBottom w:val="0"/>
      <w:divBdr>
        <w:top w:val="none" w:sz="0" w:space="0" w:color="auto"/>
        <w:left w:val="none" w:sz="0" w:space="0" w:color="auto"/>
        <w:bottom w:val="none" w:sz="0" w:space="0" w:color="auto"/>
        <w:right w:val="none" w:sz="0" w:space="0" w:color="auto"/>
      </w:divBdr>
    </w:div>
    <w:div w:id="1174105987">
      <w:bodyDiv w:val="1"/>
      <w:marLeft w:val="0"/>
      <w:marRight w:val="0"/>
      <w:marTop w:val="0"/>
      <w:marBottom w:val="0"/>
      <w:divBdr>
        <w:top w:val="none" w:sz="0" w:space="0" w:color="auto"/>
        <w:left w:val="none" w:sz="0" w:space="0" w:color="auto"/>
        <w:bottom w:val="none" w:sz="0" w:space="0" w:color="auto"/>
        <w:right w:val="none" w:sz="0" w:space="0" w:color="auto"/>
      </w:divBdr>
    </w:div>
    <w:div w:id="1184976250">
      <w:bodyDiv w:val="1"/>
      <w:marLeft w:val="0"/>
      <w:marRight w:val="0"/>
      <w:marTop w:val="0"/>
      <w:marBottom w:val="0"/>
      <w:divBdr>
        <w:top w:val="none" w:sz="0" w:space="0" w:color="auto"/>
        <w:left w:val="none" w:sz="0" w:space="0" w:color="auto"/>
        <w:bottom w:val="none" w:sz="0" w:space="0" w:color="auto"/>
        <w:right w:val="none" w:sz="0" w:space="0" w:color="auto"/>
      </w:divBdr>
    </w:div>
    <w:div w:id="1192719308">
      <w:bodyDiv w:val="1"/>
      <w:marLeft w:val="0"/>
      <w:marRight w:val="0"/>
      <w:marTop w:val="0"/>
      <w:marBottom w:val="0"/>
      <w:divBdr>
        <w:top w:val="none" w:sz="0" w:space="0" w:color="auto"/>
        <w:left w:val="none" w:sz="0" w:space="0" w:color="auto"/>
        <w:bottom w:val="none" w:sz="0" w:space="0" w:color="auto"/>
        <w:right w:val="none" w:sz="0" w:space="0" w:color="auto"/>
      </w:divBdr>
    </w:div>
    <w:div w:id="1194884774">
      <w:bodyDiv w:val="1"/>
      <w:marLeft w:val="0"/>
      <w:marRight w:val="0"/>
      <w:marTop w:val="0"/>
      <w:marBottom w:val="0"/>
      <w:divBdr>
        <w:top w:val="none" w:sz="0" w:space="0" w:color="auto"/>
        <w:left w:val="none" w:sz="0" w:space="0" w:color="auto"/>
        <w:bottom w:val="none" w:sz="0" w:space="0" w:color="auto"/>
        <w:right w:val="none" w:sz="0" w:space="0" w:color="auto"/>
      </w:divBdr>
    </w:div>
    <w:div w:id="1204899507">
      <w:bodyDiv w:val="1"/>
      <w:marLeft w:val="0"/>
      <w:marRight w:val="0"/>
      <w:marTop w:val="0"/>
      <w:marBottom w:val="0"/>
      <w:divBdr>
        <w:top w:val="none" w:sz="0" w:space="0" w:color="auto"/>
        <w:left w:val="none" w:sz="0" w:space="0" w:color="auto"/>
        <w:bottom w:val="none" w:sz="0" w:space="0" w:color="auto"/>
        <w:right w:val="none" w:sz="0" w:space="0" w:color="auto"/>
      </w:divBdr>
    </w:div>
    <w:div w:id="1207448421">
      <w:bodyDiv w:val="1"/>
      <w:marLeft w:val="0"/>
      <w:marRight w:val="0"/>
      <w:marTop w:val="0"/>
      <w:marBottom w:val="0"/>
      <w:divBdr>
        <w:top w:val="none" w:sz="0" w:space="0" w:color="auto"/>
        <w:left w:val="none" w:sz="0" w:space="0" w:color="auto"/>
        <w:bottom w:val="none" w:sz="0" w:space="0" w:color="auto"/>
        <w:right w:val="none" w:sz="0" w:space="0" w:color="auto"/>
      </w:divBdr>
    </w:div>
    <w:div w:id="1218710872">
      <w:bodyDiv w:val="1"/>
      <w:marLeft w:val="0"/>
      <w:marRight w:val="0"/>
      <w:marTop w:val="0"/>
      <w:marBottom w:val="0"/>
      <w:divBdr>
        <w:top w:val="none" w:sz="0" w:space="0" w:color="auto"/>
        <w:left w:val="none" w:sz="0" w:space="0" w:color="auto"/>
        <w:bottom w:val="none" w:sz="0" w:space="0" w:color="auto"/>
        <w:right w:val="none" w:sz="0" w:space="0" w:color="auto"/>
      </w:divBdr>
    </w:div>
    <w:div w:id="1236010974">
      <w:bodyDiv w:val="1"/>
      <w:marLeft w:val="0"/>
      <w:marRight w:val="0"/>
      <w:marTop w:val="0"/>
      <w:marBottom w:val="0"/>
      <w:divBdr>
        <w:top w:val="none" w:sz="0" w:space="0" w:color="auto"/>
        <w:left w:val="none" w:sz="0" w:space="0" w:color="auto"/>
        <w:bottom w:val="none" w:sz="0" w:space="0" w:color="auto"/>
        <w:right w:val="none" w:sz="0" w:space="0" w:color="auto"/>
      </w:divBdr>
    </w:div>
    <w:div w:id="1239293424">
      <w:bodyDiv w:val="1"/>
      <w:marLeft w:val="0"/>
      <w:marRight w:val="0"/>
      <w:marTop w:val="0"/>
      <w:marBottom w:val="0"/>
      <w:divBdr>
        <w:top w:val="none" w:sz="0" w:space="0" w:color="auto"/>
        <w:left w:val="none" w:sz="0" w:space="0" w:color="auto"/>
        <w:bottom w:val="none" w:sz="0" w:space="0" w:color="auto"/>
        <w:right w:val="none" w:sz="0" w:space="0" w:color="auto"/>
      </w:divBdr>
    </w:div>
    <w:div w:id="1239369535">
      <w:bodyDiv w:val="1"/>
      <w:marLeft w:val="0"/>
      <w:marRight w:val="0"/>
      <w:marTop w:val="0"/>
      <w:marBottom w:val="0"/>
      <w:divBdr>
        <w:top w:val="none" w:sz="0" w:space="0" w:color="auto"/>
        <w:left w:val="none" w:sz="0" w:space="0" w:color="auto"/>
        <w:bottom w:val="none" w:sz="0" w:space="0" w:color="auto"/>
        <w:right w:val="none" w:sz="0" w:space="0" w:color="auto"/>
      </w:divBdr>
    </w:div>
    <w:div w:id="1256014485">
      <w:bodyDiv w:val="1"/>
      <w:marLeft w:val="0"/>
      <w:marRight w:val="0"/>
      <w:marTop w:val="0"/>
      <w:marBottom w:val="0"/>
      <w:divBdr>
        <w:top w:val="none" w:sz="0" w:space="0" w:color="auto"/>
        <w:left w:val="none" w:sz="0" w:space="0" w:color="auto"/>
        <w:bottom w:val="none" w:sz="0" w:space="0" w:color="auto"/>
        <w:right w:val="none" w:sz="0" w:space="0" w:color="auto"/>
      </w:divBdr>
    </w:div>
    <w:div w:id="1256594355">
      <w:bodyDiv w:val="1"/>
      <w:marLeft w:val="0"/>
      <w:marRight w:val="0"/>
      <w:marTop w:val="0"/>
      <w:marBottom w:val="0"/>
      <w:divBdr>
        <w:top w:val="none" w:sz="0" w:space="0" w:color="auto"/>
        <w:left w:val="none" w:sz="0" w:space="0" w:color="auto"/>
        <w:bottom w:val="none" w:sz="0" w:space="0" w:color="auto"/>
        <w:right w:val="none" w:sz="0" w:space="0" w:color="auto"/>
      </w:divBdr>
    </w:div>
    <w:div w:id="1271471166">
      <w:bodyDiv w:val="1"/>
      <w:marLeft w:val="0"/>
      <w:marRight w:val="0"/>
      <w:marTop w:val="0"/>
      <w:marBottom w:val="0"/>
      <w:divBdr>
        <w:top w:val="none" w:sz="0" w:space="0" w:color="auto"/>
        <w:left w:val="none" w:sz="0" w:space="0" w:color="auto"/>
        <w:bottom w:val="none" w:sz="0" w:space="0" w:color="auto"/>
        <w:right w:val="none" w:sz="0" w:space="0" w:color="auto"/>
      </w:divBdr>
    </w:div>
    <w:div w:id="1280836756">
      <w:bodyDiv w:val="1"/>
      <w:marLeft w:val="0"/>
      <w:marRight w:val="0"/>
      <w:marTop w:val="0"/>
      <w:marBottom w:val="0"/>
      <w:divBdr>
        <w:top w:val="none" w:sz="0" w:space="0" w:color="auto"/>
        <w:left w:val="none" w:sz="0" w:space="0" w:color="auto"/>
        <w:bottom w:val="none" w:sz="0" w:space="0" w:color="auto"/>
        <w:right w:val="none" w:sz="0" w:space="0" w:color="auto"/>
      </w:divBdr>
    </w:div>
    <w:div w:id="1285039046">
      <w:bodyDiv w:val="1"/>
      <w:marLeft w:val="0"/>
      <w:marRight w:val="0"/>
      <w:marTop w:val="0"/>
      <w:marBottom w:val="0"/>
      <w:divBdr>
        <w:top w:val="none" w:sz="0" w:space="0" w:color="auto"/>
        <w:left w:val="none" w:sz="0" w:space="0" w:color="auto"/>
        <w:bottom w:val="none" w:sz="0" w:space="0" w:color="auto"/>
        <w:right w:val="none" w:sz="0" w:space="0" w:color="auto"/>
      </w:divBdr>
    </w:div>
    <w:div w:id="1285648821">
      <w:bodyDiv w:val="1"/>
      <w:marLeft w:val="0"/>
      <w:marRight w:val="0"/>
      <w:marTop w:val="0"/>
      <w:marBottom w:val="0"/>
      <w:divBdr>
        <w:top w:val="none" w:sz="0" w:space="0" w:color="auto"/>
        <w:left w:val="none" w:sz="0" w:space="0" w:color="auto"/>
        <w:bottom w:val="none" w:sz="0" w:space="0" w:color="auto"/>
        <w:right w:val="none" w:sz="0" w:space="0" w:color="auto"/>
      </w:divBdr>
    </w:div>
    <w:div w:id="1292711945">
      <w:bodyDiv w:val="1"/>
      <w:marLeft w:val="0"/>
      <w:marRight w:val="0"/>
      <w:marTop w:val="0"/>
      <w:marBottom w:val="0"/>
      <w:divBdr>
        <w:top w:val="none" w:sz="0" w:space="0" w:color="auto"/>
        <w:left w:val="none" w:sz="0" w:space="0" w:color="auto"/>
        <w:bottom w:val="none" w:sz="0" w:space="0" w:color="auto"/>
        <w:right w:val="none" w:sz="0" w:space="0" w:color="auto"/>
      </w:divBdr>
    </w:div>
    <w:div w:id="1296183926">
      <w:bodyDiv w:val="1"/>
      <w:marLeft w:val="0"/>
      <w:marRight w:val="0"/>
      <w:marTop w:val="0"/>
      <w:marBottom w:val="0"/>
      <w:divBdr>
        <w:top w:val="none" w:sz="0" w:space="0" w:color="auto"/>
        <w:left w:val="none" w:sz="0" w:space="0" w:color="auto"/>
        <w:bottom w:val="none" w:sz="0" w:space="0" w:color="auto"/>
        <w:right w:val="none" w:sz="0" w:space="0" w:color="auto"/>
      </w:divBdr>
    </w:div>
    <w:div w:id="1303653299">
      <w:bodyDiv w:val="1"/>
      <w:marLeft w:val="0"/>
      <w:marRight w:val="0"/>
      <w:marTop w:val="0"/>
      <w:marBottom w:val="0"/>
      <w:divBdr>
        <w:top w:val="none" w:sz="0" w:space="0" w:color="auto"/>
        <w:left w:val="none" w:sz="0" w:space="0" w:color="auto"/>
        <w:bottom w:val="none" w:sz="0" w:space="0" w:color="auto"/>
        <w:right w:val="none" w:sz="0" w:space="0" w:color="auto"/>
      </w:divBdr>
    </w:div>
    <w:div w:id="1305308437">
      <w:bodyDiv w:val="1"/>
      <w:marLeft w:val="0"/>
      <w:marRight w:val="0"/>
      <w:marTop w:val="0"/>
      <w:marBottom w:val="0"/>
      <w:divBdr>
        <w:top w:val="none" w:sz="0" w:space="0" w:color="auto"/>
        <w:left w:val="none" w:sz="0" w:space="0" w:color="auto"/>
        <w:bottom w:val="none" w:sz="0" w:space="0" w:color="auto"/>
        <w:right w:val="none" w:sz="0" w:space="0" w:color="auto"/>
      </w:divBdr>
    </w:div>
    <w:div w:id="1306936909">
      <w:bodyDiv w:val="1"/>
      <w:marLeft w:val="0"/>
      <w:marRight w:val="0"/>
      <w:marTop w:val="0"/>
      <w:marBottom w:val="0"/>
      <w:divBdr>
        <w:top w:val="none" w:sz="0" w:space="0" w:color="auto"/>
        <w:left w:val="none" w:sz="0" w:space="0" w:color="auto"/>
        <w:bottom w:val="none" w:sz="0" w:space="0" w:color="auto"/>
        <w:right w:val="none" w:sz="0" w:space="0" w:color="auto"/>
      </w:divBdr>
    </w:div>
    <w:div w:id="1307274717">
      <w:bodyDiv w:val="1"/>
      <w:marLeft w:val="0"/>
      <w:marRight w:val="0"/>
      <w:marTop w:val="0"/>
      <w:marBottom w:val="0"/>
      <w:divBdr>
        <w:top w:val="none" w:sz="0" w:space="0" w:color="auto"/>
        <w:left w:val="none" w:sz="0" w:space="0" w:color="auto"/>
        <w:bottom w:val="none" w:sz="0" w:space="0" w:color="auto"/>
        <w:right w:val="none" w:sz="0" w:space="0" w:color="auto"/>
      </w:divBdr>
    </w:div>
    <w:div w:id="1310398624">
      <w:bodyDiv w:val="1"/>
      <w:marLeft w:val="0"/>
      <w:marRight w:val="0"/>
      <w:marTop w:val="0"/>
      <w:marBottom w:val="0"/>
      <w:divBdr>
        <w:top w:val="none" w:sz="0" w:space="0" w:color="auto"/>
        <w:left w:val="none" w:sz="0" w:space="0" w:color="auto"/>
        <w:bottom w:val="none" w:sz="0" w:space="0" w:color="auto"/>
        <w:right w:val="none" w:sz="0" w:space="0" w:color="auto"/>
      </w:divBdr>
    </w:div>
    <w:div w:id="1315066682">
      <w:bodyDiv w:val="1"/>
      <w:marLeft w:val="0"/>
      <w:marRight w:val="0"/>
      <w:marTop w:val="0"/>
      <w:marBottom w:val="0"/>
      <w:divBdr>
        <w:top w:val="none" w:sz="0" w:space="0" w:color="auto"/>
        <w:left w:val="none" w:sz="0" w:space="0" w:color="auto"/>
        <w:bottom w:val="none" w:sz="0" w:space="0" w:color="auto"/>
        <w:right w:val="none" w:sz="0" w:space="0" w:color="auto"/>
      </w:divBdr>
    </w:div>
    <w:div w:id="1319261276">
      <w:bodyDiv w:val="1"/>
      <w:marLeft w:val="0"/>
      <w:marRight w:val="0"/>
      <w:marTop w:val="0"/>
      <w:marBottom w:val="0"/>
      <w:divBdr>
        <w:top w:val="none" w:sz="0" w:space="0" w:color="auto"/>
        <w:left w:val="none" w:sz="0" w:space="0" w:color="auto"/>
        <w:bottom w:val="none" w:sz="0" w:space="0" w:color="auto"/>
        <w:right w:val="none" w:sz="0" w:space="0" w:color="auto"/>
      </w:divBdr>
    </w:div>
    <w:div w:id="1340157933">
      <w:bodyDiv w:val="1"/>
      <w:marLeft w:val="0"/>
      <w:marRight w:val="0"/>
      <w:marTop w:val="0"/>
      <w:marBottom w:val="0"/>
      <w:divBdr>
        <w:top w:val="none" w:sz="0" w:space="0" w:color="auto"/>
        <w:left w:val="none" w:sz="0" w:space="0" w:color="auto"/>
        <w:bottom w:val="none" w:sz="0" w:space="0" w:color="auto"/>
        <w:right w:val="none" w:sz="0" w:space="0" w:color="auto"/>
      </w:divBdr>
    </w:div>
    <w:div w:id="1341546335">
      <w:bodyDiv w:val="1"/>
      <w:marLeft w:val="0"/>
      <w:marRight w:val="0"/>
      <w:marTop w:val="0"/>
      <w:marBottom w:val="0"/>
      <w:divBdr>
        <w:top w:val="none" w:sz="0" w:space="0" w:color="auto"/>
        <w:left w:val="none" w:sz="0" w:space="0" w:color="auto"/>
        <w:bottom w:val="none" w:sz="0" w:space="0" w:color="auto"/>
        <w:right w:val="none" w:sz="0" w:space="0" w:color="auto"/>
      </w:divBdr>
    </w:div>
    <w:div w:id="1345670029">
      <w:bodyDiv w:val="1"/>
      <w:marLeft w:val="0"/>
      <w:marRight w:val="0"/>
      <w:marTop w:val="0"/>
      <w:marBottom w:val="0"/>
      <w:divBdr>
        <w:top w:val="none" w:sz="0" w:space="0" w:color="auto"/>
        <w:left w:val="none" w:sz="0" w:space="0" w:color="auto"/>
        <w:bottom w:val="none" w:sz="0" w:space="0" w:color="auto"/>
        <w:right w:val="none" w:sz="0" w:space="0" w:color="auto"/>
      </w:divBdr>
    </w:div>
    <w:div w:id="1349138081">
      <w:bodyDiv w:val="1"/>
      <w:marLeft w:val="0"/>
      <w:marRight w:val="0"/>
      <w:marTop w:val="0"/>
      <w:marBottom w:val="0"/>
      <w:divBdr>
        <w:top w:val="none" w:sz="0" w:space="0" w:color="auto"/>
        <w:left w:val="none" w:sz="0" w:space="0" w:color="auto"/>
        <w:bottom w:val="none" w:sz="0" w:space="0" w:color="auto"/>
        <w:right w:val="none" w:sz="0" w:space="0" w:color="auto"/>
      </w:divBdr>
    </w:div>
    <w:div w:id="1355769041">
      <w:bodyDiv w:val="1"/>
      <w:marLeft w:val="0"/>
      <w:marRight w:val="0"/>
      <w:marTop w:val="0"/>
      <w:marBottom w:val="0"/>
      <w:divBdr>
        <w:top w:val="none" w:sz="0" w:space="0" w:color="auto"/>
        <w:left w:val="none" w:sz="0" w:space="0" w:color="auto"/>
        <w:bottom w:val="none" w:sz="0" w:space="0" w:color="auto"/>
        <w:right w:val="none" w:sz="0" w:space="0" w:color="auto"/>
      </w:divBdr>
    </w:div>
    <w:div w:id="1364794221">
      <w:bodyDiv w:val="1"/>
      <w:marLeft w:val="0"/>
      <w:marRight w:val="0"/>
      <w:marTop w:val="0"/>
      <w:marBottom w:val="0"/>
      <w:divBdr>
        <w:top w:val="none" w:sz="0" w:space="0" w:color="auto"/>
        <w:left w:val="none" w:sz="0" w:space="0" w:color="auto"/>
        <w:bottom w:val="none" w:sz="0" w:space="0" w:color="auto"/>
        <w:right w:val="none" w:sz="0" w:space="0" w:color="auto"/>
      </w:divBdr>
    </w:div>
    <w:div w:id="1385720507">
      <w:bodyDiv w:val="1"/>
      <w:marLeft w:val="0"/>
      <w:marRight w:val="0"/>
      <w:marTop w:val="0"/>
      <w:marBottom w:val="0"/>
      <w:divBdr>
        <w:top w:val="none" w:sz="0" w:space="0" w:color="auto"/>
        <w:left w:val="none" w:sz="0" w:space="0" w:color="auto"/>
        <w:bottom w:val="none" w:sz="0" w:space="0" w:color="auto"/>
        <w:right w:val="none" w:sz="0" w:space="0" w:color="auto"/>
      </w:divBdr>
    </w:div>
    <w:div w:id="1388845166">
      <w:bodyDiv w:val="1"/>
      <w:marLeft w:val="0"/>
      <w:marRight w:val="0"/>
      <w:marTop w:val="0"/>
      <w:marBottom w:val="0"/>
      <w:divBdr>
        <w:top w:val="none" w:sz="0" w:space="0" w:color="auto"/>
        <w:left w:val="none" w:sz="0" w:space="0" w:color="auto"/>
        <w:bottom w:val="none" w:sz="0" w:space="0" w:color="auto"/>
        <w:right w:val="none" w:sz="0" w:space="0" w:color="auto"/>
      </w:divBdr>
    </w:div>
    <w:div w:id="1390692172">
      <w:bodyDiv w:val="1"/>
      <w:marLeft w:val="0"/>
      <w:marRight w:val="0"/>
      <w:marTop w:val="0"/>
      <w:marBottom w:val="0"/>
      <w:divBdr>
        <w:top w:val="none" w:sz="0" w:space="0" w:color="auto"/>
        <w:left w:val="none" w:sz="0" w:space="0" w:color="auto"/>
        <w:bottom w:val="none" w:sz="0" w:space="0" w:color="auto"/>
        <w:right w:val="none" w:sz="0" w:space="0" w:color="auto"/>
      </w:divBdr>
    </w:div>
    <w:div w:id="1399790365">
      <w:bodyDiv w:val="1"/>
      <w:marLeft w:val="0"/>
      <w:marRight w:val="0"/>
      <w:marTop w:val="0"/>
      <w:marBottom w:val="0"/>
      <w:divBdr>
        <w:top w:val="none" w:sz="0" w:space="0" w:color="auto"/>
        <w:left w:val="none" w:sz="0" w:space="0" w:color="auto"/>
        <w:bottom w:val="none" w:sz="0" w:space="0" w:color="auto"/>
        <w:right w:val="none" w:sz="0" w:space="0" w:color="auto"/>
      </w:divBdr>
    </w:div>
    <w:div w:id="1404178399">
      <w:bodyDiv w:val="1"/>
      <w:marLeft w:val="0"/>
      <w:marRight w:val="0"/>
      <w:marTop w:val="0"/>
      <w:marBottom w:val="0"/>
      <w:divBdr>
        <w:top w:val="none" w:sz="0" w:space="0" w:color="auto"/>
        <w:left w:val="none" w:sz="0" w:space="0" w:color="auto"/>
        <w:bottom w:val="none" w:sz="0" w:space="0" w:color="auto"/>
        <w:right w:val="none" w:sz="0" w:space="0" w:color="auto"/>
      </w:divBdr>
    </w:div>
    <w:div w:id="1418743508">
      <w:bodyDiv w:val="1"/>
      <w:marLeft w:val="0"/>
      <w:marRight w:val="0"/>
      <w:marTop w:val="0"/>
      <w:marBottom w:val="0"/>
      <w:divBdr>
        <w:top w:val="none" w:sz="0" w:space="0" w:color="auto"/>
        <w:left w:val="none" w:sz="0" w:space="0" w:color="auto"/>
        <w:bottom w:val="none" w:sz="0" w:space="0" w:color="auto"/>
        <w:right w:val="none" w:sz="0" w:space="0" w:color="auto"/>
      </w:divBdr>
    </w:div>
    <w:div w:id="1419013250">
      <w:bodyDiv w:val="1"/>
      <w:marLeft w:val="0"/>
      <w:marRight w:val="0"/>
      <w:marTop w:val="0"/>
      <w:marBottom w:val="0"/>
      <w:divBdr>
        <w:top w:val="none" w:sz="0" w:space="0" w:color="auto"/>
        <w:left w:val="none" w:sz="0" w:space="0" w:color="auto"/>
        <w:bottom w:val="none" w:sz="0" w:space="0" w:color="auto"/>
        <w:right w:val="none" w:sz="0" w:space="0" w:color="auto"/>
      </w:divBdr>
    </w:div>
    <w:div w:id="1425833606">
      <w:bodyDiv w:val="1"/>
      <w:marLeft w:val="0"/>
      <w:marRight w:val="0"/>
      <w:marTop w:val="0"/>
      <w:marBottom w:val="0"/>
      <w:divBdr>
        <w:top w:val="none" w:sz="0" w:space="0" w:color="auto"/>
        <w:left w:val="none" w:sz="0" w:space="0" w:color="auto"/>
        <w:bottom w:val="none" w:sz="0" w:space="0" w:color="auto"/>
        <w:right w:val="none" w:sz="0" w:space="0" w:color="auto"/>
      </w:divBdr>
    </w:div>
    <w:div w:id="1438208371">
      <w:bodyDiv w:val="1"/>
      <w:marLeft w:val="0"/>
      <w:marRight w:val="0"/>
      <w:marTop w:val="0"/>
      <w:marBottom w:val="0"/>
      <w:divBdr>
        <w:top w:val="none" w:sz="0" w:space="0" w:color="auto"/>
        <w:left w:val="none" w:sz="0" w:space="0" w:color="auto"/>
        <w:bottom w:val="none" w:sz="0" w:space="0" w:color="auto"/>
        <w:right w:val="none" w:sz="0" w:space="0" w:color="auto"/>
      </w:divBdr>
    </w:div>
    <w:div w:id="1445075388">
      <w:bodyDiv w:val="1"/>
      <w:marLeft w:val="0"/>
      <w:marRight w:val="0"/>
      <w:marTop w:val="0"/>
      <w:marBottom w:val="0"/>
      <w:divBdr>
        <w:top w:val="none" w:sz="0" w:space="0" w:color="auto"/>
        <w:left w:val="none" w:sz="0" w:space="0" w:color="auto"/>
        <w:bottom w:val="none" w:sz="0" w:space="0" w:color="auto"/>
        <w:right w:val="none" w:sz="0" w:space="0" w:color="auto"/>
      </w:divBdr>
    </w:div>
    <w:div w:id="1447650436">
      <w:bodyDiv w:val="1"/>
      <w:marLeft w:val="0"/>
      <w:marRight w:val="0"/>
      <w:marTop w:val="0"/>
      <w:marBottom w:val="0"/>
      <w:divBdr>
        <w:top w:val="none" w:sz="0" w:space="0" w:color="auto"/>
        <w:left w:val="none" w:sz="0" w:space="0" w:color="auto"/>
        <w:bottom w:val="none" w:sz="0" w:space="0" w:color="auto"/>
        <w:right w:val="none" w:sz="0" w:space="0" w:color="auto"/>
      </w:divBdr>
    </w:div>
    <w:div w:id="1464956869">
      <w:bodyDiv w:val="1"/>
      <w:marLeft w:val="0"/>
      <w:marRight w:val="0"/>
      <w:marTop w:val="0"/>
      <w:marBottom w:val="0"/>
      <w:divBdr>
        <w:top w:val="none" w:sz="0" w:space="0" w:color="auto"/>
        <w:left w:val="none" w:sz="0" w:space="0" w:color="auto"/>
        <w:bottom w:val="none" w:sz="0" w:space="0" w:color="auto"/>
        <w:right w:val="none" w:sz="0" w:space="0" w:color="auto"/>
      </w:divBdr>
    </w:div>
    <w:div w:id="1468742443">
      <w:bodyDiv w:val="1"/>
      <w:marLeft w:val="0"/>
      <w:marRight w:val="0"/>
      <w:marTop w:val="0"/>
      <w:marBottom w:val="0"/>
      <w:divBdr>
        <w:top w:val="none" w:sz="0" w:space="0" w:color="auto"/>
        <w:left w:val="none" w:sz="0" w:space="0" w:color="auto"/>
        <w:bottom w:val="none" w:sz="0" w:space="0" w:color="auto"/>
        <w:right w:val="none" w:sz="0" w:space="0" w:color="auto"/>
      </w:divBdr>
    </w:div>
    <w:div w:id="1471021359">
      <w:bodyDiv w:val="1"/>
      <w:marLeft w:val="0"/>
      <w:marRight w:val="0"/>
      <w:marTop w:val="0"/>
      <w:marBottom w:val="0"/>
      <w:divBdr>
        <w:top w:val="none" w:sz="0" w:space="0" w:color="auto"/>
        <w:left w:val="none" w:sz="0" w:space="0" w:color="auto"/>
        <w:bottom w:val="none" w:sz="0" w:space="0" w:color="auto"/>
        <w:right w:val="none" w:sz="0" w:space="0" w:color="auto"/>
      </w:divBdr>
    </w:div>
    <w:div w:id="1474101731">
      <w:bodyDiv w:val="1"/>
      <w:marLeft w:val="0"/>
      <w:marRight w:val="0"/>
      <w:marTop w:val="0"/>
      <w:marBottom w:val="0"/>
      <w:divBdr>
        <w:top w:val="none" w:sz="0" w:space="0" w:color="auto"/>
        <w:left w:val="none" w:sz="0" w:space="0" w:color="auto"/>
        <w:bottom w:val="none" w:sz="0" w:space="0" w:color="auto"/>
        <w:right w:val="none" w:sz="0" w:space="0" w:color="auto"/>
      </w:divBdr>
    </w:div>
    <w:div w:id="1475221047">
      <w:bodyDiv w:val="1"/>
      <w:marLeft w:val="0"/>
      <w:marRight w:val="0"/>
      <w:marTop w:val="0"/>
      <w:marBottom w:val="0"/>
      <w:divBdr>
        <w:top w:val="none" w:sz="0" w:space="0" w:color="auto"/>
        <w:left w:val="none" w:sz="0" w:space="0" w:color="auto"/>
        <w:bottom w:val="none" w:sz="0" w:space="0" w:color="auto"/>
        <w:right w:val="none" w:sz="0" w:space="0" w:color="auto"/>
      </w:divBdr>
    </w:div>
    <w:div w:id="1484277176">
      <w:bodyDiv w:val="1"/>
      <w:marLeft w:val="0"/>
      <w:marRight w:val="0"/>
      <w:marTop w:val="0"/>
      <w:marBottom w:val="0"/>
      <w:divBdr>
        <w:top w:val="none" w:sz="0" w:space="0" w:color="auto"/>
        <w:left w:val="none" w:sz="0" w:space="0" w:color="auto"/>
        <w:bottom w:val="none" w:sz="0" w:space="0" w:color="auto"/>
        <w:right w:val="none" w:sz="0" w:space="0" w:color="auto"/>
      </w:divBdr>
    </w:div>
    <w:div w:id="1491601479">
      <w:bodyDiv w:val="1"/>
      <w:marLeft w:val="0"/>
      <w:marRight w:val="0"/>
      <w:marTop w:val="0"/>
      <w:marBottom w:val="0"/>
      <w:divBdr>
        <w:top w:val="none" w:sz="0" w:space="0" w:color="auto"/>
        <w:left w:val="none" w:sz="0" w:space="0" w:color="auto"/>
        <w:bottom w:val="none" w:sz="0" w:space="0" w:color="auto"/>
        <w:right w:val="none" w:sz="0" w:space="0" w:color="auto"/>
      </w:divBdr>
    </w:div>
    <w:div w:id="1492137738">
      <w:bodyDiv w:val="1"/>
      <w:marLeft w:val="0"/>
      <w:marRight w:val="0"/>
      <w:marTop w:val="0"/>
      <w:marBottom w:val="0"/>
      <w:divBdr>
        <w:top w:val="none" w:sz="0" w:space="0" w:color="auto"/>
        <w:left w:val="none" w:sz="0" w:space="0" w:color="auto"/>
        <w:bottom w:val="none" w:sz="0" w:space="0" w:color="auto"/>
        <w:right w:val="none" w:sz="0" w:space="0" w:color="auto"/>
      </w:divBdr>
    </w:div>
    <w:div w:id="1492452463">
      <w:bodyDiv w:val="1"/>
      <w:marLeft w:val="0"/>
      <w:marRight w:val="0"/>
      <w:marTop w:val="0"/>
      <w:marBottom w:val="0"/>
      <w:divBdr>
        <w:top w:val="none" w:sz="0" w:space="0" w:color="auto"/>
        <w:left w:val="none" w:sz="0" w:space="0" w:color="auto"/>
        <w:bottom w:val="none" w:sz="0" w:space="0" w:color="auto"/>
        <w:right w:val="none" w:sz="0" w:space="0" w:color="auto"/>
      </w:divBdr>
    </w:div>
    <w:div w:id="1495562769">
      <w:bodyDiv w:val="1"/>
      <w:marLeft w:val="0"/>
      <w:marRight w:val="0"/>
      <w:marTop w:val="0"/>
      <w:marBottom w:val="0"/>
      <w:divBdr>
        <w:top w:val="none" w:sz="0" w:space="0" w:color="auto"/>
        <w:left w:val="none" w:sz="0" w:space="0" w:color="auto"/>
        <w:bottom w:val="none" w:sz="0" w:space="0" w:color="auto"/>
        <w:right w:val="none" w:sz="0" w:space="0" w:color="auto"/>
      </w:divBdr>
    </w:div>
    <w:div w:id="1496454882">
      <w:bodyDiv w:val="1"/>
      <w:marLeft w:val="0"/>
      <w:marRight w:val="0"/>
      <w:marTop w:val="0"/>
      <w:marBottom w:val="0"/>
      <w:divBdr>
        <w:top w:val="none" w:sz="0" w:space="0" w:color="auto"/>
        <w:left w:val="none" w:sz="0" w:space="0" w:color="auto"/>
        <w:bottom w:val="none" w:sz="0" w:space="0" w:color="auto"/>
        <w:right w:val="none" w:sz="0" w:space="0" w:color="auto"/>
      </w:divBdr>
    </w:div>
    <w:div w:id="1497501786">
      <w:bodyDiv w:val="1"/>
      <w:marLeft w:val="0"/>
      <w:marRight w:val="0"/>
      <w:marTop w:val="0"/>
      <w:marBottom w:val="0"/>
      <w:divBdr>
        <w:top w:val="none" w:sz="0" w:space="0" w:color="auto"/>
        <w:left w:val="none" w:sz="0" w:space="0" w:color="auto"/>
        <w:bottom w:val="none" w:sz="0" w:space="0" w:color="auto"/>
        <w:right w:val="none" w:sz="0" w:space="0" w:color="auto"/>
      </w:divBdr>
    </w:div>
    <w:div w:id="1498111173">
      <w:bodyDiv w:val="1"/>
      <w:marLeft w:val="0"/>
      <w:marRight w:val="0"/>
      <w:marTop w:val="0"/>
      <w:marBottom w:val="0"/>
      <w:divBdr>
        <w:top w:val="none" w:sz="0" w:space="0" w:color="auto"/>
        <w:left w:val="none" w:sz="0" w:space="0" w:color="auto"/>
        <w:bottom w:val="none" w:sz="0" w:space="0" w:color="auto"/>
        <w:right w:val="none" w:sz="0" w:space="0" w:color="auto"/>
      </w:divBdr>
    </w:div>
    <w:div w:id="1498769910">
      <w:bodyDiv w:val="1"/>
      <w:marLeft w:val="0"/>
      <w:marRight w:val="0"/>
      <w:marTop w:val="0"/>
      <w:marBottom w:val="0"/>
      <w:divBdr>
        <w:top w:val="none" w:sz="0" w:space="0" w:color="auto"/>
        <w:left w:val="none" w:sz="0" w:space="0" w:color="auto"/>
        <w:bottom w:val="none" w:sz="0" w:space="0" w:color="auto"/>
        <w:right w:val="none" w:sz="0" w:space="0" w:color="auto"/>
      </w:divBdr>
    </w:div>
    <w:div w:id="1512572169">
      <w:bodyDiv w:val="1"/>
      <w:marLeft w:val="0"/>
      <w:marRight w:val="0"/>
      <w:marTop w:val="0"/>
      <w:marBottom w:val="0"/>
      <w:divBdr>
        <w:top w:val="none" w:sz="0" w:space="0" w:color="auto"/>
        <w:left w:val="none" w:sz="0" w:space="0" w:color="auto"/>
        <w:bottom w:val="none" w:sz="0" w:space="0" w:color="auto"/>
        <w:right w:val="none" w:sz="0" w:space="0" w:color="auto"/>
      </w:divBdr>
    </w:div>
    <w:div w:id="1513179178">
      <w:bodyDiv w:val="1"/>
      <w:marLeft w:val="0"/>
      <w:marRight w:val="0"/>
      <w:marTop w:val="0"/>
      <w:marBottom w:val="0"/>
      <w:divBdr>
        <w:top w:val="none" w:sz="0" w:space="0" w:color="auto"/>
        <w:left w:val="none" w:sz="0" w:space="0" w:color="auto"/>
        <w:bottom w:val="none" w:sz="0" w:space="0" w:color="auto"/>
        <w:right w:val="none" w:sz="0" w:space="0" w:color="auto"/>
      </w:divBdr>
    </w:div>
    <w:div w:id="1522478287">
      <w:bodyDiv w:val="1"/>
      <w:marLeft w:val="0"/>
      <w:marRight w:val="0"/>
      <w:marTop w:val="0"/>
      <w:marBottom w:val="0"/>
      <w:divBdr>
        <w:top w:val="none" w:sz="0" w:space="0" w:color="auto"/>
        <w:left w:val="none" w:sz="0" w:space="0" w:color="auto"/>
        <w:bottom w:val="none" w:sz="0" w:space="0" w:color="auto"/>
        <w:right w:val="none" w:sz="0" w:space="0" w:color="auto"/>
      </w:divBdr>
    </w:div>
    <w:div w:id="1530214800">
      <w:bodyDiv w:val="1"/>
      <w:marLeft w:val="0"/>
      <w:marRight w:val="0"/>
      <w:marTop w:val="0"/>
      <w:marBottom w:val="0"/>
      <w:divBdr>
        <w:top w:val="none" w:sz="0" w:space="0" w:color="auto"/>
        <w:left w:val="none" w:sz="0" w:space="0" w:color="auto"/>
        <w:bottom w:val="none" w:sz="0" w:space="0" w:color="auto"/>
        <w:right w:val="none" w:sz="0" w:space="0" w:color="auto"/>
      </w:divBdr>
    </w:div>
    <w:div w:id="1543513576">
      <w:bodyDiv w:val="1"/>
      <w:marLeft w:val="0"/>
      <w:marRight w:val="0"/>
      <w:marTop w:val="0"/>
      <w:marBottom w:val="0"/>
      <w:divBdr>
        <w:top w:val="none" w:sz="0" w:space="0" w:color="auto"/>
        <w:left w:val="none" w:sz="0" w:space="0" w:color="auto"/>
        <w:bottom w:val="none" w:sz="0" w:space="0" w:color="auto"/>
        <w:right w:val="none" w:sz="0" w:space="0" w:color="auto"/>
      </w:divBdr>
    </w:div>
    <w:div w:id="1549218894">
      <w:bodyDiv w:val="1"/>
      <w:marLeft w:val="0"/>
      <w:marRight w:val="0"/>
      <w:marTop w:val="0"/>
      <w:marBottom w:val="0"/>
      <w:divBdr>
        <w:top w:val="none" w:sz="0" w:space="0" w:color="auto"/>
        <w:left w:val="none" w:sz="0" w:space="0" w:color="auto"/>
        <w:bottom w:val="none" w:sz="0" w:space="0" w:color="auto"/>
        <w:right w:val="none" w:sz="0" w:space="0" w:color="auto"/>
      </w:divBdr>
    </w:div>
    <w:div w:id="1556811963">
      <w:bodyDiv w:val="1"/>
      <w:marLeft w:val="0"/>
      <w:marRight w:val="0"/>
      <w:marTop w:val="0"/>
      <w:marBottom w:val="0"/>
      <w:divBdr>
        <w:top w:val="none" w:sz="0" w:space="0" w:color="auto"/>
        <w:left w:val="none" w:sz="0" w:space="0" w:color="auto"/>
        <w:bottom w:val="none" w:sz="0" w:space="0" w:color="auto"/>
        <w:right w:val="none" w:sz="0" w:space="0" w:color="auto"/>
      </w:divBdr>
    </w:div>
    <w:div w:id="1573663517">
      <w:bodyDiv w:val="1"/>
      <w:marLeft w:val="0"/>
      <w:marRight w:val="0"/>
      <w:marTop w:val="0"/>
      <w:marBottom w:val="0"/>
      <w:divBdr>
        <w:top w:val="none" w:sz="0" w:space="0" w:color="auto"/>
        <w:left w:val="none" w:sz="0" w:space="0" w:color="auto"/>
        <w:bottom w:val="none" w:sz="0" w:space="0" w:color="auto"/>
        <w:right w:val="none" w:sz="0" w:space="0" w:color="auto"/>
      </w:divBdr>
    </w:div>
    <w:div w:id="1574199091">
      <w:bodyDiv w:val="1"/>
      <w:marLeft w:val="0"/>
      <w:marRight w:val="0"/>
      <w:marTop w:val="0"/>
      <w:marBottom w:val="0"/>
      <w:divBdr>
        <w:top w:val="none" w:sz="0" w:space="0" w:color="auto"/>
        <w:left w:val="none" w:sz="0" w:space="0" w:color="auto"/>
        <w:bottom w:val="none" w:sz="0" w:space="0" w:color="auto"/>
        <w:right w:val="none" w:sz="0" w:space="0" w:color="auto"/>
      </w:divBdr>
    </w:div>
    <w:div w:id="1578705988">
      <w:bodyDiv w:val="1"/>
      <w:marLeft w:val="0"/>
      <w:marRight w:val="0"/>
      <w:marTop w:val="0"/>
      <w:marBottom w:val="0"/>
      <w:divBdr>
        <w:top w:val="none" w:sz="0" w:space="0" w:color="auto"/>
        <w:left w:val="none" w:sz="0" w:space="0" w:color="auto"/>
        <w:bottom w:val="none" w:sz="0" w:space="0" w:color="auto"/>
        <w:right w:val="none" w:sz="0" w:space="0" w:color="auto"/>
      </w:divBdr>
    </w:div>
    <w:div w:id="1582595494">
      <w:bodyDiv w:val="1"/>
      <w:marLeft w:val="0"/>
      <w:marRight w:val="0"/>
      <w:marTop w:val="0"/>
      <w:marBottom w:val="0"/>
      <w:divBdr>
        <w:top w:val="none" w:sz="0" w:space="0" w:color="auto"/>
        <w:left w:val="none" w:sz="0" w:space="0" w:color="auto"/>
        <w:bottom w:val="none" w:sz="0" w:space="0" w:color="auto"/>
        <w:right w:val="none" w:sz="0" w:space="0" w:color="auto"/>
      </w:divBdr>
    </w:div>
    <w:div w:id="1589532968">
      <w:bodyDiv w:val="1"/>
      <w:marLeft w:val="0"/>
      <w:marRight w:val="0"/>
      <w:marTop w:val="0"/>
      <w:marBottom w:val="0"/>
      <w:divBdr>
        <w:top w:val="none" w:sz="0" w:space="0" w:color="auto"/>
        <w:left w:val="none" w:sz="0" w:space="0" w:color="auto"/>
        <w:bottom w:val="none" w:sz="0" w:space="0" w:color="auto"/>
        <w:right w:val="none" w:sz="0" w:space="0" w:color="auto"/>
      </w:divBdr>
    </w:div>
    <w:div w:id="1597328888">
      <w:bodyDiv w:val="1"/>
      <w:marLeft w:val="0"/>
      <w:marRight w:val="0"/>
      <w:marTop w:val="0"/>
      <w:marBottom w:val="0"/>
      <w:divBdr>
        <w:top w:val="none" w:sz="0" w:space="0" w:color="auto"/>
        <w:left w:val="none" w:sz="0" w:space="0" w:color="auto"/>
        <w:bottom w:val="none" w:sz="0" w:space="0" w:color="auto"/>
        <w:right w:val="none" w:sz="0" w:space="0" w:color="auto"/>
      </w:divBdr>
    </w:div>
    <w:div w:id="1599027015">
      <w:bodyDiv w:val="1"/>
      <w:marLeft w:val="0"/>
      <w:marRight w:val="0"/>
      <w:marTop w:val="0"/>
      <w:marBottom w:val="0"/>
      <w:divBdr>
        <w:top w:val="none" w:sz="0" w:space="0" w:color="auto"/>
        <w:left w:val="none" w:sz="0" w:space="0" w:color="auto"/>
        <w:bottom w:val="none" w:sz="0" w:space="0" w:color="auto"/>
        <w:right w:val="none" w:sz="0" w:space="0" w:color="auto"/>
      </w:divBdr>
    </w:div>
    <w:div w:id="1604606214">
      <w:bodyDiv w:val="1"/>
      <w:marLeft w:val="0"/>
      <w:marRight w:val="0"/>
      <w:marTop w:val="0"/>
      <w:marBottom w:val="0"/>
      <w:divBdr>
        <w:top w:val="none" w:sz="0" w:space="0" w:color="auto"/>
        <w:left w:val="none" w:sz="0" w:space="0" w:color="auto"/>
        <w:bottom w:val="none" w:sz="0" w:space="0" w:color="auto"/>
        <w:right w:val="none" w:sz="0" w:space="0" w:color="auto"/>
      </w:divBdr>
    </w:div>
    <w:div w:id="1607494586">
      <w:bodyDiv w:val="1"/>
      <w:marLeft w:val="0"/>
      <w:marRight w:val="0"/>
      <w:marTop w:val="0"/>
      <w:marBottom w:val="0"/>
      <w:divBdr>
        <w:top w:val="none" w:sz="0" w:space="0" w:color="auto"/>
        <w:left w:val="none" w:sz="0" w:space="0" w:color="auto"/>
        <w:bottom w:val="none" w:sz="0" w:space="0" w:color="auto"/>
        <w:right w:val="none" w:sz="0" w:space="0" w:color="auto"/>
      </w:divBdr>
    </w:div>
    <w:div w:id="1634826346">
      <w:bodyDiv w:val="1"/>
      <w:marLeft w:val="0"/>
      <w:marRight w:val="0"/>
      <w:marTop w:val="0"/>
      <w:marBottom w:val="0"/>
      <w:divBdr>
        <w:top w:val="none" w:sz="0" w:space="0" w:color="auto"/>
        <w:left w:val="none" w:sz="0" w:space="0" w:color="auto"/>
        <w:bottom w:val="none" w:sz="0" w:space="0" w:color="auto"/>
        <w:right w:val="none" w:sz="0" w:space="0" w:color="auto"/>
      </w:divBdr>
    </w:div>
    <w:div w:id="1636327335">
      <w:bodyDiv w:val="1"/>
      <w:marLeft w:val="0"/>
      <w:marRight w:val="0"/>
      <w:marTop w:val="0"/>
      <w:marBottom w:val="0"/>
      <w:divBdr>
        <w:top w:val="none" w:sz="0" w:space="0" w:color="auto"/>
        <w:left w:val="none" w:sz="0" w:space="0" w:color="auto"/>
        <w:bottom w:val="none" w:sz="0" w:space="0" w:color="auto"/>
        <w:right w:val="none" w:sz="0" w:space="0" w:color="auto"/>
      </w:divBdr>
    </w:div>
    <w:div w:id="1637030814">
      <w:bodyDiv w:val="1"/>
      <w:marLeft w:val="0"/>
      <w:marRight w:val="0"/>
      <w:marTop w:val="0"/>
      <w:marBottom w:val="0"/>
      <w:divBdr>
        <w:top w:val="none" w:sz="0" w:space="0" w:color="auto"/>
        <w:left w:val="none" w:sz="0" w:space="0" w:color="auto"/>
        <w:bottom w:val="none" w:sz="0" w:space="0" w:color="auto"/>
        <w:right w:val="none" w:sz="0" w:space="0" w:color="auto"/>
      </w:divBdr>
    </w:div>
    <w:div w:id="1645968719">
      <w:bodyDiv w:val="1"/>
      <w:marLeft w:val="0"/>
      <w:marRight w:val="0"/>
      <w:marTop w:val="0"/>
      <w:marBottom w:val="0"/>
      <w:divBdr>
        <w:top w:val="none" w:sz="0" w:space="0" w:color="auto"/>
        <w:left w:val="none" w:sz="0" w:space="0" w:color="auto"/>
        <w:bottom w:val="none" w:sz="0" w:space="0" w:color="auto"/>
        <w:right w:val="none" w:sz="0" w:space="0" w:color="auto"/>
      </w:divBdr>
    </w:div>
    <w:div w:id="1647201246">
      <w:bodyDiv w:val="1"/>
      <w:marLeft w:val="0"/>
      <w:marRight w:val="0"/>
      <w:marTop w:val="0"/>
      <w:marBottom w:val="0"/>
      <w:divBdr>
        <w:top w:val="none" w:sz="0" w:space="0" w:color="auto"/>
        <w:left w:val="none" w:sz="0" w:space="0" w:color="auto"/>
        <w:bottom w:val="none" w:sz="0" w:space="0" w:color="auto"/>
        <w:right w:val="none" w:sz="0" w:space="0" w:color="auto"/>
      </w:divBdr>
    </w:div>
    <w:div w:id="1655913966">
      <w:bodyDiv w:val="1"/>
      <w:marLeft w:val="0"/>
      <w:marRight w:val="0"/>
      <w:marTop w:val="0"/>
      <w:marBottom w:val="0"/>
      <w:divBdr>
        <w:top w:val="none" w:sz="0" w:space="0" w:color="auto"/>
        <w:left w:val="none" w:sz="0" w:space="0" w:color="auto"/>
        <w:bottom w:val="none" w:sz="0" w:space="0" w:color="auto"/>
        <w:right w:val="none" w:sz="0" w:space="0" w:color="auto"/>
      </w:divBdr>
    </w:div>
    <w:div w:id="1656570521">
      <w:bodyDiv w:val="1"/>
      <w:marLeft w:val="0"/>
      <w:marRight w:val="0"/>
      <w:marTop w:val="0"/>
      <w:marBottom w:val="0"/>
      <w:divBdr>
        <w:top w:val="none" w:sz="0" w:space="0" w:color="auto"/>
        <w:left w:val="none" w:sz="0" w:space="0" w:color="auto"/>
        <w:bottom w:val="none" w:sz="0" w:space="0" w:color="auto"/>
        <w:right w:val="none" w:sz="0" w:space="0" w:color="auto"/>
      </w:divBdr>
    </w:div>
    <w:div w:id="1656689597">
      <w:bodyDiv w:val="1"/>
      <w:marLeft w:val="0"/>
      <w:marRight w:val="0"/>
      <w:marTop w:val="0"/>
      <w:marBottom w:val="0"/>
      <w:divBdr>
        <w:top w:val="none" w:sz="0" w:space="0" w:color="auto"/>
        <w:left w:val="none" w:sz="0" w:space="0" w:color="auto"/>
        <w:bottom w:val="none" w:sz="0" w:space="0" w:color="auto"/>
        <w:right w:val="none" w:sz="0" w:space="0" w:color="auto"/>
      </w:divBdr>
    </w:div>
    <w:div w:id="1665233779">
      <w:bodyDiv w:val="1"/>
      <w:marLeft w:val="0"/>
      <w:marRight w:val="0"/>
      <w:marTop w:val="0"/>
      <w:marBottom w:val="0"/>
      <w:divBdr>
        <w:top w:val="none" w:sz="0" w:space="0" w:color="auto"/>
        <w:left w:val="none" w:sz="0" w:space="0" w:color="auto"/>
        <w:bottom w:val="none" w:sz="0" w:space="0" w:color="auto"/>
        <w:right w:val="none" w:sz="0" w:space="0" w:color="auto"/>
      </w:divBdr>
    </w:div>
    <w:div w:id="1668094447">
      <w:bodyDiv w:val="1"/>
      <w:marLeft w:val="0"/>
      <w:marRight w:val="0"/>
      <w:marTop w:val="0"/>
      <w:marBottom w:val="0"/>
      <w:divBdr>
        <w:top w:val="none" w:sz="0" w:space="0" w:color="auto"/>
        <w:left w:val="none" w:sz="0" w:space="0" w:color="auto"/>
        <w:bottom w:val="none" w:sz="0" w:space="0" w:color="auto"/>
        <w:right w:val="none" w:sz="0" w:space="0" w:color="auto"/>
      </w:divBdr>
    </w:div>
    <w:div w:id="1690721969">
      <w:bodyDiv w:val="1"/>
      <w:marLeft w:val="0"/>
      <w:marRight w:val="0"/>
      <w:marTop w:val="0"/>
      <w:marBottom w:val="0"/>
      <w:divBdr>
        <w:top w:val="none" w:sz="0" w:space="0" w:color="auto"/>
        <w:left w:val="none" w:sz="0" w:space="0" w:color="auto"/>
        <w:bottom w:val="none" w:sz="0" w:space="0" w:color="auto"/>
        <w:right w:val="none" w:sz="0" w:space="0" w:color="auto"/>
      </w:divBdr>
    </w:div>
    <w:div w:id="1692493804">
      <w:bodyDiv w:val="1"/>
      <w:marLeft w:val="0"/>
      <w:marRight w:val="0"/>
      <w:marTop w:val="0"/>
      <w:marBottom w:val="0"/>
      <w:divBdr>
        <w:top w:val="none" w:sz="0" w:space="0" w:color="auto"/>
        <w:left w:val="none" w:sz="0" w:space="0" w:color="auto"/>
        <w:bottom w:val="none" w:sz="0" w:space="0" w:color="auto"/>
        <w:right w:val="none" w:sz="0" w:space="0" w:color="auto"/>
      </w:divBdr>
    </w:div>
    <w:div w:id="1699310492">
      <w:bodyDiv w:val="1"/>
      <w:marLeft w:val="0"/>
      <w:marRight w:val="0"/>
      <w:marTop w:val="0"/>
      <w:marBottom w:val="0"/>
      <w:divBdr>
        <w:top w:val="none" w:sz="0" w:space="0" w:color="auto"/>
        <w:left w:val="none" w:sz="0" w:space="0" w:color="auto"/>
        <w:bottom w:val="none" w:sz="0" w:space="0" w:color="auto"/>
        <w:right w:val="none" w:sz="0" w:space="0" w:color="auto"/>
      </w:divBdr>
    </w:div>
    <w:div w:id="1703167385">
      <w:bodyDiv w:val="1"/>
      <w:marLeft w:val="0"/>
      <w:marRight w:val="0"/>
      <w:marTop w:val="0"/>
      <w:marBottom w:val="0"/>
      <w:divBdr>
        <w:top w:val="none" w:sz="0" w:space="0" w:color="auto"/>
        <w:left w:val="none" w:sz="0" w:space="0" w:color="auto"/>
        <w:bottom w:val="none" w:sz="0" w:space="0" w:color="auto"/>
        <w:right w:val="none" w:sz="0" w:space="0" w:color="auto"/>
      </w:divBdr>
    </w:div>
    <w:div w:id="1710690186">
      <w:bodyDiv w:val="1"/>
      <w:marLeft w:val="0"/>
      <w:marRight w:val="0"/>
      <w:marTop w:val="0"/>
      <w:marBottom w:val="0"/>
      <w:divBdr>
        <w:top w:val="none" w:sz="0" w:space="0" w:color="auto"/>
        <w:left w:val="none" w:sz="0" w:space="0" w:color="auto"/>
        <w:bottom w:val="none" w:sz="0" w:space="0" w:color="auto"/>
        <w:right w:val="none" w:sz="0" w:space="0" w:color="auto"/>
      </w:divBdr>
    </w:div>
    <w:div w:id="1710763773">
      <w:bodyDiv w:val="1"/>
      <w:marLeft w:val="0"/>
      <w:marRight w:val="0"/>
      <w:marTop w:val="0"/>
      <w:marBottom w:val="0"/>
      <w:divBdr>
        <w:top w:val="none" w:sz="0" w:space="0" w:color="auto"/>
        <w:left w:val="none" w:sz="0" w:space="0" w:color="auto"/>
        <w:bottom w:val="none" w:sz="0" w:space="0" w:color="auto"/>
        <w:right w:val="none" w:sz="0" w:space="0" w:color="auto"/>
      </w:divBdr>
    </w:div>
    <w:div w:id="1711764750">
      <w:bodyDiv w:val="1"/>
      <w:marLeft w:val="0"/>
      <w:marRight w:val="0"/>
      <w:marTop w:val="0"/>
      <w:marBottom w:val="0"/>
      <w:divBdr>
        <w:top w:val="none" w:sz="0" w:space="0" w:color="auto"/>
        <w:left w:val="none" w:sz="0" w:space="0" w:color="auto"/>
        <w:bottom w:val="none" w:sz="0" w:space="0" w:color="auto"/>
        <w:right w:val="none" w:sz="0" w:space="0" w:color="auto"/>
      </w:divBdr>
    </w:div>
    <w:div w:id="1716468385">
      <w:bodyDiv w:val="1"/>
      <w:marLeft w:val="0"/>
      <w:marRight w:val="0"/>
      <w:marTop w:val="0"/>
      <w:marBottom w:val="0"/>
      <w:divBdr>
        <w:top w:val="none" w:sz="0" w:space="0" w:color="auto"/>
        <w:left w:val="none" w:sz="0" w:space="0" w:color="auto"/>
        <w:bottom w:val="none" w:sz="0" w:space="0" w:color="auto"/>
        <w:right w:val="none" w:sz="0" w:space="0" w:color="auto"/>
      </w:divBdr>
    </w:div>
    <w:div w:id="1719667026">
      <w:bodyDiv w:val="1"/>
      <w:marLeft w:val="0"/>
      <w:marRight w:val="0"/>
      <w:marTop w:val="0"/>
      <w:marBottom w:val="0"/>
      <w:divBdr>
        <w:top w:val="none" w:sz="0" w:space="0" w:color="auto"/>
        <w:left w:val="none" w:sz="0" w:space="0" w:color="auto"/>
        <w:bottom w:val="none" w:sz="0" w:space="0" w:color="auto"/>
        <w:right w:val="none" w:sz="0" w:space="0" w:color="auto"/>
      </w:divBdr>
    </w:div>
    <w:div w:id="1722434540">
      <w:bodyDiv w:val="1"/>
      <w:marLeft w:val="0"/>
      <w:marRight w:val="0"/>
      <w:marTop w:val="0"/>
      <w:marBottom w:val="0"/>
      <w:divBdr>
        <w:top w:val="none" w:sz="0" w:space="0" w:color="auto"/>
        <w:left w:val="none" w:sz="0" w:space="0" w:color="auto"/>
        <w:bottom w:val="none" w:sz="0" w:space="0" w:color="auto"/>
        <w:right w:val="none" w:sz="0" w:space="0" w:color="auto"/>
      </w:divBdr>
    </w:div>
    <w:div w:id="1724672400">
      <w:bodyDiv w:val="1"/>
      <w:marLeft w:val="0"/>
      <w:marRight w:val="0"/>
      <w:marTop w:val="0"/>
      <w:marBottom w:val="0"/>
      <w:divBdr>
        <w:top w:val="none" w:sz="0" w:space="0" w:color="auto"/>
        <w:left w:val="none" w:sz="0" w:space="0" w:color="auto"/>
        <w:bottom w:val="none" w:sz="0" w:space="0" w:color="auto"/>
        <w:right w:val="none" w:sz="0" w:space="0" w:color="auto"/>
      </w:divBdr>
    </w:div>
    <w:div w:id="1724938365">
      <w:bodyDiv w:val="1"/>
      <w:marLeft w:val="0"/>
      <w:marRight w:val="0"/>
      <w:marTop w:val="0"/>
      <w:marBottom w:val="0"/>
      <w:divBdr>
        <w:top w:val="none" w:sz="0" w:space="0" w:color="auto"/>
        <w:left w:val="none" w:sz="0" w:space="0" w:color="auto"/>
        <w:bottom w:val="none" w:sz="0" w:space="0" w:color="auto"/>
        <w:right w:val="none" w:sz="0" w:space="0" w:color="auto"/>
      </w:divBdr>
    </w:div>
    <w:div w:id="1726021860">
      <w:bodyDiv w:val="1"/>
      <w:marLeft w:val="0"/>
      <w:marRight w:val="0"/>
      <w:marTop w:val="0"/>
      <w:marBottom w:val="0"/>
      <w:divBdr>
        <w:top w:val="none" w:sz="0" w:space="0" w:color="auto"/>
        <w:left w:val="none" w:sz="0" w:space="0" w:color="auto"/>
        <w:bottom w:val="none" w:sz="0" w:space="0" w:color="auto"/>
        <w:right w:val="none" w:sz="0" w:space="0" w:color="auto"/>
      </w:divBdr>
    </w:div>
    <w:div w:id="1727952019">
      <w:bodyDiv w:val="1"/>
      <w:marLeft w:val="0"/>
      <w:marRight w:val="0"/>
      <w:marTop w:val="0"/>
      <w:marBottom w:val="0"/>
      <w:divBdr>
        <w:top w:val="none" w:sz="0" w:space="0" w:color="auto"/>
        <w:left w:val="none" w:sz="0" w:space="0" w:color="auto"/>
        <w:bottom w:val="none" w:sz="0" w:space="0" w:color="auto"/>
        <w:right w:val="none" w:sz="0" w:space="0" w:color="auto"/>
      </w:divBdr>
    </w:div>
    <w:div w:id="1731341003">
      <w:bodyDiv w:val="1"/>
      <w:marLeft w:val="0"/>
      <w:marRight w:val="0"/>
      <w:marTop w:val="0"/>
      <w:marBottom w:val="0"/>
      <w:divBdr>
        <w:top w:val="none" w:sz="0" w:space="0" w:color="auto"/>
        <w:left w:val="none" w:sz="0" w:space="0" w:color="auto"/>
        <w:bottom w:val="none" w:sz="0" w:space="0" w:color="auto"/>
        <w:right w:val="none" w:sz="0" w:space="0" w:color="auto"/>
      </w:divBdr>
    </w:div>
    <w:div w:id="1733187776">
      <w:bodyDiv w:val="1"/>
      <w:marLeft w:val="0"/>
      <w:marRight w:val="0"/>
      <w:marTop w:val="0"/>
      <w:marBottom w:val="0"/>
      <w:divBdr>
        <w:top w:val="none" w:sz="0" w:space="0" w:color="auto"/>
        <w:left w:val="none" w:sz="0" w:space="0" w:color="auto"/>
        <w:bottom w:val="none" w:sz="0" w:space="0" w:color="auto"/>
        <w:right w:val="none" w:sz="0" w:space="0" w:color="auto"/>
      </w:divBdr>
    </w:div>
    <w:div w:id="1739092959">
      <w:bodyDiv w:val="1"/>
      <w:marLeft w:val="0"/>
      <w:marRight w:val="0"/>
      <w:marTop w:val="0"/>
      <w:marBottom w:val="0"/>
      <w:divBdr>
        <w:top w:val="none" w:sz="0" w:space="0" w:color="auto"/>
        <w:left w:val="none" w:sz="0" w:space="0" w:color="auto"/>
        <w:bottom w:val="none" w:sz="0" w:space="0" w:color="auto"/>
        <w:right w:val="none" w:sz="0" w:space="0" w:color="auto"/>
      </w:divBdr>
    </w:div>
    <w:div w:id="1753426180">
      <w:bodyDiv w:val="1"/>
      <w:marLeft w:val="0"/>
      <w:marRight w:val="0"/>
      <w:marTop w:val="0"/>
      <w:marBottom w:val="0"/>
      <w:divBdr>
        <w:top w:val="none" w:sz="0" w:space="0" w:color="auto"/>
        <w:left w:val="none" w:sz="0" w:space="0" w:color="auto"/>
        <w:bottom w:val="none" w:sz="0" w:space="0" w:color="auto"/>
        <w:right w:val="none" w:sz="0" w:space="0" w:color="auto"/>
      </w:divBdr>
    </w:div>
    <w:div w:id="1756126728">
      <w:bodyDiv w:val="1"/>
      <w:marLeft w:val="0"/>
      <w:marRight w:val="0"/>
      <w:marTop w:val="0"/>
      <w:marBottom w:val="0"/>
      <w:divBdr>
        <w:top w:val="none" w:sz="0" w:space="0" w:color="auto"/>
        <w:left w:val="none" w:sz="0" w:space="0" w:color="auto"/>
        <w:bottom w:val="none" w:sz="0" w:space="0" w:color="auto"/>
        <w:right w:val="none" w:sz="0" w:space="0" w:color="auto"/>
      </w:divBdr>
    </w:div>
    <w:div w:id="1756392597">
      <w:bodyDiv w:val="1"/>
      <w:marLeft w:val="0"/>
      <w:marRight w:val="0"/>
      <w:marTop w:val="0"/>
      <w:marBottom w:val="0"/>
      <w:divBdr>
        <w:top w:val="none" w:sz="0" w:space="0" w:color="auto"/>
        <w:left w:val="none" w:sz="0" w:space="0" w:color="auto"/>
        <w:bottom w:val="none" w:sz="0" w:space="0" w:color="auto"/>
        <w:right w:val="none" w:sz="0" w:space="0" w:color="auto"/>
      </w:divBdr>
    </w:div>
    <w:div w:id="1758867820">
      <w:bodyDiv w:val="1"/>
      <w:marLeft w:val="0"/>
      <w:marRight w:val="0"/>
      <w:marTop w:val="0"/>
      <w:marBottom w:val="0"/>
      <w:divBdr>
        <w:top w:val="none" w:sz="0" w:space="0" w:color="auto"/>
        <w:left w:val="none" w:sz="0" w:space="0" w:color="auto"/>
        <w:bottom w:val="none" w:sz="0" w:space="0" w:color="auto"/>
        <w:right w:val="none" w:sz="0" w:space="0" w:color="auto"/>
      </w:divBdr>
    </w:div>
    <w:div w:id="1760712814">
      <w:bodyDiv w:val="1"/>
      <w:marLeft w:val="0"/>
      <w:marRight w:val="0"/>
      <w:marTop w:val="0"/>
      <w:marBottom w:val="0"/>
      <w:divBdr>
        <w:top w:val="none" w:sz="0" w:space="0" w:color="auto"/>
        <w:left w:val="none" w:sz="0" w:space="0" w:color="auto"/>
        <w:bottom w:val="none" w:sz="0" w:space="0" w:color="auto"/>
        <w:right w:val="none" w:sz="0" w:space="0" w:color="auto"/>
      </w:divBdr>
    </w:div>
    <w:div w:id="1761829336">
      <w:bodyDiv w:val="1"/>
      <w:marLeft w:val="0"/>
      <w:marRight w:val="0"/>
      <w:marTop w:val="0"/>
      <w:marBottom w:val="0"/>
      <w:divBdr>
        <w:top w:val="none" w:sz="0" w:space="0" w:color="auto"/>
        <w:left w:val="none" w:sz="0" w:space="0" w:color="auto"/>
        <w:bottom w:val="none" w:sz="0" w:space="0" w:color="auto"/>
        <w:right w:val="none" w:sz="0" w:space="0" w:color="auto"/>
      </w:divBdr>
    </w:div>
    <w:div w:id="1769235852">
      <w:bodyDiv w:val="1"/>
      <w:marLeft w:val="0"/>
      <w:marRight w:val="0"/>
      <w:marTop w:val="0"/>
      <w:marBottom w:val="0"/>
      <w:divBdr>
        <w:top w:val="none" w:sz="0" w:space="0" w:color="auto"/>
        <w:left w:val="none" w:sz="0" w:space="0" w:color="auto"/>
        <w:bottom w:val="none" w:sz="0" w:space="0" w:color="auto"/>
        <w:right w:val="none" w:sz="0" w:space="0" w:color="auto"/>
      </w:divBdr>
    </w:div>
    <w:div w:id="1776747611">
      <w:bodyDiv w:val="1"/>
      <w:marLeft w:val="0"/>
      <w:marRight w:val="0"/>
      <w:marTop w:val="0"/>
      <w:marBottom w:val="0"/>
      <w:divBdr>
        <w:top w:val="none" w:sz="0" w:space="0" w:color="auto"/>
        <w:left w:val="none" w:sz="0" w:space="0" w:color="auto"/>
        <w:bottom w:val="none" w:sz="0" w:space="0" w:color="auto"/>
        <w:right w:val="none" w:sz="0" w:space="0" w:color="auto"/>
      </w:divBdr>
    </w:div>
    <w:div w:id="1777867382">
      <w:bodyDiv w:val="1"/>
      <w:marLeft w:val="0"/>
      <w:marRight w:val="0"/>
      <w:marTop w:val="0"/>
      <w:marBottom w:val="0"/>
      <w:divBdr>
        <w:top w:val="none" w:sz="0" w:space="0" w:color="auto"/>
        <w:left w:val="none" w:sz="0" w:space="0" w:color="auto"/>
        <w:bottom w:val="none" w:sz="0" w:space="0" w:color="auto"/>
        <w:right w:val="none" w:sz="0" w:space="0" w:color="auto"/>
      </w:divBdr>
    </w:div>
    <w:div w:id="1787507290">
      <w:bodyDiv w:val="1"/>
      <w:marLeft w:val="0"/>
      <w:marRight w:val="0"/>
      <w:marTop w:val="0"/>
      <w:marBottom w:val="0"/>
      <w:divBdr>
        <w:top w:val="none" w:sz="0" w:space="0" w:color="auto"/>
        <w:left w:val="none" w:sz="0" w:space="0" w:color="auto"/>
        <w:bottom w:val="none" w:sz="0" w:space="0" w:color="auto"/>
        <w:right w:val="none" w:sz="0" w:space="0" w:color="auto"/>
      </w:divBdr>
    </w:div>
    <w:div w:id="1787891038">
      <w:bodyDiv w:val="1"/>
      <w:marLeft w:val="0"/>
      <w:marRight w:val="0"/>
      <w:marTop w:val="0"/>
      <w:marBottom w:val="0"/>
      <w:divBdr>
        <w:top w:val="none" w:sz="0" w:space="0" w:color="auto"/>
        <w:left w:val="none" w:sz="0" w:space="0" w:color="auto"/>
        <w:bottom w:val="none" w:sz="0" w:space="0" w:color="auto"/>
        <w:right w:val="none" w:sz="0" w:space="0" w:color="auto"/>
      </w:divBdr>
    </w:div>
    <w:div w:id="1790010238">
      <w:bodyDiv w:val="1"/>
      <w:marLeft w:val="0"/>
      <w:marRight w:val="0"/>
      <w:marTop w:val="0"/>
      <w:marBottom w:val="0"/>
      <w:divBdr>
        <w:top w:val="none" w:sz="0" w:space="0" w:color="auto"/>
        <w:left w:val="none" w:sz="0" w:space="0" w:color="auto"/>
        <w:bottom w:val="none" w:sz="0" w:space="0" w:color="auto"/>
        <w:right w:val="none" w:sz="0" w:space="0" w:color="auto"/>
      </w:divBdr>
    </w:div>
    <w:div w:id="1795825938">
      <w:bodyDiv w:val="1"/>
      <w:marLeft w:val="0"/>
      <w:marRight w:val="0"/>
      <w:marTop w:val="0"/>
      <w:marBottom w:val="0"/>
      <w:divBdr>
        <w:top w:val="none" w:sz="0" w:space="0" w:color="auto"/>
        <w:left w:val="none" w:sz="0" w:space="0" w:color="auto"/>
        <w:bottom w:val="none" w:sz="0" w:space="0" w:color="auto"/>
        <w:right w:val="none" w:sz="0" w:space="0" w:color="auto"/>
      </w:divBdr>
    </w:div>
    <w:div w:id="1802766647">
      <w:bodyDiv w:val="1"/>
      <w:marLeft w:val="0"/>
      <w:marRight w:val="0"/>
      <w:marTop w:val="0"/>
      <w:marBottom w:val="0"/>
      <w:divBdr>
        <w:top w:val="none" w:sz="0" w:space="0" w:color="auto"/>
        <w:left w:val="none" w:sz="0" w:space="0" w:color="auto"/>
        <w:bottom w:val="none" w:sz="0" w:space="0" w:color="auto"/>
        <w:right w:val="none" w:sz="0" w:space="0" w:color="auto"/>
      </w:divBdr>
    </w:div>
    <w:div w:id="1809198325">
      <w:bodyDiv w:val="1"/>
      <w:marLeft w:val="0"/>
      <w:marRight w:val="0"/>
      <w:marTop w:val="0"/>
      <w:marBottom w:val="0"/>
      <w:divBdr>
        <w:top w:val="none" w:sz="0" w:space="0" w:color="auto"/>
        <w:left w:val="none" w:sz="0" w:space="0" w:color="auto"/>
        <w:bottom w:val="none" w:sz="0" w:space="0" w:color="auto"/>
        <w:right w:val="none" w:sz="0" w:space="0" w:color="auto"/>
      </w:divBdr>
    </w:div>
    <w:div w:id="1818454266">
      <w:bodyDiv w:val="1"/>
      <w:marLeft w:val="0"/>
      <w:marRight w:val="0"/>
      <w:marTop w:val="0"/>
      <w:marBottom w:val="0"/>
      <w:divBdr>
        <w:top w:val="none" w:sz="0" w:space="0" w:color="auto"/>
        <w:left w:val="none" w:sz="0" w:space="0" w:color="auto"/>
        <w:bottom w:val="none" w:sz="0" w:space="0" w:color="auto"/>
        <w:right w:val="none" w:sz="0" w:space="0" w:color="auto"/>
      </w:divBdr>
    </w:div>
    <w:div w:id="1830319689">
      <w:bodyDiv w:val="1"/>
      <w:marLeft w:val="0"/>
      <w:marRight w:val="0"/>
      <w:marTop w:val="0"/>
      <w:marBottom w:val="0"/>
      <w:divBdr>
        <w:top w:val="none" w:sz="0" w:space="0" w:color="auto"/>
        <w:left w:val="none" w:sz="0" w:space="0" w:color="auto"/>
        <w:bottom w:val="none" w:sz="0" w:space="0" w:color="auto"/>
        <w:right w:val="none" w:sz="0" w:space="0" w:color="auto"/>
      </w:divBdr>
    </w:div>
    <w:div w:id="1845242952">
      <w:bodyDiv w:val="1"/>
      <w:marLeft w:val="0"/>
      <w:marRight w:val="0"/>
      <w:marTop w:val="0"/>
      <w:marBottom w:val="0"/>
      <w:divBdr>
        <w:top w:val="none" w:sz="0" w:space="0" w:color="auto"/>
        <w:left w:val="none" w:sz="0" w:space="0" w:color="auto"/>
        <w:bottom w:val="none" w:sz="0" w:space="0" w:color="auto"/>
        <w:right w:val="none" w:sz="0" w:space="0" w:color="auto"/>
      </w:divBdr>
    </w:div>
    <w:div w:id="1848667746">
      <w:bodyDiv w:val="1"/>
      <w:marLeft w:val="0"/>
      <w:marRight w:val="0"/>
      <w:marTop w:val="0"/>
      <w:marBottom w:val="0"/>
      <w:divBdr>
        <w:top w:val="none" w:sz="0" w:space="0" w:color="auto"/>
        <w:left w:val="none" w:sz="0" w:space="0" w:color="auto"/>
        <w:bottom w:val="none" w:sz="0" w:space="0" w:color="auto"/>
        <w:right w:val="none" w:sz="0" w:space="0" w:color="auto"/>
      </w:divBdr>
    </w:div>
    <w:div w:id="1851136365">
      <w:bodyDiv w:val="1"/>
      <w:marLeft w:val="0"/>
      <w:marRight w:val="0"/>
      <w:marTop w:val="0"/>
      <w:marBottom w:val="0"/>
      <w:divBdr>
        <w:top w:val="none" w:sz="0" w:space="0" w:color="auto"/>
        <w:left w:val="none" w:sz="0" w:space="0" w:color="auto"/>
        <w:bottom w:val="none" w:sz="0" w:space="0" w:color="auto"/>
        <w:right w:val="none" w:sz="0" w:space="0" w:color="auto"/>
      </w:divBdr>
    </w:div>
    <w:div w:id="1855530403">
      <w:bodyDiv w:val="1"/>
      <w:marLeft w:val="0"/>
      <w:marRight w:val="0"/>
      <w:marTop w:val="0"/>
      <w:marBottom w:val="0"/>
      <w:divBdr>
        <w:top w:val="none" w:sz="0" w:space="0" w:color="auto"/>
        <w:left w:val="none" w:sz="0" w:space="0" w:color="auto"/>
        <w:bottom w:val="none" w:sz="0" w:space="0" w:color="auto"/>
        <w:right w:val="none" w:sz="0" w:space="0" w:color="auto"/>
      </w:divBdr>
    </w:div>
    <w:div w:id="1858155837">
      <w:bodyDiv w:val="1"/>
      <w:marLeft w:val="0"/>
      <w:marRight w:val="0"/>
      <w:marTop w:val="0"/>
      <w:marBottom w:val="0"/>
      <w:divBdr>
        <w:top w:val="none" w:sz="0" w:space="0" w:color="auto"/>
        <w:left w:val="none" w:sz="0" w:space="0" w:color="auto"/>
        <w:bottom w:val="none" w:sz="0" w:space="0" w:color="auto"/>
        <w:right w:val="none" w:sz="0" w:space="0" w:color="auto"/>
      </w:divBdr>
    </w:div>
    <w:div w:id="1866602738">
      <w:bodyDiv w:val="1"/>
      <w:marLeft w:val="0"/>
      <w:marRight w:val="0"/>
      <w:marTop w:val="0"/>
      <w:marBottom w:val="0"/>
      <w:divBdr>
        <w:top w:val="none" w:sz="0" w:space="0" w:color="auto"/>
        <w:left w:val="none" w:sz="0" w:space="0" w:color="auto"/>
        <w:bottom w:val="none" w:sz="0" w:space="0" w:color="auto"/>
        <w:right w:val="none" w:sz="0" w:space="0" w:color="auto"/>
      </w:divBdr>
    </w:div>
    <w:div w:id="1873301476">
      <w:bodyDiv w:val="1"/>
      <w:marLeft w:val="0"/>
      <w:marRight w:val="0"/>
      <w:marTop w:val="0"/>
      <w:marBottom w:val="0"/>
      <w:divBdr>
        <w:top w:val="none" w:sz="0" w:space="0" w:color="auto"/>
        <w:left w:val="none" w:sz="0" w:space="0" w:color="auto"/>
        <w:bottom w:val="none" w:sz="0" w:space="0" w:color="auto"/>
        <w:right w:val="none" w:sz="0" w:space="0" w:color="auto"/>
      </w:divBdr>
    </w:div>
    <w:div w:id="1873423208">
      <w:bodyDiv w:val="1"/>
      <w:marLeft w:val="0"/>
      <w:marRight w:val="0"/>
      <w:marTop w:val="0"/>
      <w:marBottom w:val="0"/>
      <w:divBdr>
        <w:top w:val="none" w:sz="0" w:space="0" w:color="auto"/>
        <w:left w:val="none" w:sz="0" w:space="0" w:color="auto"/>
        <w:bottom w:val="none" w:sz="0" w:space="0" w:color="auto"/>
        <w:right w:val="none" w:sz="0" w:space="0" w:color="auto"/>
      </w:divBdr>
    </w:div>
    <w:div w:id="1882357516">
      <w:bodyDiv w:val="1"/>
      <w:marLeft w:val="0"/>
      <w:marRight w:val="0"/>
      <w:marTop w:val="0"/>
      <w:marBottom w:val="0"/>
      <w:divBdr>
        <w:top w:val="none" w:sz="0" w:space="0" w:color="auto"/>
        <w:left w:val="none" w:sz="0" w:space="0" w:color="auto"/>
        <w:bottom w:val="none" w:sz="0" w:space="0" w:color="auto"/>
        <w:right w:val="none" w:sz="0" w:space="0" w:color="auto"/>
      </w:divBdr>
    </w:div>
    <w:div w:id="1882745586">
      <w:bodyDiv w:val="1"/>
      <w:marLeft w:val="0"/>
      <w:marRight w:val="0"/>
      <w:marTop w:val="0"/>
      <w:marBottom w:val="0"/>
      <w:divBdr>
        <w:top w:val="none" w:sz="0" w:space="0" w:color="auto"/>
        <w:left w:val="none" w:sz="0" w:space="0" w:color="auto"/>
        <w:bottom w:val="none" w:sz="0" w:space="0" w:color="auto"/>
        <w:right w:val="none" w:sz="0" w:space="0" w:color="auto"/>
      </w:divBdr>
    </w:div>
    <w:div w:id="1915814366">
      <w:bodyDiv w:val="1"/>
      <w:marLeft w:val="0"/>
      <w:marRight w:val="0"/>
      <w:marTop w:val="0"/>
      <w:marBottom w:val="0"/>
      <w:divBdr>
        <w:top w:val="none" w:sz="0" w:space="0" w:color="auto"/>
        <w:left w:val="none" w:sz="0" w:space="0" w:color="auto"/>
        <w:bottom w:val="none" w:sz="0" w:space="0" w:color="auto"/>
        <w:right w:val="none" w:sz="0" w:space="0" w:color="auto"/>
      </w:divBdr>
    </w:div>
    <w:div w:id="1916428576">
      <w:bodyDiv w:val="1"/>
      <w:marLeft w:val="0"/>
      <w:marRight w:val="0"/>
      <w:marTop w:val="0"/>
      <w:marBottom w:val="0"/>
      <w:divBdr>
        <w:top w:val="none" w:sz="0" w:space="0" w:color="auto"/>
        <w:left w:val="none" w:sz="0" w:space="0" w:color="auto"/>
        <w:bottom w:val="none" w:sz="0" w:space="0" w:color="auto"/>
        <w:right w:val="none" w:sz="0" w:space="0" w:color="auto"/>
      </w:divBdr>
    </w:div>
    <w:div w:id="1916938211">
      <w:bodyDiv w:val="1"/>
      <w:marLeft w:val="0"/>
      <w:marRight w:val="0"/>
      <w:marTop w:val="0"/>
      <w:marBottom w:val="0"/>
      <w:divBdr>
        <w:top w:val="none" w:sz="0" w:space="0" w:color="auto"/>
        <w:left w:val="none" w:sz="0" w:space="0" w:color="auto"/>
        <w:bottom w:val="none" w:sz="0" w:space="0" w:color="auto"/>
        <w:right w:val="none" w:sz="0" w:space="0" w:color="auto"/>
      </w:divBdr>
    </w:div>
    <w:div w:id="1918972500">
      <w:bodyDiv w:val="1"/>
      <w:marLeft w:val="0"/>
      <w:marRight w:val="0"/>
      <w:marTop w:val="0"/>
      <w:marBottom w:val="0"/>
      <w:divBdr>
        <w:top w:val="none" w:sz="0" w:space="0" w:color="auto"/>
        <w:left w:val="none" w:sz="0" w:space="0" w:color="auto"/>
        <w:bottom w:val="none" w:sz="0" w:space="0" w:color="auto"/>
        <w:right w:val="none" w:sz="0" w:space="0" w:color="auto"/>
      </w:divBdr>
    </w:div>
    <w:div w:id="1923951347">
      <w:bodyDiv w:val="1"/>
      <w:marLeft w:val="0"/>
      <w:marRight w:val="0"/>
      <w:marTop w:val="0"/>
      <w:marBottom w:val="0"/>
      <w:divBdr>
        <w:top w:val="none" w:sz="0" w:space="0" w:color="auto"/>
        <w:left w:val="none" w:sz="0" w:space="0" w:color="auto"/>
        <w:bottom w:val="none" w:sz="0" w:space="0" w:color="auto"/>
        <w:right w:val="none" w:sz="0" w:space="0" w:color="auto"/>
      </w:divBdr>
    </w:div>
    <w:div w:id="1928147803">
      <w:bodyDiv w:val="1"/>
      <w:marLeft w:val="0"/>
      <w:marRight w:val="0"/>
      <w:marTop w:val="0"/>
      <w:marBottom w:val="0"/>
      <w:divBdr>
        <w:top w:val="none" w:sz="0" w:space="0" w:color="auto"/>
        <w:left w:val="none" w:sz="0" w:space="0" w:color="auto"/>
        <w:bottom w:val="none" w:sz="0" w:space="0" w:color="auto"/>
        <w:right w:val="none" w:sz="0" w:space="0" w:color="auto"/>
      </w:divBdr>
    </w:div>
    <w:div w:id="1940601889">
      <w:bodyDiv w:val="1"/>
      <w:marLeft w:val="0"/>
      <w:marRight w:val="0"/>
      <w:marTop w:val="0"/>
      <w:marBottom w:val="0"/>
      <w:divBdr>
        <w:top w:val="none" w:sz="0" w:space="0" w:color="auto"/>
        <w:left w:val="none" w:sz="0" w:space="0" w:color="auto"/>
        <w:bottom w:val="none" w:sz="0" w:space="0" w:color="auto"/>
        <w:right w:val="none" w:sz="0" w:space="0" w:color="auto"/>
      </w:divBdr>
    </w:div>
    <w:div w:id="1944920519">
      <w:bodyDiv w:val="1"/>
      <w:marLeft w:val="0"/>
      <w:marRight w:val="0"/>
      <w:marTop w:val="0"/>
      <w:marBottom w:val="0"/>
      <w:divBdr>
        <w:top w:val="none" w:sz="0" w:space="0" w:color="auto"/>
        <w:left w:val="none" w:sz="0" w:space="0" w:color="auto"/>
        <w:bottom w:val="none" w:sz="0" w:space="0" w:color="auto"/>
        <w:right w:val="none" w:sz="0" w:space="0" w:color="auto"/>
      </w:divBdr>
    </w:div>
    <w:div w:id="1947300869">
      <w:bodyDiv w:val="1"/>
      <w:marLeft w:val="0"/>
      <w:marRight w:val="0"/>
      <w:marTop w:val="0"/>
      <w:marBottom w:val="0"/>
      <w:divBdr>
        <w:top w:val="none" w:sz="0" w:space="0" w:color="auto"/>
        <w:left w:val="none" w:sz="0" w:space="0" w:color="auto"/>
        <w:bottom w:val="none" w:sz="0" w:space="0" w:color="auto"/>
        <w:right w:val="none" w:sz="0" w:space="0" w:color="auto"/>
      </w:divBdr>
    </w:div>
    <w:div w:id="1956600201">
      <w:bodyDiv w:val="1"/>
      <w:marLeft w:val="0"/>
      <w:marRight w:val="0"/>
      <w:marTop w:val="0"/>
      <w:marBottom w:val="0"/>
      <w:divBdr>
        <w:top w:val="none" w:sz="0" w:space="0" w:color="auto"/>
        <w:left w:val="none" w:sz="0" w:space="0" w:color="auto"/>
        <w:bottom w:val="none" w:sz="0" w:space="0" w:color="auto"/>
        <w:right w:val="none" w:sz="0" w:space="0" w:color="auto"/>
      </w:divBdr>
    </w:div>
    <w:div w:id="1959481932">
      <w:bodyDiv w:val="1"/>
      <w:marLeft w:val="0"/>
      <w:marRight w:val="0"/>
      <w:marTop w:val="0"/>
      <w:marBottom w:val="0"/>
      <w:divBdr>
        <w:top w:val="none" w:sz="0" w:space="0" w:color="auto"/>
        <w:left w:val="none" w:sz="0" w:space="0" w:color="auto"/>
        <w:bottom w:val="none" w:sz="0" w:space="0" w:color="auto"/>
        <w:right w:val="none" w:sz="0" w:space="0" w:color="auto"/>
      </w:divBdr>
    </w:div>
    <w:div w:id="1962687746">
      <w:bodyDiv w:val="1"/>
      <w:marLeft w:val="0"/>
      <w:marRight w:val="0"/>
      <w:marTop w:val="0"/>
      <w:marBottom w:val="0"/>
      <w:divBdr>
        <w:top w:val="none" w:sz="0" w:space="0" w:color="auto"/>
        <w:left w:val="none" w:sz="0" w:space="0" w:color="auto"/>
        <w:bottom w:val="none" w:sz="0" w:space="0" w:color="auto"/>
        <w:right w:val="none" w:sz="0" w:space="0" w:color="auto"/>
      </w:divBdr>
    </w:div>
    <w:div w:id="1966814135">
      <w:bodyDiv w:val="1"/>
      <w:marLeft w:val="0"/>
      <w:marRight w:val="0"/>
      <w:marTop w:val="0"/>
      <w:marBottom w:val="0"/>
      <w:divBdr>
        <w:top w:val="none" w:sz="0" w:space="0" w:color="auto"/>
        <w:left w:val="none" w:sz="0" w:space="0" w:color="auto"/>
        <w:bottom w:val="none" w:sz="0" w:space="0" w:color="auto"/>
        <w:right w:val="none" w:sz="0" w:space="0" w:color="auto"/>
      </w:divBdr>
    </w:div>
    <w:div w:id="1967468574">
      <w:bodyDiv w:val="1"/>
      <w:marLeft w:val="0"/>
      <w:marRight w:val="0"/>
      <w:marTop w:val="0"/>
      <w:marBottom w:val="0"/>
      <w:divBdr>
        <w:top w:val="none" w:sz="0" w:space="0" w:color="auto"/>
        <w:left w:val="none" w:sz="0" w:space="0" w:color="auto"/>
        <w:bottom w:val="none" w:sz="0" w:space="0" w:color="auto"/>
        <w:right w:val="none" w:sz="0" w:space="0" w:color="auto"/>
      </w:divBdr>
    </w:div>
    <w:div w:id="1970620582">
      <w:bodyDiv w:val="1"/>
      <w:marLeft w:val="0"/>
      <w:marRight w:val="0"/>
      <w:marTop w:val="0"/>
      <w:marBottom w:val="0"/>
      <w:divBdr>
        <w:top w:val="none" w:sz="0" w:space="0" w:color="auto"/>
        <w:left w:val="none" w:sz="0" w:space="0" w:color="auto"/>
        <w:bottom w:val="none" w:sz="0" w:space="0" w:color="auto"/>
        <w:right w:val="none" w:sz="0" w:space="0" w:color="auto"/>
      </w:divBdr>
    </w:div>
    <w:div w:id="1973822442">
      <w:bodyDiv w:val="1"/>
      <w:marLeft w:val="0"/>
      <w:marRight w:val="0"/>
      <w:marTop w:val="0"/>
      <w:marBottom w:val="0"/>
      <w:divBdr>
        <w:top w:val="none" w:sz="0" w:space="0" w:color="auto"/>
        <w:left w:val="none" w:sz="0" w:space="0" w:color="auto"/>
        <w:bottom w:val="none" w:sz="0" w:space="0" w:color="auto"/>
        <w:right w:val="none" w:sz="0" w:space="0" w:color="auto"/>
      </w:divBdr>
    </w:div>
    <w:div w:id="1974366567">
      <w:bodyDiv w:val="1"/>
      <w:marLeft w:val="0"/>
      <w:marRight w:val="0"/>
      <w:marTop w:val="0"/>
      <w:marBottom w:val="0"/>
      <w:divBdr>
        <w:top w:val="none" w:sz="0" w:space="0" w:color="auto"/>
        <w:left w:val="none" w:sz="0" w:space="0" w:color="auto"/>
        <w:bottom w:val="none" w:sz="0" w:space="0" w:color="auto"/>
        <w:right w:val="none" w:sz="0" w:space="0" w:color="auto"/>
      </w:divBdr>
    </w:div>
    <w:div w:id="1974559598">
      <w:bodyDiv w:val="1"/>
      <w:marLeft w:val="0"/>
      <w:marRight w:val="0"/>
      <w:marTop w:val="0"/>
      <w:marBottom w:val="0"/>
      <w:divBdr>
        <w:top w:val="none" w:sz="0" w:space="0" w:color="auto"/>
        <w:left w:val="none" w:sz="0" w:space="0" w:color="auto"/>
        <w:bottom w:val="none" w:sz="0" w:space="0" w:color="auto"/>
        <w:right w:val="none" w:sz="0" w:space="0" w:color="auto"/>
      </w:divBdr>
    </w:div>
    <w:div w:id="1978758942">
      <w:bodyDiv w:val="1"/>
      <w:marLeft w:val="0"/>
      <w:marRight w:val="0"/>
      <w:marTop w:val="0"/>
      <w:marBottom w:val="0"/>
      <w:divBdr>
        <w:top w:val="none" w:sz="0" w:space="0" w:color="auto"/>
        <w:left w:val="none" w:sz="0" w:space="0" w:color="auto"/>
        <w:bottom w:val="none" w:sz="0" w:space="0" w:color="auto"/>
        <w:right w:val="none" w:sz="0" w:space="0" w:color="auto"/>
      </w:divBdr>
    </w:div>
    <w:div w:id="1986929726">
      <w:bodyDiv w:val="1"/>
      <w:marLeft w:val="0"/>
      <w:marRight w:val="0"/>
      <w:marTop w:val="0"/>
      <w:marBottom w:val="0"/>
      <w:divBdr>
        <w:top w:val="none" w:sz="0" w:space="0" w:color="auto"/>
        <w:left w:val="none" w:sz="0" w:space="0" w:color="auto"/>
        <w:bottom w:val="none" w:sz="0" w:space="0" w:color="auto"/>
        <w:right w:val="none" w:sz="0" w:space="0" w:color="auto"/>
      </w:divBdr>
    </w:div>
    <w:div w:id="1988777744">
      <w:bodyDiv w:val="1"/>
      <w:marLeft w:val="0"/>
      <w:marRight w:val="0"/>
      <w:marTop w:val="0"/>
      <w:marBottom w:val="0"/>
      <w:divBdr>
        <w:top w:val="none" w:sz="0" w:space="0" w:color="auto"/>
        <w:left w:val="none" w:sz="0" w:space="0" w:color="auto"/>
        <w:bottom w:val="none" w:sz="0" w:space="0" w:color="auto"/>
        <w:right w:val="none" w:sz="0" w:space="0" w:color="auto"/>
      </w:divBdr>
    </w:div>
    <w:div w:id="1989046085">
      <w:bodyDiv w:val="1"/>
      <w:marLeft w:val="0"/>
      <w:marRight w:val="0"/>
      <w:marTop w:val="0"/>
      <w:marBottom w:val="0"/>
      <w:divBdr>
        <w:top w:val="none" w:sz="0" w:space="0" w:color="auto"/>
        <w:left w:val="none" w:sz="0" w:space="0" w:color="auto"/>
        <w:bottom w:val="none" w:sz="0" w:space="0" w:color="auto"/>
        <w:right w:val="none" w:sz="0" w:space="0" w:color="auto"/>
      </w:divBdr>
    </w:div>
    <w:div w:id="2004891679">
      <w:bodyDiv w:val="1"/>
      <w:marLeft w:val="0"/>
      <w:marRight w:val="0"/>
      <w:marTop w:val="0"/>
      <w:marBottom w:val="0"/>
      <w:divBdr>
        <w:top w:val="none" w:sz="0" w:space="0" w:color="auto"/>
        <w:left w:val="none" w:sz="0" w:space="0" w:color="auto"/>
        <w:bottom w:val="none" w:sz="0" w:space="0" w:color="auto"/>
        <w:right w:val="none" w:sz="0" w:space="0" w:color="auto"/>
      </w:divBdr>
    </w:div>
    <w:div w:id="2011329915">
      <w:bodyDiv w:val="1"/>
      <w:marLeft w:val="0"/>
      <w:marRight w:val="0"/>
      <w:marTop w:val="0"/>
      <w:marBottom w:val="0"/>
      <w:divBdr>
        <w:top w:val="none" w:sz="0" w:space="0" w:color="auto"/>
        <w:left w:val="none" w:sz="0" w:space="0" w:color="auto"/>
        <w:bottom w:val="none" w:sz="0" w:space="0" w:color="auto"/>
        <w:right w:val="none" w:sz="0" w:space="0" w:color="auto"/>
      </w:divBdr>
    </w:div>
    <w:div w:id="2011449214">
      <w:bodyDiv w:val="1"/>
      <w:marLeft w:val="0"/>
      <w:marRight w:val="0"/>
      <w:marTop w:val="0"/>
      <w:marBottom w:val="0"/>
      <w:divBdr>
        <w:top w:val="none" w:sz="0" w:space="0" w:color="auto"/>
        <w:left w:val="none" w:sz="0" w:space="0" w:color="auto"/>
        <w:bottom w:val="none" w:sz="0" w:space="0" w:color="auto"/>
        <w:right w:val="none" w:sz="0" w:space="0" w:color="auto"/>
      </w:divBdr>
    </w:div>
    <w:div w:id="2019455325">
      <w:bodyDiv w:val="1"/>
      <w:marLeft w:val="0"/>
      <w:marRight w:val="0"/>
      <w:marTop w:val="0"/>
      <w:marBottom w:val="0"/>
      <w:divBdr>
        <w:top w:val="none" w:sz="0" w:space="0" w:color="auto"/>
        <w:left w:val="none" w:sz="0" w:space="0" w:color="auto"/>
        <w:bottom w:val="none" w:sz="0" w:space="0" w:color="auto"/>
        <w:right w:val="none" w:sz="0" w:space="0" w:color="auto"/>
      </w:divBdr>
    </w:div>
    <w:div w:id="2031254708">
      <w:bodyDiv w:val="1"/>
      <w:marLeft w:val="0"/>
      <w:marRight w:val="0"/>
      <w:marTop w:val="0"/>
      <w:marBottom w:val="0"/>
      <w:divBdr>
        <w:top w:val="none" w:sz="0" w:space="0" w:color="auto"/>
        <w:left w:val="none" w:sz="0" w:space="0" w:color="auto"/>
        <w:bottom w:val="none" w:sz="0" w:space="0" w:color="auto"/>
        <w:right w:val="none" w:sz="0" w:space="0" w:color="auto"/>
      </w:divBdr>
    </w:div>
    <w:div w:id="2032798740">
      <w:bodyDiv w:val="1"/>
      <w:marLeft w:val="0"/>
      <w:marRight w:val="0"/>
      <w:marTop w:val="0"/>
      <w:marBottom w:val="0"/>
      <w:divBdr>
        <w:top w:val="none" w:sz="0" w:space="0" w:color="auto"/>
        <w:left w:val="none" w:sz="0" w:space="0" w:color="auto"/>
        <w:bottom w:val="none" w:sz="0" w:space="0" w:color="auto"/>
        <w:right w:val="none" w:sz="0" w:space="0" w:color="auto"/>
      </w:divBdr>
    </w:div>
    <w:div w:id="2037659894">
      <w:bodyDiv w:val="1"/>
      <w:marLeft w:val="0"/>
      <w:marRight w:val="0"/>
      <w:marTop w:val="0"/>
      <w:marBottom w:val="0"/>
      <w:divBdr>
        <w:top w:val="none" w:sz="0" w:space="0" w:color="auto"/>
        <w:left w:val="none" w:sz="0" w:space="0" w:color="auto"/>
        <w:bottom w:val="none" w:sz="0" w:space="0" w:color="auto"/>
        <w:right w:val="none" w:sz="0" w:space="0" w:color="auto"/>
      </w:divBdr>
    </w:div>
    <w:div w:id="2038307023">
      <w:bodyDiv w:val="1"/>
      <w:marLeft w:val="0"/>
      <w:marRight w:val="0"/>
      <w:marTop w:val="0"/>
      <w:marBottom w:val="0"/>
      <w:divBdr>
        <w:top w:val="none" w:sz="0" w:space="0" w:color="auto"/>
        <w:left w:val="none" w:sz="0" w:space="0" w:color="auto"/>
        <w:bottom w:val="none" w:sz="0" w:space="0" w:color="auto"/>
        <w:right w:val="none" w:sz="0" w:space="0" w:color="auto"/>
      </w:divBdr>
    </w:div>
    <w:div w:id="2040739058">
      <w:bodyDiv w:val="1"/>
      <w:marLeft w:val="0"/>
      <w:marRight w:val="0"/>
      <w:marTop w:val="0"/>
      <w:marBottom w:val="0"/>
      <w:divBdr>
        <w:top w:val="none" w:sz="0" w:space="0" w:color="auto"/>
        <w:left w:val="none" w:sz="0" w:space="0" w:color="auto"/>
        <w:bottom w:val="none" w:sz="0" w:space="0" w:color="auto"/>
        <w:right w:val="none" w:sz="0" w:space="0" w:color="auto"/>
      </w:divBdr>
    </w:div>
    <w:div w:id="2040861474">
      <w:bodyDiv w:val="1"/>
      <w:marLeft w:val="0"/>
      <w:marRight w:val="0"/>
      <w:marTop w:val="0"/>
      <w:marBottom w:val="0"/>
      <w:divBdr>
        <w:top w:val="none" w:sz="0" w:space="0" w:color="auto"/>
        <w:left w:val="none" w:sz="0" w:space="0" w:color="auto"/>
        <w:bottom w:val="none" w:sz="0" w:space="0" w:color="auto"/>
        <w:right w:val="none" w:sz="0" w:space="0" w:color="auto"/>
      </w:divBdr>
    </w:div>
    <w:div w:id="2050256992">
      <w:bodyDiv w:val="1"/>
      <w:marLeft w:val="0"/>
      <w:marRight w:val="0"/>
      <w:marTop w:val="0"/>
      <w:marBottom w:val="0"/>
      <w:divBdr>
        <w:top w:val="none" w:sz="0" w:space="0" w:color="auto"/>
        <w:left w:val="none" w:sz="0" w:space="0" w:color="auto"/>
        <w:bottom w:val="none" w:sz="0" w:space="0" w:color="auto"/>
        <w:right w:val="none" w:sz="0" w:space="0" w:color="auto"/>
      </w:divBdr>
    </w:div>
    <w:div w:id="2058623781">
      <w:bodyDiv w:val="1"/>
      <w:marLeft w:val="0"/>
      <w:marRight w:val="0"/>
      <w:marTop w:val="0"/>
      <w:marBottom w:val="0"/>
      <w:divBdr>
        <w:top w:val="none" w:sz="0" w:space="0" w:color="auto"/>
        <w:left w:val="none" w:sz="0" w:space="0" w:color="auto"/>
        <w:bottom w:val="none" w:sz="0" w:space="0" w:color="auto"/>
        <w:right w:val="none" w:sz="0" w:space="0" w:color="auto"/>
      </w:divBdr>
    </w:div>
    <w:div w:id="2086879081">
      <w:bodyDiv w:val="1"/>
      <w:marLeft w:val="0"/>
      <w:marRight w:val="0"/>
      <w:marTop w:val="0"/>
      <w:marBottom w:val="0"/>
      <w:divBdr>
        <w:top w:val="none" w:sz="0" w:space="0" w:color="auto"/>
        <w:left w:val="none" w:sz="0" w:space="0" w:color="auto"/>
        <w:bottom w:val="none" w:sz="0" w:space="0" w:color="auto"/>
        <w:right w:val="none" w:sz="0" w:space="0" w:color="auto"/>
      </w:divBdr>
    </w:div>
    <w:div w:id="2087218316">
      <w:bodyDiv w:val="1"/>
      <w:marLeft w:val="0"/>
      <w:marRight w:val="0"/>
      <w:marTop w:val="0"/>
      <w:marBottom w:val="0"/>
      <w:divBdr>
        <w:top w:val="none" w:sz="0" w:space="0" w:color="auto"/>
        <w:left w:val="none" w:sz="0" w:space="0" w:color="auto"/>
        <w:bottom w:val="none" w:sz="0" w:space="0" w:color="auto"/>
        <w:right w:val="none" w:sz="0" w:space="0" w:color="auto"/>
      </w:divBdr>
    </w:div>
    <w:div w:id="2087919870">
      <w:bodyDiv w:val="1"/>
      <w:marLeft w:val="0"/>
      <w:marRight w:val="0"/>
      <w:marTop w:val="0"/>
      <w:marBottom w:val="0"/>
      <w:divBdr>
        <w:top w:val="none" w:sz="0" w:space="0" w:color="auto"/>
        <w:left w:val="none" w:sz="0" w:space="0" w:color="auto"/>
        <w:bottom w:val="none" w:sz="0" w:space="0" w:color="auto"/>
        <w:right w:val="none" w:sz="0" w:space="0" w:color="auto"/>
      </w:divBdr>
    </w:div>
    <w:div w:id="2090928951">
      <w:bodyDiv w:val="1"/>
      <w:marLeft w:val="0"/>
      <w:marRight w:val="0"/>
      <w:marTop w:val="0"/>
      <w:marBottom w:val="0"/>
      <w:divBdr>
        <w:top w:val="none" w:sz="0" w:space="0" w:color="auto"/>
        <w:left w:val="none" w:sz="0" w:space="0" w:color="auto"/>
        <w:bottom w:val="none" w:sz="0" w:space="0" w:color="auto"/>
        <w:right w:val="none" w:sz="0" w:space="0" w:color="auto"/>
      </w:divBdr>
    </w:div>
    <w:div w:id="2099592869">
      <w:bodyDiv w:val="1"/>
      <w:marLeft w:val="0"/>
      <w:marRight w:val="0"/>
      <w:marTop w:val="0"/>
      <w:marBottom w:val="0"/>
      <w:divBdr>
        <w:top w:val="none" w:sz="0" w:space="0" w:color="auto"/>
        <w:left w:val="none" w:sz="0" w:space="0" w:color="auto"/>
        <w:bottom w:val="none" w:sz="0" w:space="0" w:color="auto"/>
        <w:right w:val="none" w:sz="0" w:space="0" w:color="auto"/>
      </w:divBdr>
    </w:div>
    <w:div w:id="2123262227">
      <w:bodyDiv w:val="1"/>
      <w:marLeft w:val="0"/>
      <w:marRight w:val="0"/>
      <w:marTop w:val="0"/>
      <w:marBottom w:val="0"/>
      <w:divBdr>
        <w:top w:val="none" w:sz="0" w:space="0" w:color="auto"/>
        <w:left w:val="none" w:sz="0" w:space="0" w:color="auto"/>
        <w:bottom w:val="none" w:sz="0" w:space="0" w:color="auto"/>
        <w:right w:val="none" w:sz="0" w:space="0" w:color="auto"/>
      </w:divBdr>
    </w:div>
    <w:div w:id="2132741281">
      <w:bodyDiv w:val="1"/>
      <w:marLeft w:val="0"/>
      <w:marRight w:val="0"/>
      <w:marTop w:val="0"/>
      <w:marBottom w:val="0"/>
      <w:divBdr>
        <w:top w:val="none" w:sz="0" w:space="0" w:color="auto"/>
        <w:left w:val="none" w:sz="0" w:space="0" w:color="auto"/>
        <w:bottom w:val="none" w:sz="0" w:space="0" w:color="auto"/>
        <w:right w:val="none" w:sz="0" w:space="0" w:color="auto"/>
      </w:divBdr>
    </w:div>
    <w:div w:id="21461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leeds.ac.uk/secretariat/documents/academic_integrity.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leeds.ac.uk/secretariat/documents/academic_integrity.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Oul22</b:Tag>
    <b:SourceType>Report</b:SourceType>
    <b:Guid>{B465BE7D-468C-4425-87F3-A58D9A5F565F}</b:Guid>
    <b:Title>The Productivity-Welfare Linkage: A Decomposition</b:Title>
    <b:Year>2022</b:Year>
    <b:Author>
      <b:Author>
        <b:NameList>
          <b:Person>
            <b:Last>Oulton</b:Last>
            <b:First>Nicholas</b:First>
          </b:Person>
        </b:NameList>
      </b:Author>
    </b:Author>
    <b:Publisher>Centre for Macroeconomics, LSE and NIESR</b:Publisher>
    <b:City>London</b:City>
    <b:RefOrder>1</b:RefOrder>
  </b:Source>
  <b:Source>
    <b:Tag>Ree24</b:Tag>
    <b:SourceType>DocumentFromInternetSite</b:SourceType>
    <b:Guid>{49DEA0EB-48A7-41AC-A2A8-6AE5A9272FDA}</b:Guid>
    <b:Title>Rachel Reeves Mais Lecture 2024</b:Title>
    <b:Year>2024</b:Year>
    <b:Author>
      <b:Author>
        <b:NameList>
          <b:Person>
            <b:Last>Reeves</b:Last>
            <b:First>Rachel</b:First>
          </b:Person>
        </b:NameList>
      </b:Author>
    </b:Author>
    <b:InternetSiteTitle>Labour Webpage</b:InternetSiteTitle>
    <b:Month>March</b:Month>
    <b:Day>18</b:Day>
    <b:URL>https://labour.org.uk/updates/press-releases/rachel-reeves-mais-lecture/</b:URL>
    <b:RefOrder>29</b:RefOrder>
  </b:Source>
  <b:Source>
    <b:Tag>Sol56</b:Tag>
    <b:SourceType>JournalArticle</b:SourceType>
    <b:Guid>{443AE378-AD19-400E-AEDD-595CD2CA29BC}</b:Guid>
    <b:Author>
      <b:Author>
        <b:NameList>
          <b:Person>
            <b:Last>Solow</b:Last>
            <b:First>Robert</b:First>
            <b:Middle>M.</b:Middle>
          </b:Person>
        </b:NameList>
      </b:Author>
    </b:Author>
    <b:Title>A Contribution to the Theory of Economic Growth</b:Title>
    <b:Year>1956</b:Year>
    <b:City>Cambridge, MA</b:City>
    <b:Publisher>The MIT Press</b:Publisher>
    <b:JournalName>The Quarterly Journal of Economics</b:JournalName>
    <b:Pages>65-94</b:Pages>
    <b:RefOrder>30</b:RefOrder>
  </b:Source>
  <b:Source>
    <b:Tag>Biv15</b:Tag>
    <b:SourceType>Report</b:SourceType>
    <b:Guid>{21EEADAD-3AB1-45E9-BDB1-A3ACB9B2759C}</b:Guid>
    <b:Title>Understanding the Historic Divergence Between Productivity and a Typical Worker’s Pay</b:Title>
    <b:Year>2015</b:Year>
    <b:Author>
      <b:Author>
        <b:NameList>
          <b:Person>
            <b:Last>Bivens</b:Last>
            <b:First>Josh</b:First>
          </b:Person>
          <b:Person>
            <b:Last>Mishel</b:Last>
            <b:First>Lawrence</b:First>
          </b:Person>
        </b:NameList>
      </b:Author>
    </b:Author>
    <b:Publisher>Economic Policy Institute</b:Publisher>
    <b:RefOrder>2</b:RefOrder>
  </b:Source>
  <b:Source>
    <b:Tag>Pes13</b:Tag>
    <b:SourceType>JournalArticle</b:SourceType>
    <b:Guid>{8EBF3A5A-166E-4A6F-A636-89073C4B8DAF}</b:Guid>
    <b:Author>
      <b:Author>
        <b:NameList>
          <b:Person>
            <b:Last>Pessoa</b:Last>
            <b:First>Joao</b:First>
            <b:Middle>Paulo</b:Middle>
          </b:Person>
          <b:Person>
            <b:Last>Van Reenen</b:Last>
            <b:First>John</b:First>
          </b:Person>
        </b:NameList>
      </b:Author>
    </b:Author>
    <b:Title>Decoupling of Wage Growth and Productivity Growth? Myth and Reality</b:Title>
    <b:JournalName>CEP Discussions Papers</b:JournalName>
    <b:Year>2013</b:Year>
    <b:Publisher>Centre for Economic Performance, LSE</b:Publisher>
    <b:RefOrder>31</b:RefOrder>
  </b:Source>
  <b:Source>
    <b:Tag>Tei21</b:Tag>
    <b:SourceType>Report</b:SourceType>
    <b:Guid>{BDD690DC-4468-4903-9A5B-25BE86171926}</b:Guid>
    <b:Title>Have productivity and pay decoupled in the UK?</b:Title>
    <b:Year>2021</b:Year>
    <b:Publisher>Centre for Economic Performance</b:Publisher>
    <b:City>London</b:City>
    <b:Author>
      <b:Author>
        <b:NameList>
          <b:Person>
            <b:Last>Teichgraeber</b:Last>
            <b:First>Andreas</b:First>
          </b:Person>
          <b:Person>
            <b:Last>Van Reenen</b:Last>
            <b:First>John</b:First>
          </b:Person>
        </b:NameList>
      </b:Author>
    </b:Author>
    <b:RefOrder>7</b:RefOrder>
  </b:Source>
  <b:Source>
    <b:Tag>Sta18</b:Tag>
    <b:SourceType>JournalArticle</b:SourceType>
    <b:Guid>{3AB740C4-A2A9-493E-BD9A-19D9F73FCC36}</b:Guid>
    <b:Title>Productivity and Pay: Is the Link Broken?</b:Title>
    <b:JournalName>Peterson Institute for International Economics Working Paper No. 18-5</b:JournalName>
    <b:Year>2018</b:Year>
    <b:Author>
      <b:Author>
        <b:NameList>
          <b:Person>
            <b:Last>Stansbury</b:Last>
            <b:Middle>M.</b:Middle>
            <b:First>Anna</b:First>
          </b:Person>
          <b:Person>
            <b:Last>Summers</b:Last>
            <b:Middle>H.</b:Middle>
            <b:First>Lawrence</b:First>
          </b:Person>
        </b:NameList>
      </b:Author>
    </b:Author>
    <b:RefOrder>5</b:RefOrder>
  </b:Source>
  <b:Source>
    <b:Tag>Cia18</b:Tag>
    <b:SourceType>Report</b:SourceType>
    <b:Guid>{B04F1809-51F4-4457-B5CC-25ADE1852375}</b:Guid>
    <b:Author>
      <b:Author>
        <b:NameList>
          <b:Person>
            <b:Last>Ciarli</b:Last>
            <b:First>Tommaso</b:First>
          </b:Person>
          <b:Person>
            <b:Last>Salgado</b:Last>
            <b:First>Edgar</b:First>
          </b:Person>
          <b:Person>
            <b:Last>Savona</b:Last>
            <b:First>Maria</b:First>
          </b:Person>
        </b:NameList>
      </b:Author>
    </b:Author>
    <b:Title>Do Low-Wage Workers Benefit from Productivity Growth Recovery?</b:Title>
    <b:Year>2018</b:Year>
    <b:Publisher>Joseph Rowntree Foundation</b:Publisher>
    <b:RefOrder>32</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33</b:RefOrder>
  </b:Source>
  <b:Source>
    <b:Tag>Law93</b:Tag>
    <b:SourceType>JournalArticle</b:SourceType>
    <b:Guid>{D5B03241-330B-4672-AAA1-482823B2D249}</b:Guid>
    <b:Author>
      <b:Author>
        <b:NameList>
          <b:Person>
            <b:Last>Lawrence</b:Last>
            <b:First>Robert</b:First>
            <b:Middle>Z.</b:Middle>
          </b:Person>
          <b:Person>
            <b:Last>Slaughter</b:Last>
            <b:First>Matthew</b:First>
            <b:Middle>J.</b:Middle>
          </b:Person>
        </b:NameList>
      </b:Author>
    </b:Author>
    <b:Title>International Trade and American Wages in the 1980s: Giant Sucking sound or Small Hiccup?</b:Title>
    <b:JournalName>Brookings Papers on Economic Activity</b:JournalName>
    <b:Year>1993</b:Year>
    <b:Pages>161-226</b:Pages>
    <b:RefOrder>34</b:RefOrder>
  </b:Source>
  <b:Source>
    <b:Tag>Bro19</b:Tag>
    <b:SourceType>InternetSite</b:SourceType>
    <b:Guid>{653D55F2-86BF-4163-9DCE-EFE79B1C2260}</b:Guid>
    <b:Title>Is the link between labour productivity and wage growth still alive in the UK?</b:Title>
    <b:Year>2019</b:Year>
    <b:Author>
      <b:Author>
        <b:NameList>
          <b:Person>
            <b:Last>Brocek</b:Last>
            <b:First>Frantisek</b:First>
          </b:Person>
        </b:NameList>
      </b:Author>
    </b:Author>
    <b:InternetSiteTitle>Fraser of Allander Institute</b:InternetSiteTitle>
    <b:Month>August</b:Month>
    <b:Day>26</b:Day>
    <b:URL>https://fraserofallander.org/link-labour-productivity-wage-growth-uk/</b:URL>
    <b:ProductionCompany>University of Strathclyde</b:ProductionCompany>
    <b:RefOrder>12</b:RefOrder>
  </b:Source>
  <b:Source>
    <b:Tag>Fel08</b:Tag>
    <b:SourceType>JournalArticle</b:SourceType>
    <b:Guid>{18C97105-0F43-4DBA-8C4B-1DCE7FC91343}</b:Guid>
    <b:Author>
      <b:Author>
        <b:NameList>
          <b:Person>
            <b:Last>Feldstein</b:Last>
            <b:First>Martin</b:First>
          </b:Person>
        </b:NameList>
      </b:Author>
    </b:Author>
    <b:Title>Did wages reflect growth in productivity?</b:Title>
    <b:JournalName>Journal of Policy Modeling</b:JournalName>
    <b:Year>2008</b:Year>
    <b:Pages>591-594</b:Pages>
    <b:RefOrder>35</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36</b:RefOrder>
  </b:Source>
  <b:Source>
    <b:Tag>LSE25</b:Tag>
    <b:SourceType>InternetSite</b:SourceType>
    <b:Guid>{8D04BBC0-8172-4A6D-B3AB-634E2EC47E50}</b:Guid>
    <b:Title>Wages of typical UK employee have become decoupled from productivity</b:Title>
    <b:Year>2021</b:Year>
    <b:Author>
      <b:Author>
        <b:Corporate>LSE News</b:Corporate>
      </b:Author>
    </b:Author>
    <b:URL>https://www.lse.ac.uk/News/Latest-news-from-LSE/2021/k-November-21/Wages-of-typical-UK-employee-have-become-decoupled-from-productivity</b:URL>
    <b:RefOrder>9</b:RefOrder>
  </b:Source>
  <b:Source>
    <b:Tag>Car16</b:Tag>
    <b:SourceType>JournalArticle</b:SourceType>
    <b:Guid>{38FD2E67-CD98-4EA7-B023-5B1665B1F00F}</b:Guid>
    <b:Title>Wage Adjustment and Productivity Shocks</b:Title>
    <b:Year>2016</b:Year>
    <b:Author>
      <b:Author>
        <b:NameList>
          <b:Person>
            <b:Last>Carlsson</b:Last>
            <b:First>Mikael</b:First>
          </b:Person>
          <b:Person>
            <b:Last>Messina</b:Last>
            <b:First>Julián</b:First>
          </b:Person>
          <b:Person>
            <b:Last>Skans</b:Last>
            <b:First>Oskar</b:First>
            <b:Middle>Nordstrom</b:Middle>
          </b:Person>
        </b:NameList>
      </b:Author>
    </b:Author>
    <b:JournalName>The Economic Journal</b:JournalName>
    <b:Pages>1739-1773</b:Pages>
    <b:Volume>126</b:Volume>
    <b:Issue>595</b:Issue>
    <b:RefOrder>10</b:RefOrder>
  </b:Source>
  <b:Source>
    <b:Tag>Laz16</b:Tag>
    <b:SourceType>JournalArticle</b:SourceType>
    <b:Guid>{6FC8453D-EBAC-448C-AD9D-7B32A7839B03}</b:Guid>
    <b:Author>
      <b:Author>
        <b:NameList>
          <b:Person>
            <b:Last>Lazear</b:Last>
            <b:First>Edward</b:First>
            <b:Middle>P.</b:Middle>
          </b:Person>
          <b:Person>
            <b:Last>Shaw</b:Last>
            <b:First>Katheryn</b:First>
            <b:Middle>L.</b:Middle>
          </b:Person>
          <b:Person>
            <b:Last>Stanton</b:Last>
            <b:First>Christopher</b:First>
          </b:Person>
        </b:NameList>
      </b:Author>
    </b:Author>
    <b:Title>Making Do with Less: Working Harder during Recessions</b:Title>
    <b:JournalName>Labor Economics</b:JournalName>
    <b:Year>2016</b:Year>
    <b:Pages>S333-S360</b:Pages>
    <b:Volume>34</b:Volume>
    <b:Issue>51</b:Issue>
    <b:RefOrder>11</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6</b:RefOrder>
  </b:Source>
  <b:Source>
    <b:Tag>Tuc17</b:Tag>
    <b:SourceType>InternetSite</b:SourceType>
    <b:Guid>{8CFD3CD8-2A6A-4169-A125-B9C040BEA429}</b:Guid>
    <b:Title>Does productivity drive wages? Evidence from sectoral data</b:Title>
    <b:Year>2017</b:Year>
    <b:URL>https://bankunderground.co.uk/2017/03/30/does-productivity-drive-wages-evidence-from-sectoral-data/</b:URL>
    <b:Author>
      <b:Author>
        <b:NameList>
          <b:Person>
            <b:Last>Tuckett</b:Last>
            <b:First>Alex</b:First>
          </b:Person>
        </b:NameList>
      </b:Author>
    </b:Author>
    <b:RefOrder>8</b:RefOrder>
  </b:Source>
  <b:Source>
    <b:Tag>Biv17</b:Tag>
    <b:SourceType>DocumentFromInternetSite</b:SourceType>
    <b:Guid>{A0D5865B-7F5F-4FCE-899C-AD5552F79C05}</b:Guid>
    <b:Title>New paper on pay-productivity link does not overturn EPI findings</b:Title>
    <b:Year>2017</b:Year>
    <b:URL>https://www.epi.org/blog/new-paper-on-pay-productivity-link-does-not-overturn-epi-findings/</b:URL>
    <b:Author>
      <b:Author>
        <b:NameList>
          <b:Person>
            <b:Last>Bivens</b:Last>
            <b:First>Josh</b:First>
          </b:Person>
          <b:Person>
            <b:Last>Mishel</b:Last>
            <b:First>Lawrence</b:First>
          </b:Person>
        </b:NameList>
      </b:Author>
    </b:Author>
    <b:Month>November</b:Month>
    <b:Day>9</b:Day>
    <b:RefOrder>23</b:RefOrder>
  </b:Source>
  <b:Source>
    <b:Tag>Nas22</b:Tag>
    <b:SourceType>JournalArticle</b:SourceType>
    <b:Guid>{443B2BEF-78DB-41BE-BFC5-71A473E204D6}</b:Guid>
    <b:Title>Asymmetric nexus between wages and productivity in the context of the global financial crisis</b:Title>
    <b:Year>2022</b:Year>
    <b:JournalName>Journal of Economic Behaviour and Organisation</b:JournalName>
    <b:Pages>164-175</b:Pages>
    <b:Author>
      <b:Author>
        <b:NameList>
          <b:Person>
            <b:Last>Nasir</b:Last>
            <b:Middle>Ali</b:Middle>
            <b:First>Muhammad</b:First>
          </b:Person>
          <b:Person>
            <b:Last>Wu</b:Last>
            <b:First>Junjie</b:First>
          </b:Person>
          <b:Person>
            <b:Last>Howes</b:Last>
            <b:First>Cameron</b:First>
          </b:Person>
          <b:Person>
            <b:Last>Ripley</b:Last>
            <b:First>Helen</b:First>
          </b:Person>
        </b:NameList>
      </b:Author>
    </b:Author>
    <b:RefOrder>18</b:RefOrder>
  </b:Source>
  <b:Source>
    <b:Tag>Bla22</b:Tag>
    <b:SourceType>InternetSite</b:SourceType>
    <b:Guid>{D9C86F18-9C3C-4C63-95DE-DC4DDA8413B8}</b:Guid>
    <b:Title>Olivier Blanchard</b:Title>
    <b:Year>2022</b:Year>
    <b:Author>
      <b:Author>
        <b:NameList>
          <b:Person>
            <b:Last>Blanchard</b:Last>
            <b:First>Olivier</b:First>
          </b:Person>
        </b:NameList>
      </b:Author>
    </b:Author>
    <b:Month>December</b:Month>
    <b:Day>30</b:Day>
    <b:InternetSiteTitle>X</b:InternetSiteTitle>
    <b:URL>https://x.com/ojblanchard1/status/1608967176232525824</b:URL>
    <b:RefOrder>16</b:RefOrder>
  </b:Source>
  <b:Source>
    <b:Tag>Bla04</b:Tag>
    <b:SourceType>Report</b:SourceType>
    <b:Guid>{71E1F378-DF69-4104-9EB5-F9A96A328782}</b:Guid>
    <b:Title>Explaining European Unemployment</b:Title>
    <b:Year>2004</b:Year>
    <b:Author>
      <b:Author>
        <b:NameList>
          <b:Person>
            <b:Last>Blanchard</b:Last>
            <b:First>Olivier</b:First>
          </b:Person>
        </b:NameList>
      </b:Author>
    </b:Author>
    <b:Publisher>NBER</b:Publisher>
    <b:RefOrder>15</b:RefOrder>
  </b:Source>
  <b:Source>
    <b:Tag>Row24</b:Tag>
    <b:SourceType>JournalArticle</b:SourceType>
    <b:Guid>{1E2E2A4D-A7F9-4C90-9BC0-E44337AD0CAA}</b:Guid>
    <b:Title>The Conflict Theory of Inflation Revisited</b:Title>
    <b:Year>2024</b:Year>
    <b:Author>
      <b:Author>
        <b:NameList>
          <b:Person>
            <b:Last>Rowthorn</b:Last>
            <b:First>Robert</b:First>
          </b:Person>
        </b:NameList>
      </b:Author>
    </b:Author>
    <b:JournalName>Review of Political Economy</b:JournalName>
    <b:Pages>1302-1313</b:Pages>
    <b:RefOrder>17</b:RefOrder>
  </b:Source>
  <b:Source>
    <b:Tag>Bra01</b:Tag>
    <b:SourceType>Report</b:SourceType>
    <b:Guid>{2BD012E7-A33A-46B5-AD9A-FE249410B8A8}</b:Guid>
    <b:Title>High Inflation and Real Wages</b:Title>
    <b:Year>2001</b:Year>
    <b:Author>
      <b:Author>
        <b:NameList>
          <b:Person>
            <b:Last>Braumann</b:Last>
            <b:First>Benedikt</b:First>
          </b:Person>
        </b:NameList>
      </b:Author>
    </b:Author>
    <b:Publisher>IMF</b:Publisher>
    <b:RefOrder>13</b:RefOrder>
  </b:Source>
  <b:Source>
    <b:Tag>Mis97</b:Tag>
    <b:SourceType>Report</b:SourceType>
    <b:Guid>{27AA4D84-4FE2-4C94-8794-533F3EC823FA}</b:Guid>
    <b:Title>Inflation Targeting: Lesson from four countries</b:Title>
    <b:Year>1997</b:Year>
    <b:Publisher>National Bureau of Economic Research</b:Publisher>
    <b:City>Cambridge, MA</b:City>
    <b:Author>
      <b:Author>
        <b:NameList>
          <b:Person>
            <b:Last>Mishkin</b:Last>
            <b:Middle>S.</b:Middle>
            <b:First>Frederic</b:First>
          </b:Person>
          <b:Person>
            <b:Last>Posen</b:Last>
            <b:Middle>S.</b:Middle>
            <b:First>Adam</b:First>
          </b:Person>
        </b:NameList>
      </b:Author>
    </b:Author>
    <b:RefOrder>14</b:RefOrder>
  </b:Source>
  <b:Source>
    <b:Tag>ONS241</b:Tag>
    <b:SourceType>DocumentFromInternetSite</b:SourceType>
    <b:Guid>{C95D50BC-18A8-40FA-9970-5E878B33626E}</b:Guid>
    <b:Author>
      <b:Author>
        <b:Corporate>ONS</b:Corporate>
      </b:Author>
    </b:Author>
    <b:Title>Earnings and hours worked, all employees: ASHE Table 1</b:Title>
    <b:InternetSiteTitle>Office for National Statistics</b:InternetSiteTitle>
    <b:Year>2024</b:Year>
    <b:Month>October</b:Month>
    <b:Day>29</b:Day>
    <b:URL>https://www.ons.gov.uk/employmentandlabourmarket/peopleinwork/earningsandworkinghours/datasets/allemployeesashetable1</b:URL>
    <b:RefOrder>20</b:RefOrder>
  </b:Source>
  <b:Source>
    <b:Tag>ONS254</b:Tag>
    <b:SourceType>DocumentFromInternetSite</b:SourceType>
    <b:Guid>{0D65968F-FBAA-4A18-BC7E-27D06A8BCC39}</b:Guid>
    <b:Title>CPI INDEX 00: ALL ITEMS 2015=100</b:Title>
    <b:Year>2025</b:Year>
    <b:Author>
      <b:Author>
        <b:Corporate>ONS</b:Corporate>
      </b:Author>
    </b:Author>
    <b:Month>26</b:Month>
    <b:Day>03</b:Day>
    <b:URL>https://www.ons.gov.uk/economy/inflationandpriceindices/timeseries/d7bt/mm23</b:URL>
    <b:RefOrder>4</b:RefOrder>
  </b:Source>
  <b:Source>
    <b:Tag>ONS255</b:Tag>
    <b:SourceType>DocumentFromInternetSite</b:SourceType>
    <b:Guid>{F56539FE-D2DB-4014-8BA2-066712434206}</b:Guid>
    <b:Author>
      <b:Author>
        <b:Corporate>ONS</b:Corporate>
      </b:Author>
    </b:Author>
    <b:Title>UNEM01 SA: Unemployment by age and duration (seasonally adjusted)</b:Title>
    <b:Year>2025</b:Year>
    <b:Month>March</b:Month>
    <b:Day>20</b:Day>
    <b:URL>https://www.ons.gov.uk/employmentandlabourmarket/peoplenotinwork/unemployment/datasets/unemploymentbyageanddurationseasonallyadjustedunem01sa</b:URL>
    <b:RefOrder>28</b:RefOrder>
  </b:Source>
  <b:Source>
    <b:Tag>Nga25</b:Tag>
    <b:SourceType>JournalArticle</b:SourceType>
    <b:Guid>{025E18C4-FA7F-4CDF-9532-03825F57306B}</b:Guid>
    <b:Title>A multisector perspective on wage stagnation</b:Title>
    <b:Year>2025</b:Year>
    <b:Author>
      <b:Author>
        <b:NameList>
          <b:Person>
            <b:Last>Ngai</b:Last>
            <b:First>Richard</b:First>
            <b:Middle>L.</b:Middle>
          </b:Person>
          <b:Person>
            <b:Last>Sevinc</b:Last>
            <b:First>Orhun</b:First>
          </b:Person>
        </b:NameList>
      </b:Author>
    </b:Author>
    <b:JournalName>Review of Economic Dynamics</b:JournalName>
    <b:Pages>1-18</b:Pages>
    <b:RefOrder>3</b:RefOrder>
  </b:Source>
  <b:Source>
    <b:Tag>Bau18</b:Tag>
    <b:SourceType>ElectronicSource</b:SourceType>
    <b:Guid>{AB1068FC-6697-4615-BDE1-E871F5D31E29}</b:Guid>
    <b:Title>CLEMAO_IO: Stata module to perform unit root tests with one or two structural breaks</b:Title>
    <b:Year>2018</b:Year>
    <b:Month>April</b:Month>
    <b:Day>13</b:Day>
    <b:Author>
      <b:Author>
        <b:NameList>
          <b:Person>
            <b:Last>Baum</b:Last>
            <b:First>Christopher</b:First>
            <b:Middle>F.</b:Middle>
          </b:Person>
        </b:NameList>
      </b:Author>
    </b:Author>
    <b:Publisher>Boston College Department of Economics</b:Publisher>
    <b:RefOrder>24</b:RefOrder>
  </b:Source>
  <b:Source>
    <b:Tag>Per92</b:Tag>
    <b:SourceType>JournalArticle</b:SourceType>
    <b:Guid>{3508E80A-5FEB-422F-9FF6-95D6924ABFC1}</b:Guid>
    <b:Title>Nonstationarity and Level Shifts with an Application to Purchasing Power Parity</b:Title>
    <b:Year>1992</b:Year>
    <b:Author>
      <b:Author>
        <b:NameList>
          <b:Person>
            <b:Last>Perron</b:Last>
            <b:First>Pierre</b:First>
          </b:Person>
          <b:Person>
            <b:Last>Vogelsang</b:Last>
            <b:First>Timothy</b:First>
            <b:Middle>J.</b:Middle>
          </b:Person>
        </b:NameList>
      </b:Author>
    </b:Author>
    <b:JournalName>Journal of Business &amp; Economic Statistics</b:JournalName>
    <b:Pages>301-320</b:Pages>
    <b:RefOrder>25</b:RefOrder>
  </b:Source>
  <b:Source>
    <b:Tag>Ban24</b:Tag>
    <b:SourceType>DocumentFromInternetSite</b:SourceType>
    <b:Guid>{A868253E-48AB-4255-8C3B-DF9C03E198DA}</b:Guid>
    <b:Title>Research datasets</b:Title>
    <b:Year>2024</b:Year>
    <b:Author>
      <b:Author>
        <b:Corporate>Bank of England</b:Corporate>
      </b:Author>
    </b:Author>
    <b:InternetSiteTitle>Bank of England</b:InternetSiteTitle>
    <b:Month>December</b:Month>
    <b:Day>04</b:Day>
    <b:URL>https://www.bankofengland.co.uk/statistics/research-datasets</b:URL>
    <b:RefOrder>26</b:RefOrder>
  </b:Source>
  <b:Source>
    <b:Tag>ONS231</b:Tag>
    <b:SourceType>DocumentFromInternetSite</b:SourceType>
    <b:Guid>{7B1F46A1-2858-4608-9429-5705E04A4F77}</b:Guid>
    <b:Title>Average weekly earnings 1968 to 2023</b:Title>
    <b:Year>2023</b:Year>
    <b:Author>
      <b:Author>
        <b:Corporate>ONS</b:Corporate>
      </b:Author>
    </b:Author>
    <b:InternetSiteTitle>Office for National Statistics</b:InternetSiteTitle>
    <b:Month>September</b:Month>
    <b:Day>22</b:Day>
    <b:URL>https://www.ons.gov.uk/aboutus/transparencyandgovernance/freedomofinformationfoi/averageweeklyearnings1968to2023</b:URL>
    <b:RefOrder>37</b:RefOrder>
  </b:Source>
  <b:Source>
    <b:Tag>ONS242</b:Tag>
    <b:SourceType>DocumentFromInternetSite</b:SourceType>
    <b:Guid>{05532422-2BE4-4DD0-9D6B-EDD03392FCB1}</b:Guid>
    <b:Author>
      <b:Author>
        <b:Corporate>ONS</b:Corporate>
      </b:Author>
    </b:Author>
    <b:Title>UK National Accounts, The Blue Book time series</b:Title>
    <b:InternetSiteTitle>Office for National Statistics</b:InternetSiteTitle>
    <b:Year>2024</b:Year>
    <b:Month>October</b:Month>
    <b:Day>31</b:Day>
    <b:URL>https://www.ons.gov.uk/economy/grossdomesticproductgdp/datasets/bluebook/current</b:URL>
    <b:RefOrder>38</b:RefOrder>
  </b:Source>
  <b:Source>
    <b:Tag>ONS22</b:Tag>
    <b:SourceType>DocumentFromInternetSite</b:SourceType>
    <b:Guid>{17415E84-12D0-4636-B4A9-01222DB25D09}</b:Guid>
    <b:Author>
      <b:Author>
        <b:Corporate>ONS</b:Corporate>
      </b:Author>
    </b:Author>
    <b:Title>Labour productivity by industry division</b:Title>
    <b:InternetSiteTitle>Office for National Statistics</b:InternetSiteTitle>
    <b:Year>2022</b:Year>
    <b:Month>January</b:Month>
    <b:Day>11</b:Day>
    <b:URL>https://www.ons.gov.uk/economy/economicoutputandproductivity/productivitymeasures/datasets/labourproductivitybyindustrydivision</b:URL>
    <b:RefOrder>39</b:RefOrder>
  </b:Source>
  <b:Source>
    <b:Tag>ONS252</b:Tag>
    <b:SourceType>DocumentFromInternetSite</b:SourceType>
    <b:Guid>{A1376BF6-9593-4DE6-9CE6-4C1A5118BCF2}</b:Guid>
    <b:Author>
      <b:Author>
        <b:Corporate>ONS</b:Corporate>
      </b:Author>
    </b:Author>
    <b:Title>Labour productivity time series</b:Title>
    <b:InternetSiteTitle>Office for National Statistics</b:InternetSiteTitle>
    <b:Year>2025</b:Year>
    <b:Month>February</b:Month>
    <b:Day>18</b:Day>
    <b:URL>https://www.ons.gov.uk/employmentandlabourmarket/peopleinwork/labourproductivity/datasets/labourproductivity</b:URL>
    <b:RefOrder>27</b:RefOrder>
  </b:Source>
  <b:Source>
    <b:Tag>LuX14</b:Tag>
    <b:SourceType>JournalArticle</b:SourceType>
    <b:Guid>{DD520BB2-5592-4D31-BD80-FBBB96BF9EB0}</b:Guid>
    <b:Title>Robustness checks and robustness tests in applied economics</b:Title>
    <b:Year>2014</b:Year>
    <b:Author>
      <b:Author>
        <b:NameList>
          <b:Person>
            <b:Last>Lu</b:Last>
            <b:First>Xun</b:First>
          </b:Person>
          <b:Person>
            <b:Last>White</b:Last>
            <b:First>Halbert</b:First>
          </b:Person>
        </b:NameList>
      </b:Author>
    </b:Author>
    <b:JournalName>Journal of econometrics</b:JournalName>
    <b:Pages>194-206</b:Pages>
    <b:RefOrder>19</b:RefOrder>
  </b:Source>
  <b:Source>
    <b:Tag>Gab16</b:Tag>
    <b:SourceType>JournalArticle</b:SourceType>
    <b:Guid>{47A7CE34-BDCF-4792-9772-FBD01632C81E}</b:Guid>
    <b:Author>
      <b:Author>
        <b:NameList>
          <b:Person>
            <b:Last>Gabaix</b:Last>
            <b:First>Xavier</b:First>
          </b:Person>
          <b:Person>
            <b:Last>Lasry</b:Last>
            <b:First>Jean-Michel</b:First>
          </b:Person>
          <b:Person>
            <b:Last>Lions</b:Last>
            <b:First>Pierre-Louis</b:First>
          </b:Person>
          <b:Person>
            <b:Last>Moll</b:Last>
            <b:First>Benjamin</b:First>
          </b:Person>
        </b:NameList>
      </b:Author>
    </b:Author>
    <b:Title>The Dynamics of Inequality</b:Title>
    <b:JournalName>Econometrica</b:JournalName>
    <b:Year>2016</b:Year>
    <b:Pages>2071-2111</b:Pages>
    <b:RefOrder>40</b:RefOrder>
  </b:Source>
  <b:Source>
    <b:Tag>ONS253</b:Tag>
    <b:SourceType>DocumentFromInternetSite</b:SourceType>
    <b:Guid>{494D021F-ACF7-41A8-AF32-F5366CC133DE}</b:Guid>
    <b:Author>
      <b:Author>
        <b:Corporate>ONS</b:Corporate>
      </b:Author>
    </b:Author>
    <b:Title>Labour costs and labour income, UK</b:Title>
    <b:InternetSiteTitle>Office for National Statistics</b:InternetSiteTitle>
    <b:Year>2025</b:Year>
    <b:Month>February</b:Month>
    <b:Day>18</b:Day>
    <b:URL>https://www.ons.gov.uk/economy/economicoutputandproductivity/productivitymeasures/datasets/labourcostsandlabourshare</b:URL>
    <b:RefOrder>41</b:RefOrder>
  </b:Source>
  <b:Source>
    <b:Tag>ONS256</b:Tag>
    <b:SourceType>DocumentFromInternetSite</b:SourceType>
    <b:Guid>{A5439734-1AA2-4DE9-BF2A-9EBC1C196864}</b:Guid>
    <b:Author>
      <b:Author>
        <b:Corporate>ONS</b:Corporate>
      </b:Author>
    </b:Author>
    <b:Title>Services Producer Price Inflation (SPPI) records</b:Title>
    <b:Year>2025</b:Year>
    <b:Month>April</b:Month>
    <b:Day>16</b:Day>
    <b:URL>https://www.ons.gov.uk/economy/inflationandpriceindices/datasets/servicesproducerpriceindexsppirecords</b:URL>
    <b:RefOrder>42</b:RefOrder>
  </b:Source>
  <b:Source>
    <b:Tag>ONS257</b:Tag>
    <b:SourceType>DocumentFromInternetSite</b:SourceType>
    <b:Guid>{EA0CDCEF-B14B-471A-9461-ACDD764E8DA5}</b:Guid>
    <b:Author>
      <b:Author>
        <b:Corporate>ONS</b:Corporate>
      </b:Author>
    </b:Author>
    <b:Title>Producer price inflation time series</b:Title>
    <b:Year>2025</b:Year>
    <b:Month>February</b:Month>
    <b:Day>19</b:Day>
    <b:URL>https://www.ons.gov.uk/economy/inflationandpriceindices/datasets/producerpriceindexstatisticalbulletindataset</b:URL>
    <b:RefOrder>43</b:RefOrder>
  </b:Source>
  <b:Source>
    <b:Tag>Sch17</b:Tag>
    <b:SourceType>Report</b:SourceType>
    <b:Guid>{DE1069F1-7700-4768-8EC6-03C9BBE48C63}</b:Guid>
    <b:Title>Decoupling of wages from productivity: Macro-level facts</b:Title>
    <b:Year>2017</b:Year>
    <b:Author>
      <b:Author>
        <b:NameList>
          <b:Person>
            <b:Last>Schwellnus</b:Last>
            <b:First>Cyrille</b:First>
          </b:Person>
          <b:Person>
            <b:Last>Kappeler</b:Last>
            <b:First>Andreas</b:First>
          </b:Person>
          <b:Person>
            <b:Last>Pionnier</b:Last>
            <b:First>Pierre-Alain</b:First>
          </b:Person>
        </b:NameList>
      </b:Author>
    </b:Author>
    <b:Publisher>OECD</b:Publisher>
    <b:RefOrder>44</b:RefOrder>
  </b:Source>
  <b:Source>
    <b:Tag>OEC17</b:Tag>
    <b:SourceType>Report</b:SourceType>
    <b:Guid>{FB4B2FAA-A9A3-47EA-A0A5-86F1E3BDF597}</b:Guid>
    <b:Author>
      <b:Author>
        <b:Corporate>OECD</b:Corporate>
      </b:Author>
    </b:Author>
    <b:Title>DECOUPLING OF WAGES FROM PRODUCTIVITY: WHAT IMPLICATIONS FOR PUBLIC POLICIES?</b:Title>
    <b:Year>2017</b:Year>
    <b:Publisher>OECD</b:Publisher>
    <b:RefOrder>21</b:RefOrder>
  </b:Source>
  <b:Source>
    <b:Tag>Bar17</b:Tag>
    <b:SourceType>Report</b:SourceType>
    <b:Guid>{758963F1-770D-4912-943B-A1AC6F8D3BF5}</b:Guid>
    <b:Title>Union Density, Productivity, and Wages</b:Title>
    <b:Year>2017</b:Year>
    <b:Author>
      <b:Author>
        <b:NameList>
          <b:Person>
            <b:Last>Barth</b:Last>
            <b:First>Earling</b:First>
          </b:Person>
          <b:Person>
            <b:Last>Bryson</b:Last>
            <b:First>Alex</b:First>
          </b:Person>
          <b:Person>
            <b:Last>Dale-Olsen</b:Last>
            <b:First>Harald</b:First>
          </b:Person>
        </b:NameList>
      </b:Author>
    </b:Author>
    <b:Publisher>NIESR</b:Publisher>
    <b:RefOrder>45</b:RefOrder>
  </b:Source>
  <b:Source>
    <b:Tag>Dou03</b:Tag>
    <b:SourceType>JournalArticle</b:SourceType>
    <b:Guid>{98C301EF-7955-4543-B95D-AED2AE175CB9}</b:Guid>
    <b:Title>What do Unions do to Productivity? A Meta-Analysis</b:Title>
    <b:Year>2003</b:Year>
    <b:Author>
      <b:Author>
        <b:NameList>
          <b:Person>
            <b:Last>Doucouliagos</b:Last>
            <b:First>Christos</b:First>
          </b:Person>
          <b:Person>
            <b:Last>Laroche</b:Last>
            <b:First>Patrice</b:First>
          </b:Person>
        </b:NameList>
      </b:Author>
    </b:Author>
    <b:JournalName>Industrial Relations</b:JournalName>
    <b:Pages>650-691</b:Pages>
    <b:RefOrder>46</b:RefOrder>
  </b:Source>
  <b:Source>
    <b:Tag>Cas14</b:Tag>
    <b:SourceType>Report</b:SourceType>
    <b:Guid>{7877D663-F1A9-4E32-9399-0387C605E55E}</b:Guid>
    <b:Author>
      <b:Author>
        <b:NameList>
          <b:Person>
            <b:Last>Casanova</b:Last>
            <b:First>Julián</b:First>
          </b:Person>
          <b:Person>
            <b:Last>Andrés</b:Last>
            <b:First>Carlos</b:First>
            <b:Middle>Gil</b:Middle>
          </b:Person>
        </b:NameList>
      </b:Author>
    </b:Author>
    <b:Title>Twentieth-Century Spain: A History</b:Title>
    <b:Year>2014</b:Year>
    <b:Publisher>Cambridge University Press</b:Publisher>
    <b:City>Cambridge</b:City>
    <b:RefOrder>47</b:RefOrder>
  </b:Source>
  <b:Source>
    <b:Tag>Bel19</b:Tag>
    <b:SourceType>Report</b:SourceType>
    <b:Guid>{C3E692D9-6A18-408A-95F5-E7B6788F55B0}</b:Guid>
    <b:Author>
      <b:Author>
        <b:NameList>
          <b:Person>
            <b:Last>Bell</b:Last>
            <b:First>Brian</b:First>
          </b:Person>
          <b:Person>
            <b:Last>Bukowski</b:Last>
            <b:First>Pawel</b:First>
          </b:Person>
          <b:Person>
            <b:Last>Machin</b:Last>
            <b:First>Stephen</b:First>
          </b:Person>
        </b:NameList>
      </b:Author>
    </b:Author>
    <b:Title>Rent Sharing and Inclusive Growth</b:Title>
    <b:Year>2019</b:Year>
    <b:Publisher>LSE</b:Publisher>
    <b:RefOrder>22</b:RefOrder>
  </b:Source>
  <b:Source>
    <b:Tag>Ake90</b:Tag>
    <b:SourceType>JournalArticle</b:SourceType>
    <b:Guid>{02CC428D-AD6C-4F8E-8C4B-527A0D871B35}</b:Guid>
    <b:Author>
      <b:Author>
        <b:NameList>
          <b:Person>
            <b:Last>Akerlof</b:Last>
            <b:First>George</b:First>
            <b:Middle>A.</b:Middle>
          </b:Person>
          <b:Person>
            <b:Last>Yellen</b:Last>
            <b:First>Janet</b:First>
            <b:Middle>L.</b:Middle>
          </b:Person>
        </b:NameList>
      </b:Author>
    </b:Author>
    <b:Title>The Fair Wage-Effort Hypothesis and Unemployment</b:Title>
    <b:JournalName>The Quarterly Journal of Economics</b:JournalName>
    <b:Year>1990</b:Year>
    <b:Pages>255-283</b:Pages>
    <b:RefOrder>48</b:RefOrder>
  </b:Source>
  <b:Source>
    <b:Tag>ONS25</b:Tag>
    <b:SourceType>DocumentFromInternetSite</b:SourceType>
    <b:Guid>{074E478E-45AE-4AAC-92A4-DAE05A1B89D2}</b:Guid>
    <b:Author>
      <b:Author>
        <b:Corporate>ONS</b:Corporate>
      </b:Author>
    </b:Author>
    <b:Title>A05 SA: Employment, unemployment and economic inactivity by age group (seasonally adjusted)</b:Title>
    <b:InternetSiteTitle>Office for National Statistics</b:InternetSiteTitle>
    <b:Year>2025</b:Year>
    <b:Month>March</b:Month>
    <b:Day>25</b:Day>
    <b:URL>https://www.ons.gov.uk/employmentandlabourmarket/peopleinwork/employmentandemployeetypes/datasets/employmentunemploymentandeconomicinactivitybyagegroupseasonallyadjusteda05sa</b:URL>
    <b:RefOrder>49</b:RefOrder>
  </b:Source>
</b:Sources>
</file>

<file path=customXml/itemProps1.xml><?xml version="1.0" encoding="utf-8"?>
<ds:datastoreItem xmlns:ds="http://schemas.openxmlformats.org/officeDocument/2006/customXml" ds:itemID="{C71E5E60-F7A2-42B9-9FF5-A47A7644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7511</TotalTime>
  <Pages>3</Pages>
  <Words>8218</Words>
  <Characters>46845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cp:lastPrinted>2025-05-22T10:45:00Z</cp:lastPrinted>
  <dcterms:created xsi:type="dcterms:W3CDTF">2025-05-18T14:51:00Z</dcterms:created>
  <dcterms:modified xsi:type="dcterms:W3CDTF">2025-06-09T15:51:00Z</dcterms:modified>
</cp:coreProperties>
</file>