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16368" w14:textId="765BF4AD" w:rsidR="0035443B" w:rsidRDefault="00523292" w:rsidP="00523292">
      <w:pPr>
        <w:pStyle w:val="Title"/>
      </w:pPr>
      <w:r>
        <w:t>The Preston Model</w:t>
      </w:r>
      <w:r w:rsidR="00AA7468">
        <w:t xml:space="preserve">: </w:t>
      </w:r>
      <w:r w:rsidR="00E80507">
        <w:t>A difference-in-differences analysis of a new economic framework</w:t>
      </w:r>
    </w:p>
    <w:p w14:paraId="0B886D8F" w14:textId="5F1B427C" w:rsidR="00523292" w:rsidRDefault="00523292" w:rsidP="00523292">
      <w:pPr>
        <w:pStyle w:val="Heading1"/>
      </w:pPr>
      <w:r>
        <w:t>Background</w:t>
      </w:r>
    </w:p>
    <w:p w14:paraId="586D0A6E" w14:textId="77777777" w:rsidR="00AA7468" w:rsidRDefault="00BE2EA1" w:rsidP="00BE2EA1">
      <w:r>
        <w:t xml:space="preserve">The city of Preston, prior to their implementation of </w:t>
      </w:r>
      <w:r w:rsidR="00DD67C8">
        <w:t xml:space="preserve">Community Wealth Building (CWB) </w:t>
      </w:r>
      <w:r>
        <w:t xml:space="preserve">– the </w:t>
      </w:r>
      <w:r w:rsidR="00DD67C8">
        <w:t>precise</w:t>
      </w:r>
      <w:r>
        <w:t xml:space="preserve"> nature of which is now known as the Preston Model </w:t>
      </w:r>
      <w:sdt>
        <w:sdtPr>
          <w:id w:val="1707831034"/>
          <w:citation/>
        </w:sdtPr>
        <w:sdtContent>
          <w:r w:rsidR="00DD67C8">
            <w:fldChar w:fldCharType="begin"/>
          </w:r>
          <w:r w:rsidR="00DD67C8">
            <w:instrText xml:space="preserve"> CITATION Pre19 \l 2057 </w:instrText>
          </w:r>
          <w:r w:rsidR="00DD67C8">
            <w:fldChar w:fldCharType="separate"/>
          </w:r>
          <w:r w:rsidR="00DD67C8">
            <w:rPr>
              <w:noProof/>
            </w:rPr>
            <w:t>(Preston City Council, 2019)</w:t>
          </w:r>
          <w:r w:rsidR="00DD67C8">
            <w:fldChar w:fldCharType="end"/>
          </w:r>
        </w:sdtContent>
      </w:sdt>
      <w:r w:rsidR="00DD67C8">
        <w:t xml:space="preserve"> </w:t>
      </w:r>
      <w:r>
        <w:t xml:space="preserve">– suffered from </w:t>
      </w:r>
      <w:r w:rsidR="00DD67C8">
        <w:t xml:space="preserve">a variety of detrimental health and economic problems. </w:t>
      </w:r>
    </w:p>
    <w:p w14:paraId="33E8FFB7" w14:textId="36FB90A0" w:rsidR="00AA7468" w:rsidRDefault="00AA7468" w:rsidP="00AA7468">
      <w:pPr>
        <w:pStyle w:val="Heading2"/>
      </w:pPr>
      <w:r>
        <w:t>What Problems was Preston Experiencing?</w:t>
      </w:r>
    </w:p>
    <w:p w14:paraId="75E30063" w14:textId="6A35FAF2" w:rsidR="00DD67C8" w:rsidRDefault="00DD67C8" w:rsidP="00BE2EA1">
      <w:r>
        <w:t xml:space="preserve">In 2010, 2-3 years prior to the implementation of CWB, </w:t>
      </w:r>
      <w:r w:rsidR="00D0238F">
        <w:t>the median</w:t>
      </w:r>
      <w:r>
        <w:t xml:space="preserve"> Lower layer Super Output Area (LSOA) (an LSOA is a collection of typically four or five Output Areas (OAs) which are the lowest level of geographical area for census statistics; an LSOA will typically contain 1,000-1,300 residents </w:t>
      </w:r>
      <w:sdt>
        <w:sdtPr>
          <w:id w:val="1588418587"/>
          <w:citation/>
        </w:sdtPr>
        <w:sdtContent>
          <w:r>
            <w:fldChar w:fldCharType="begin"/>
          </w:r>
          <w:r>
            <w:instrText xml:space="preserve"> CITATION Off23 \l 2057 </w:instrText>
          </w:r>
          <w:r>
            <w:fldChar w:fldCharType="separate"/>
          </w:r>
          <w:r>
            <w:rPr>
              <w:noProof/>
            </w:rPr>
            <w:t>(Office for National Statistics, 2023)</w:t>
          </w:r>
          <w:r>
            <w:fldChar w:fldCharType="end"/>
          </w:r>
        </w:sdtContent>
      </w:sdt>
      <w:r>
        <w:t>)</w:t>
      </w:r>
      <w:r w:rsidR="00BE4EB8">
        <w:t xml:space="preserve"> in Preston </w:t>
      </w:r>
      <w:r w:rsidR="00D0238F">
        <w:t>ranked in the bottom 40% on the Index of Multiple Deprivation (IMD)</w:t>
      </w:r>
      <w:r w:rsidR="00872F6B">
        <w:t>, as seen in figures 1 and 2.</w:t>
      </w:r>
    </w:p>
    <w:tbl>
      <w:tblPr>
        <w:tblW w:w="3539" w:type="dxa"/>
        <w:jc w:val="center"/>
        <w:tblLook w:val="04A0" w:firstRow="1" w:lastRow="0" w:firstColumn="1" w:lastColumn="0" w:noHBand="0" w:noVBand="1"/>
      </w:tblPr>
      <w:tblGrid>
        <w:gridCol w:w="846"/>
        <w:gridCol w:w="2693"/>
      </w:tblGrid>
      <w:tr w:rsidR="00D0238F" w:rsidRPr="00D0238F" w14:paraId="50FD2267" w14:textId="77777777" w:rsidTr="00D0238F">
        <w:trPr>
          <w:trHeight w:val="255"/>
          <w:jc w:val="center"/>
        </w:trPr>
        <w:tc>
          <w:tcPr>
            <w:tcW w:w="846"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6F5F833" w14:textId="77777777" w:rsidR="00D0238F" w:rsidRPr="00D0238F" w:rsidRDefault="00D0238F" w:rsidP="00D0238F">
            <w:pPr>
              <w:spacing w:after="0" w:line="240" w:lineRule="auto"/>
              <w:rPr>
                <w:rFonts w:ascii="Arial" w:eastAsia="Times New Roman" w:hAnsi="Arial" w:cs="Arial"/>
                <w:b/>
                <w:bCs/>
                <w:color w:val="000000"/>
                <w:kern w:val="0"/>
                <w:sz w:val="20"/>
                <w:szCs w:val="20"/>
                <w:lang w:eastAsia="en-GB"/>
                <w14:ligatures w14:val="none"/>
              </w:rPr>
            </w:pPr>
            <w:r w:rsidRPr="00D0238F">
              <w:rPr>
                <w:rFonts w:ascii="Arial" w:eastAsia="Times New Roman" w:hAnsi="Arial" w:cs="Arial"/>
                <w:b/>
                <w:bCs/>
                <w:color w:val="000000"/>
                <w:kern w:val="0"/>
                <w:sz w:val="20"/>
                <w:szCs w:val="20"/>
                <w:lang w:eastAsia="en-GB"/>
                <w14:ligatures w14:val="none"/>
              </w:rPr>
              <w:t>Decile</w:t>
            </w:r>
          </w:p>
        </w:tc>
        <w:tc>
          <w:tcPr>
            <w:tcW w:w="2693"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53F85CE" w14:textId="698E8F93" w:rsidR="00D0238F" w:rsidRPr="00D0238F" w:rsidRDefault="00D0238F" w:rsidP="00D0238F">
            <w:pPr>
              <w:spacing w:after="0" w:line="240" w:lineRule="auto"/>
              <w:rPr>
                <w:rFonts w:ascii="Arial" w:eastAsia="Times New Roman" w:hAnsi="Arial" w:cs="Arial"/>
                <w:b/>
                <w:bCs/>
                <w:color w:val="000000"/>
                <w:kern w:val="0"/>
                <w:sz w:val="20"/>
                <w:szCs w:val="20"/>
                <w:lang w:eastAsia="en-GB"/>
                <w14:ligatures w14:val="none"/>
              </w:rPr>
            </w:pPr>
            <w:r w:rsidRPr="00D0238F">
              <w:rPr>
                <w:rFonts w:ascii="Arial" w:eastAsia="Times New Roman" w:hAnsi="Arial" w:cs="Arial"/>
                <w:b/>
                <w:bCs/>
                <w:color w:val="000000"/>
                <w:kern w:val="0"/>
                <w:sz w:val="20"/>
                <w:szCs w:val="20"/>
                <w:lang w:eastAsia="en-GB"/>
                <w14:ligatures w14:val="none"/>
              </w:rPr>
              <w:t>UK 2010</w:t>
            </w:r>
            <w:r>
              <w:rPr>
                <w:rFonts w:ascii="Arial" w:eastAsia="Times New Roman" w:hAnsi="Arial" w:cs="Arial"/>
                <w:b/>
                <w:bCs/>
                <w:color w:val="000000"/>
                <w:kern w:val="0"/>
                <w:sz w:val="20"/>
                <w:szCs w:val="20"/>
                <w:lang w:eastAsia="en-GB"/>
                <w14:ligatures w14:val="none"/>
              </w:rPr>
              <w:t xml:space="preserve"> IMD Distribution</w:t>
            </w:r>
          </w:p>
        </w:tc>
      </w:tr>
      <w:tr w:rsidR="00D0238F" w:rsidRPr="00D0238F" w14:paraId="70A3F6E4" w14:textId="77777777" w:rsidTr="00D0238F">
        <w:trPr>
          <w:trHeight w:val="255"/>
          <w:jc w:val="center"/>
        </w:trPr>
        <w:tc>
          <w:tcPr>
            <w:tcW w:w="84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A1D98D8" w14:textId="77777777" w:rsidR="00D0238F" w:rsidRPr="00D0238F" w:rsidRDefault="00D0238F" w:rsidP="00D0238F">
            <w:pPr>
              <w:spacing w:after="0" w:line="240" w:lineRule="auto"/>
              <w:jc w:val="right"/>
              <w:rPr>
                <w:rFonts w:ascii="Arial" w:eastAsia="Times New Roman" w:hAnsi="Arial" w:cs="Arial"/>
                <w:b/>
                <w:bCs/>
                <w:color w:val="000000"/>
                <w:kern w:val="0"/>
                <w:sz w:val="20"/>
                <w:szCs w:val="20"/>
                <w:lang w:eastAsia="en-GB"/>
                <w14:ligatures w14:val="none"/>
              </w:rPr>
            </w:pPr>
            <w:r w:rsidRPr="00D0238F">
              <w:rPr>
                <w:rFonts w:ascii="Arial" w:eastAsia="Times New Roman" w:hAnsi="Arial" w:cs="Arial"/>
                <w:b/>
                <w:bCs/>
                <w:color w:val="000000"/>
                <w:kern w:val="0"/>
                <w:sz w:val="20"/>
                <w:szCs w:val="20"/>
                <w:lang w:eastAsia="en-GB"/>
                <w14:ligatures w14:val="none"/>
              </w:rPr>
              <w:t>1</w:t>
            </w:r>
          </w:p>
        </w:tc>
        <w:tc>
          <w:tcPr>
            <w:tcW w:w="269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7D5E9F" w14:textId="63B98FE5" w:rsidR="00D0238F" w:rsidRPr="00D0238F" w:rsidRDefault="00D0238F" w:rsidP="00D0238F">
            <w:pPr>
              <w:spacing w:after="0" w:line="240" w:lineRule="auto"/>
              <w:jc w:val="right"/>
              <w:rPr>
                <w:rFonts w:ascii="Arial" w:eastAsia="Times New Roman" w:hAnsi="Arial" w:cs="Arial"/>
                <w:color w:val="000000"/>
                <w:kern w:val="0"/>
                <w:sz w:val="20"/>
                <w:szCs w:val="20"/>
                <w:lang w:eastAsia="en-GB"/>
                <w14:ligatures w14:val="none"/>
              </w:rPr>
            </w:pPr>
            <w:r>
              <w:rPr>
                <w:rFonts w:ascii="Arial" w:hAnsi="Arial" w:cs="Arial"/>
                <w:color w:val="000000"/>
                <w:sz w:val="20"/>
                <w:szCs w:val="20"/>
              </w:rPr>
              <w:t>5.77</w:t>
            </w:r>
          </w:p>
        </w:tc>
      </w:tr>
      <w:tr w:rsidR="00D0238F" w:rsidRPr="00D0238F" w14:paraId="1495F0C4" w14:textId="77777777" w:rsidTr="00D0238F">
        <w:trPr>
          <w:trHeight w:val="255"/>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436FDA" w14:textId="77777777" w:rsidR="00D0238F" w:rsidRPr="00D0238F" w:rsidRDefault="00D0238F" w:rsidP="00D0238F">
            <w:pPr>
              <w:spacing w:after="0" w:line="240" w:lineRule="auto"/>
              <w:jc w:val="right"/>
              <w:rPr>
                <w:rFonts w:ascii="Arial" w:eastAsia="Times New Roman" w:hAnsi="Arial" w:cs="Arial"/>
                <w:b/>
                <w:bCs/>
                <w:color w:val="000000"/>
                <w:kern w:val="0"/>
                <w:sz w:val="20"/>
                <w:szCs w:val="20"/>
                <w:lang w:eastAsia="en-GB"/>
                <w14:ligatures w14:val="none"/>
              </w:rPr>
            </w:pPr>
            <w:r w:rsidRPr="00D0238F">
              <w:rPr>
                <w:rFonts w:ascii="Arial" w:eastAsia="Times New Roman" w:hAnsi="Arial" w:cs="Arial"/>
                <w:b/>
                <w:bCs/>
                <w:color w:val="000000"/>
                <w:kern w:val="0"/>
                <w:sz w:val="20"/>
                <w:szCs w:val="20"/>
                <w:lang w:eastAsia="en-GB"/>
                <w14:ligatures w14:val="none"/>
              </w:rPr>
              <w:t>2</w:t>
            </w:r>
          </w:p>
        </w:tc>
        <w:tc>
          <w:tcPr>
            <w:tcW w:w="26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26F51A" w14:textId="7BFB9ADA" w:rsidR="00D0238F" w:rsidRPr="00D0238F" w:rsidRDefault="00D0238F" w:rsidP="00D0238F">
            <w:pPr>
              <w:spacing w:after="0" w:line="240" w:lineRule="auto"/>
              <w:jc w:val="right"/>
              <w:rPr>
                <w:rFonts w:ascii="Arial" w:eastAsia="Times New Roman" w:hAnsi="Arial" w:cs="Arial"/>
                <w:color w:val="000000"/>
                <w:kern w:val="0"/>
                <w:sz w:val="20"/>
                <w:szCs w:val="20"/>
                <w:lang w:eastAsia="en-GB"/>
                <w14:ligatures w14:val="none"/>
              </w:rPr>
            </w:pPr>
            <w:r>
              <w:rPr>
                <w:rFonts w:ascii="Arial" w:hAnsi="Arial" w:cs="Arial"/>
                <w:color w:val="000000"/>
                <w:sz w:val="20"/>
                <w:szCs w:val="20"/>
              </w:rPr>
              <w:t>8.49</w:t>
            </w:r>
          </w:p>
        </w:tc>
      </w:tr>
      <w:tr w:rsidR="00D0238F" w:rsidRPr="00D0238F" w14:paraId="55E98BFF" w14:textId="77777777" w:rsidTr="00D0238F">
        <w:trPr>
          <w:trHeight w:val="255"/>
          <w:jc w:val="center"/>
        </w:trPr>
        <w:tc>
          <w:tcPr>
            <w:tcW w:w="84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7424EAB" w14:textId="77777777" w:rsidR="00D0238F" w:rsidRPr="00D0238F" w:rsidRDefault="00D0238F" w:rsidP="00D0238F">
            <w:pPr>
              <w:spacing w:after="0" w:line="240" w:lineRule="auto"/>
              <w:jc w:val="right"/>
              <w:rPr>
                <w:rFonts w:ascii="Arial" w:eastAsia="Times New Roman" w:hAnsi="Arial" w:cs="Arial"/>
                <w:b/>
                <w:bCs/>
                <w:color w:val="000000"/>
                <w:kern w:val="0"/>
                <w:sz w:val="20"/>
                <w:szCs w:val="20"/>
                <w:lang w:eastAsia="en-GB"/>
                <w14:ligatures w14:val="none"/>
              </w:rPr>
            </w:pPr>
            <w:r w:rsidRPr="00D0238F">
              <w:rPr>
                <w:rFonts w:ascii="Arial" w:eastAsia="Times New Roman" w:hAnsi="Arial" w:cs="Arial"/>
                <w:b/>
                <w:bCs/>
                <w:color w:val="000000"/>
                <w:kern w:val="0"/>
                <w:sz w:val="20"/>
                <w:szCs w:val="20"/>
                <w:lang w:eastAsia="en-GB"/>
                <w14:ligatures w14:val="none"/>
              </w:rPr>
              <w:t>3</w:t>
            </w:r>
          </w:p>
        </w:tc>
        <w:tc>
          <w:tcPr>
            <w:tcW w:w="269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D0CA31" w14:textId="4355ACBA" w:rsidR="00D0238F" w:rsidRPr="00D0238F" w:rsidRDefault="00D0238F" w:rsidP="00D0238F">
            <w:pPr>
              <w:spacing w:after="0" w:line="240" w:lineRule="auto"/>
              <w:jc w:val="right"/>
              <w:rPr>
                <w:rFonts w:ascii="Arial" w:eastAsia="Times New Roman" w:hAnsi="Arial" w:cs="Arial"/>
                <w:color w:val="000000"/>
                <w:kern w:val="0"/>
                <w:sz w:val="20"/>
                <w:szCs w:val="20"/>
                <w:lang w:eastAsia="en-GB"/>
                <w14:ligatures w14:val="none"/>
              </w:rPr>
            </w:pPr>
            <w:r>
              <w:rPr>
                <w:rFonts w:ascii="Arial" w:hAnsi="Arial" w:cs="Arial"/>
                <w:color w:val="000000"/>
                <w:sz w:val="20"/>
                <w:szCs w:val="20"/>
              </w:rPr>
              <w:t>10.99</w:t>
            </w:r>
          </w:p>
        </w:tc>
      </w:tr>
      <w:tr w:rsidR="00D0238F" w:rsidRPr="00D0238F" w14:paraId="0ED94933" w14:textId="77777777" w:rsidTr="00D0238F">
        <w:trPr>
          <w:trHeight w:val="255"/>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C9970" w14:textId="77777777" w:rsidR="00D0238F" w:rsidRPr="00D0238F" w:rsidRDefault="00D0238F" w:rsidP="00D0238F">
            <w:pPr>
              <w:spacing w:after="0" w:line="240" w:lineRule="auto"/>
              <w:jc w:val="right"/>
              <w:rPr>
                <w:rFonts w:ascii="Arial" w:eastAsia="Times New Roman" w:hAnsi="Arial" w:cs="Arial"/>
                <w:b/>
                <w:bCs/>
                <w:color w:val="000000"/>
                <w:kern w:val="0"/>
                <w:sz w:val="20"/>
                <w:szCs w:val="20"/>
                <w:lang w:eastAsia="en-GB"/>
                <w14:ligatures w14:val="none"/>
              </w:rPr>
            </w:pPr>
            <w:r w:rsidRPr="00D0238F">
              <w:rPr>
                <w:rFonts w:ascii="Arial" w:eastAsia="Times New Roman" w:hAnsi="Arial" w:cs="Arial"/>
                <w:b/>
                <w:bCs/>
                <w:color w:val="000000"/>
                <w:kern w:val="0"/>
                <w:sz w:val="20"/>
                <w:szCs w:val="20"/>
                <w:lang w:eastAsia="en-GB"/>
                <w14:ligatures w14:val="none"/>
              </w:rPr>
              <w:t>4</w:t>
            </w:r>
          </w:p>
        </w:tc>
        <w:tc>
          <w:tcPr>
            <w:tcW w:w="26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875BCB" w14:textId="7755C689" w:rsidR="00D0238F" w:rsidRPr="00D0238F" w:rsidRDefault="00D0238F" w:rsidP="00D0238F">
            <w:pPr>
              <w:spacing w:after="0" w:line="240" w:lineRule="auto"/>
              <w:jc w:val="right"/>
              <w:rPr>
                <w:rFonts w:ascii="Arial" w:eastAsia="Times New Roman" w:hAnsi="Arial" w:cs="Arial"/>
                <w:color w:val="000000"/>
                <w:kern w:val="0"/>
                <w:sz w:val="20"/>
                <w:szCs w:val="20"/>
                <w:lang w:eastAsia="en-GB"/>
                <w14:ligatures w14:val="none"/>
              </w:rPr>
            </w:pPr>
            <w:r>
              <w:rPr>
                <w:rFonts w:ascii="Arial" w:hAnsi="Arial" w:cs="Arial"/>
                <w:color w:val="000000"/>
                <w:sz w:val="20"/>
                <w:szCs w:val="20"/>
              </w:rPr>
              <w:t>13.79</w:t>
            </w:r>
          </w:p>
        </w:tc>
      </w:tr>
      <w:tr w:rsidR="00D0238F" w:rsidRPr="00D0238F" w14:paraId="34D373B6" w14:textId="77777777" w:rsidTr="00D0238F">
        <w:trPr>
          <w:trHeight w:val="255"/>
          <w:jc w:val="center"/>
        </w:trPr>
        <w:tc>
          <w:tcPr>
            <w:tcW w:w="84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D9E3D2" w14:textId="77777777" w:rsidR="00D0238F" w:rsidRPr="00D0238F" w:rsidRDefault="00D0238F" w:rsidP="00D0238F">
            <w:pPr>
              <w:spacing w:after="0" w:line="240" w:lineRule="auto"/>
              <w:jc w:val="right"/>
              <w:rPr>
                <w:rFonts w:ascii="Arial" w:eastAsia="Times New Roman" w:hAnsi="Arial" w:cs="Arial"/>
                <w:b/>
                <w:bCs/>
                <w:color w:val="000000"/>
                <w:kern w:val="0"/>
                <w:sz w:val="20"/>
                <w:szCs w:val="20"/>
                <w:lang w:eastAsia="en-GB"/>
                <w14:ligatures w14:val="none"/>
              </w:rPr>
            </w:pPr>
            <w:r w:rsidRPr="00D0238F">
              <w:rPr>
                <w:rFonts w:ascii="Arial" w:eastAsia="Times New Roman" w:hAnsi="Arial" w:cs="Arial"/>
                <w:b/>
                <w:bCs/>
                <w:color w:val="000000"/>
                <w:kern w:val="0"/>
                <w:sz w:val="20"/>
                <w:szCs w:val="20"/>
                <w:lang w:eastAsia="en-GB"/>
                <w14:ligatures w14:val="none"/>
              </w:rPr>
              <w:t>5</w:t>
            </w:r>
          </w:p>
        </w:tc>
        <w:tc>
          <w:tcPr>
            <w:tcW w:w="269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205D545" w14:textId="30975BB4" w:rsidR="00D0238F" w:rsidRPr="00D0238F" w:rsidRDefault="00D0238F" w:rsidP="00D0238F">
            <w:pPr>
              <w:spacing w:after="0" w:line="240" w:lineRule="auto"/>
              <w:jc w:val="right"/>
              <w:rPr>
                <w:rFonts w:ascii="Arial" w:eastAsia="Times New Roman" w:hAnsi="Arial" w:cs="Arial"/>
                <w:color w:val="000000"/>
                <w:kern w:val="0"/>
                <w:sz w:val="20"/>
                <w:szCs w:val="20"/>
                <w:lang w:eastAsia="en-GB"/>
                <w14:ligatures w14:val="none"/>
              </w:rPr>
            </w:pPr>
            <w:r>
              <w:rPr>
                <w:rFonts w:ascii="Arial" w:hAnsi="Arial" w:cs="Arial"/>
                <w:color w:val="000000"/>
                <w:sz w:val="20"/>
                <w:szCs w:val="20"/>
              </w:rPr>
              <w:t>17.25</w:t>
            </w:r>
          </w:p>
        </w:tc>
      </w:tr>
      <w:tr w:rsidR="00D0238F" w:rsidRPr="00D0238F" w14:paraId="1CD48BB7" w14:textId="77777777" w:rsidTr="00D0238F">
        <w:trPr>
          <w:trHeight w:val="255"/>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0AD713" w14:textId="77777777" w:rsidR="00D0238F" w:rsidRPr="00D0238F" w:rsidRDefault="00D0238F" w:rsidP="00D0238F">
            <w:pPr>
              <w:spacing w:after="0" w:line="240" w:lineRule="auto"/>
              <w:jc w:val="right"/>
              <w:rPr>
                <w:rFonts w:ascii="Arial" w:eastAsia="Times New Roman" w:hAnsi="Arial" w:cs="Arial"/>
                <w:b/>
                <w:bCs/>
                <w:color w:val="000000"/>
                <w:kern w:val="0"/>
                <w:sz w:val="20"/>
                <w:szCs w:val="20"/>
                <w:lang w:eastAsia="en-GB"/>
                <w14:ligatures w14:val="none"/>
              </w:rPr>
            </w:pPr>
            <w:r w:rsidRPr="00D0238F">
              <w:rPr>
                <w:rFonts w:ascii="Arial" w:eastAsia="Times New Roman" w:hAnsi="Arial" w:cs="Arial"/>
                <w:b/>
                <w:bCs/>
                <w:color w:val="000000"/>
                <w:kern w:val="0"/>
                <w:sz w:val="20"/>
                <w:szCs w:val="20"/>
                <w:lang w:eastAsia="en-GB"/>
                <w14:ligatures w14:val="none"/>
              </w:rPr>
              <w:t>6</w:t>
            </w:r>
          </w:p>
        </w:tc>
        <w:tc>
          <w:tcPr>
            <w:tcW w:w="26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E9C918" w14:textId="2B8BA71E" w:rsidR="00D0238F" w:rsidRPr="00D0238F" w:rsidRDefault="00D0238F" w:rsidP="00D0238F">
            <w:pPr>
              <w:spacing w:after="0" w:line="240" w:lineRule="auto"/>
              <w:jc w:val="right"/>
              <w:rPr>
                <w:rFonts w:ascii="Arial" w:eastAsia="Times New Roman" w:hAnsi="Arial" w:cs="Arial"/>
                <w:color w:val="000000"/>
                <w:kern w:val="0"/>
                <w:sz w:val="20"/>
                <w:szCs w:val="20"/>
                <w:lang w:eastAsia="en-GB"/>
                <w14:ligatures w14:val="none"/>
              </w:rPr>
            </w:pPr>
            <w:r>
              <w:rPr>
                <w:rFonts w:ascii="Arial" w:hAnsi="Arial" w:cs="Arial"/>
                <w:color w:val="000000"/>
                <w:sz w:val="20"/>
                <w:szCs w:val="20"/>
              </w:rPr>
              <w:t>21.35</w:t>
            </w:r>
          </w:p>
        </w:tc>
      </w:tr>
      <w:tr w:rsidR="00D0238F" w:rsidRPr="00D0238F" w14:paraId="19C88FF1" w14:textId="77777777" w:rsidTr="00D0238F">
        <w:trPr>
          <w:trHeight w:val="255"/>
          <w:jc w:val="center"/>
        </w:trPr>
        <w:tc>
          <w:tcPr>
            <w:tcW w:w="84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00B7D6" w14:textId="77777777" w:rsidR="00D0238F" w:rsidRPr="00D0238F" w:rsidRDefault="00D0238F" w:rsidP="00D0238F">
            <w:pPr>
              <w:spacing w:after="0" w:line="240" w:lineRule="auto"/>
              <w:jc w:val="right"/>
              <w:rPr>
                <w:rFonts w:ascii="Arial" w:eastAsia="Times New Roman" w:hAnsi="Arial" w:cs="Arial"/>
                <w:b/>
                <w:bCs/>
                <w:color w:val="000000"/>
                <w:kern w:val="0"/>
                <w:sz w:val="20"/>
                <w:szCs w:val="20"/>
                <w:lang w:eastAsia="en-GB"/>
                <w14:ligatures w14:val="none"/>
              </w:rPr>
            </w:pPr>
            <w:r w:rsidRPr="00D0238F">
              <w:rPr>
                <w:rFonts w:ascii="Arial" w:eastAsia="Times New Roman" w:hAnsi="Arial" w:cs="Arial"/>
                <w:b/>
                <w:bCs/>
                <w:color w:val="000000"/>
                <w:kern w:val="0"/>
                <w:sz w:val="20"/>
                <w:szCs w:val="20"/>
                <w:lang w:eastAsia="en-GB"/>
                <w14:ligatures w14:val="none"/>
              </w:rPr>
              <w:t>7</w:t>
            </w:r>
          </w:p>
        </w:tc>
        <w:tc>
          <w:tcPr>
            <w:tcW w:w="269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9943BE" w14:textId="638C0877" w:rsidR="00D0238F" w:rsidRPr="00D0238F" w:rsidRDefault="00D0238F" w:rsidP="00D0238F">
            <w:pPr>
              <w:spacing w:after="0" w:line="240" w:lineRule="auto"/>
              <w:jc w:val="right"/>
              <w:rPr>
                <w:rFonts w:ascii="Arial" w:eastAsia="Times New Roman" w:hAnsi="Arial" w:cs="Arial"/>
                <w:color w:val="000000"/>
                <w:kern w:val="0"/>
                <w:sz w:val="20"/>
                <w:szCs w:val="20"/>
                <w:lang w:eastAsia="en-GB"/>
                <w14:ligatures w14:val="none"/>
              </w:rPr>
            </w:pPr>
            <w:r>
              <w:rPr>
                <w:rFonts w:ascii="Arial" w:hAnsi="Arial" w:cs="Arial"/>
                <w:color w:val="000000"/>
                <w:sz w:val="20"/>
                <w:szCs w:val="20"/>
              </w:rPr>
              <w:t>26.77</w:t>
            </w:r>
          </w:p>
        </w:tc>
      </w:tr>
      <w:tr w:rsidR="00D0238F" w:rsidRPr="00D0238F" w14:paraId="03CFCEC3" w14:textId="77777777" w:rsidTr="00D0238F">
        <w:trPr>
          <w:trHeight w:val="255"/>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46C1B4" w14:textId="77777777" w:rsidR="00D0238F" w:rsidRPr="00D0238F" w:rsidRDefault="00D0238F" w:rsidP="00D0238F">
            <w:pPr>
              <w:spacing w:after="0" w:line="240" w:lineRule="auto"/>
              <w:jc w:val="right"/>
              <w:rPr>
                <w:rFonts w:ascii="Arial" w:eastAsia="Times New Roman" w:hAnsi="Arial" w:cs="Arial"/>
                <w:b/>
                <w:bCs/>
                <w:color w:val="000000"/>
                <w:kern w:val="0"/>
                <w:sz w:val="20"/>
                <w:szCs w:val="20"/>
                <w:lang w:eastAsia="en-GB"/>
                <w14:ligatures w14:val="none"/>
              </w:rPr>
            </w:pPr>
            <w:r w:rsidRPr="00D0238F">
              <w:rPr>
                <w:rFonts w:ascii="Arial" w:eastAsia="Times New Roman" w:hAnsi="Arial" w:cs="Arial"/>
                <w:b/>
                <w:bCs/>
                <w:color w:val="000000"/>
                <w:kern w:val="0"/>
                <w:sz w:val="20"/>
                <w:szCs w:val="20"/>
                <w:lang w:eastAsia="en-GB"/>
                <w14:ligatures w14:val="none"/>
              </w:rPr>
              <w:t>8</w:t>
            </w:r>
          </w:p>
        </w:tc>
        <w:tc>
          <w:tcPr>
            <w:tcW w:w="26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81F639" w14:textId="08C99F88" w:rsidR="00D0238F" w:rsidRPr="00D0238F" w:rsidRDefault="00D0238F" w:rsidP="00D0238F">
            <w:pPr>
              <w:spacing w:after="0" w:line="240" w:lineRule="auto"/>
              <w:jc w:val="right"/>
              <w:rPr>
                <w:rFonts w:ascii="Arial" w:eastAsia="Times New Roman" w:hAnsi="Arial" w:cs="Arial"/>
                <w:color w:val="000000"/>
                <w:kern w:val="0"/>
                <w:sz w:val="20"/>
                <w:szCs w:val="20"/>
                <w:lang w:eastAsia="en-GB"/>
                <w14:ligatures w14:val="none"/>
              </w:rPr>
            </w:pPr>
            <w:r>
              <w:rPr>
                <w:rFonts w:ascii="Arial" w:hAnsi="Arial" w:cs="Arial"/>
                <w:color w:val="000000"/>
                <w:sz w:val="20"/>
                <w:szCs w:val="20"/>
              </w:rPr>
              <w:t>34.17</w:t>
            </w:r>
          </w:p>
        </w:tc>
      </w:tr>
      <w:tr w:rsidR="00D0238F" w:rsidRPr="00D0238F" w14:paraId="3C347963" w14:textId="77777777" w:rsidTr="00D0238F">
        <w:trPr>
          <w:trHeight w:val="255"/>
          <w:jc w:val="center"/>
        </w:trPr>
        <w:tc>
          <w:tcPr>
            <w:tcW w:w="84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3BD173" w14:textId="77777777" w:rsidR="00D0238F" w:rsidRPr="00D0238F" w:rsidRDefault="00D0238F" w:rsidP="00D0238F">
            <w:pPr>
              <w:spacing w:after="0" w:line="240" w:lineRule="auto"/>
              <w:jc w:val="right"/>
              <w:rPr>
                <w:rFonts w:ascii="Arial" w:eastAsia="Times New Roman" w:hAnsi="Arial" w:cs="Arial"/>
                <w:b/>
                <w:bCs/>
                <w:color w:val="000000"/>
                <w:kern w:val="0"/>
                <w:sz w:val="20"/>
                <w:szCs w:val="20"/>
                <w:lang w:eastAsia="en-GB"/>
                <w14:ligatures w14:val="none"/>
              </w:rPr>
            </w:pPr>
            <w:r w:rsidRPr="00D0238F">
              <w:rPr>
                <w:rFonts w:ascii="Arial" w:eastAsia="Times New Roman" w:hAnsi="Arial" w:cs="Arial"/>
                <w:b/>
                <w:bCs/>
                <w:color w:val="000000"/>
                <w:kern w:val="0"/>
                <w:sz w:val="20"/>
                <w:szCs w:val="20"/>
                <w:lang w:eastAsia="en-GB"/>
                <w14:ligatures w14:val="none"/>
              </w:rPr>
              <w:t>9</w:t>
            </w:r>
          </w:p>
        </w:tc>
        <w:tc>
          <w:tcPr>
            <w:tcW w:w="269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DF14F9" w14:textId="3EF600A1" w:rsidR="00D0238F" w:rsidRPr="00D0238F" w:rsidRDefault="00D0238F" w:rsidP="00D0238F">
            <w:pPr>
              <w:spacing w:after="0" w:line="240" w:lineRule="auto"/>
              <w:jc w:val="right"/>
              <w:rPr>
                <w:rFonts w:ascii="Arial" w:eastAsia="Times New Roman" w:hAnsi="Arial" w:cs="Arial"/>
                <w:color w:val="000000"/>
                <w:kern w:val="0"/>
                <w:sz w:val="20"/>
                <w:szCs w:val="20"/>
                <w:lang w:eastAsia="en-GB"/>
                <w14:ligatures w14:val="none"/>
              </w:rPr>
            </w:pPr>
            <w:r>
              <w:rPr>
                <w:rFonts w:ascii="Arial" w:hAnsi="Arial" w:cs="Arial"/>
                <w:color w:val="000000"/>
                <w:sz w:val="20"/>
                <w:szCs w:val="20"/>
              </w:rPr>
              <w:t>44.88</w:t>
            </w:r>
          </w:p>
        </w:tc>
      </w:tr>
      <w:tr w:rsidR="00D0238F" w:rsidRPr="00D0238F" w14:paraId="5A212118" w14:textId="77777777" w:rsidTr="00D0238F">
        <w:trPr>
          <w:trHeight w:val="255"/>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219824" w14:textId="77777777" w:rsidR="00D0238F" w:rsidRPr="00D0238F" w:rsidRDefault="00D0238F" w:rsidP="00D0238F">
            <w:pPr>
              <w:spacing w:after="0" w:line="240" w:lineRule="auto"/>
              <w:jc w:val="right"/>
              <w:rPr>
                <w:rFonts w:ascii="Arial" w:eastAsia="Times New Roman" w:hAnsi="Arial" w:cs="Arial"/>
                <w:b/>
                <w:bCs/>
                <w:color w:val="000000"/>
                <w:kern w:val="0"/>
                <w:sz w:val="20"/>
                <w:szCs w:val="20"/>
                <w:lang w:eastAsia="en-GB"/>
                <w14:ligatures w14:val="none"/>
              </w:rPr>
            </w:pPr>
            <w:r w:rsidRPr="00D0238F">
              <w:rPr>
                <w:rFonts w:ascii="Arial" w:eastAsia="Times New Roman" w:hAnsi="Arial" w:cs="Arial"/>
                <w:b/>
                <w:bCs/>
                <w:color w:val="000000"/>
                <w:kern w:val="0"/>
                <w:sz w:val="20"/>
                <w:szCs w:val="20"/>
                <w:lang w:eastAsia="en-GB"/>
                <w14:ligatures w14:val="none"/>
              </w:rPr>
              <w:t>10</w:t>
            </w:r>
          </w:p>
        </w:tc>
        <w:tc>
          <w:tcPr>
            <w:tcW w:w="26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D67A5D" w14:textId="029C10C0" w:rsidR="00D0238F" w:rsidRPr="00D0238F" w:rsidRDefault="00D0238F" w:rsidP="00D0238F">
            <w:pPr>
              <w:spacing w:after="0" w:line="240" w:lineRule="auto"/>
              <w:jc w:val="right"/>
              <w:rPr>
                <w:rFonts w:ascii="Arial" w:eastAsia="Times New Roman" w:hAnsi="Arial" w:cs="Arial"/>
                <w:color w:val="000000"/>
                <w:kern w:val="0"/>
                <w:sz w:val="20"/>
                <w:szCs w:val="20"/>
                <w:lang w:eastAsia="en-GB"/>
                <w14:ligatures w14:val="none"/>
              </w:rPr>
            </w:pPr>
            <w:r>
              <w:rPr>
                <w:rFonts w:ascii="Arial" w:hAnsi="Arial" w:cs="Arial"/>
                <w:color w:val="000000"/>
                <w:sz w:val="20"/>
                <w:szCs w:val="20"/>
              </w:rPr>
              <w:t>87.80</w:t>
            </w:r>
          </w:p>
        </w:tc>
      </w:tr>
    </w:tbl>
    <w:p w14:paraId="52CC0CC7" w14:textId="7CD5FC5D" w:rsidR="00D0238F" w:rsidRDefault="00D0238F" w:rsidP="00D0238F">
      <w:pPr>
        <w:jc w:val="center"/>
        <w:rPr>
          <w:i/>
          <w:iCs/>
        </w:rPr>
      </w:pPr>
      <w:r>
        <w:rPr>
          <w:i/>
          <w:iCs/>
        </w:rPr>
        <w:t xml:space="preserve">Figure 1 – Distribution of </w:t>
      </w:r>
      <w:r w:rsidR="00872F6B">
        <w:rPr>
          <w:i/>
          <w:iCs/>
        </w:rPr>
        <w:t xml:space="preserve">the </w:t>
      </w:r>
      <w:r>
        <w:rPr>
          <w:i/>
          <w:iCs/>
        </w:rPr>
        <w:t>UK</w:t>
      </w:r>
      <w:r w:rsidR="00872F6B">
        <w:rPr>
          <w:i/>
          <w:iCs/>
        </w:rPr>
        <w:t>’s</w:t>
      </w:r>
      <w:r>
        <w:rPr>
          <w:i/>
          <w:iCs/>
        </w:rPr>
        <w:t xml:space="preserve"> Index of Multiple Deprivation scores </w:t>
      </w:r>
      <w:r w:rsidR="00F16FD0">
        <w:rPr>
          <w:i/>
          <w:iCs/>
        </w:rPr>
        <w:t>as</w:t>
      </w:r>
      <w:r>
        <w:rPr>
          <w:i/>
          <w:iCs/>
        </w:rPr>
        <w:t xml:space="preserve"> deciles</w:t>
      </w:r>
      <w:r w:rsidR="00F666E6">
        <w:rPr>
          <w:i/>
          <w:iCs/>
        </w:rPr>
        <w:t>, where a higher score indicates a higher level of relative depravation.</w:t>
      </w:r>
    </w:p>
    <w:tbl>
      <w:tblPr>
        <w:tblW w:w="4673" w:type="dxa"/>
        <w:jc w:val="center"/>
        <w:tblLook w:val="04A0" w:firstRow="1" w:lastRow="0" w:firstColumn="1" w:lastColumn="0" w:noHBand="0" w:noVBand="1"/>
      </w:tblPr>
      <w:tblGrid>
        <w:gridCol w:w="1555"/>
        <w:gridCol w:w="3118"/>
      </w:tblGrid>
      <w:tr w:rsidR="00872F6B" w:rsidRPr="00872F6B" w14:paraId="02187C3B" w14:textId="77777777" w:rsidTr="00872F6B">
        <w:trPr>
          <w:trHeight w:val="255"/>
          <w:jc w:val="center"/>
        </w:trPr>
        <w:tc>
          <w:tcPr>
            <w:tcW w:w="155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5756AC2" w14:textId="77777777" w:rsidR="00872F6B" w:rsidRPr="00872F6B" w:rsidRDefault="00872F6B" w:rsidP="00872F6B">
            <w:pPr>
              <w:spacing w:after="0" w:line="240" w:lineRule="auto"/>
              <w:rPr>
                <w:rFonts w:ascii="Arial" w:eastAsia="Times New Roman" w:hAnsi="Arial" w:cs="Arial"/>
                <w:b/>
                <w:bCs/>
                <w:color w:val="000000"/>
                <w:kern w:val="0"/>
                <w:sz w:val="20"/>
                <w:szCs w:val="20"/>
                <w:lang w:eastAsia="en-GB"/>
                <w14:ligatures w14:val="none"/>
              </w:rPr>
            </w:pPr>
            <w:r w:rsidRPr="00872F6B">
              <w:rPr>
                <w:rFonts w:ascii="Arial" w:eastAsia="Times New Roman" w:hAnsi="Arial" w:cs="Arial"/>
                <w:b/>
                <w:bCs/>
                <w:color w:val="000000"/>
                <w:kern w:val="0"/>
                <w:sz w:val="20"/>
                <w:szCs w:val="20"/>
                <w:lang w:eastAsia="en-GB"/>
                <w14:ligatures w14:val="none"/>
              </w:rPr>
              <w:t>Quartile</w:t>
            </w:r>
          </w:p>
        </w:tc>
        <w:tc>
          <w:tcPr>
            <w:tcW w:w="311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48D76EF" w14:textId="665E6F86" w:rsidR="00872F6B" w:rsidRPr="00872F6B" w:rsidRDefault="00872F6B" w:rsidP="00872F6B">
            <w:pPr>
              <w:spacing w:after="0" w:line="240" w:lineRule="auto"/>
              <w:rPr>
                <w:rFonts w:ascii="Arial" w:eastAsia="Times New Roman" w:hAnsi="Arial" w:cs="Arial"/>
                <w:b/>
                <w:bCs/>
                <w:color w:val="000000"/>
                <w:kern w:val="0"/>
                <w:sz w:val="20"/>
                <w:szCs w:val="20"/>
                <w:lang w:eastAsia="en-GB"/>
                <w14:ligatures w14:val="none"/>
              </w:rPr>
            </w:pPr>
            <w:r w:rsidRPr="00872F6B">
              <w:rPr>
                <w:rFonts w:ascii="Arial" w:eastAsia="Times New Roman" w:hAnsi="Arial" w:cs="Arial"/>
                <w:b/>
                <w:bCs/>
                <w:color w:val="000000"/>
                <w:kern w:val="0"/>
                <w:sz w:val="20"/>
                <w:szCs w:val="20"/>
                <w:lang w:eastAsia="en-GB"/>
                <w14:ligatures w14:val="none"/>
              </w:rPr>
              <w:t>Preston 2010</w:t>
            </w:r>
            <w:r>
              <w:rPr>
                <w:rFonts w:ascii="Arial" w:eastAsia="Times New Roman" w:hAnsi="Arial" w:cs="Arial"/>
                <w:b/>
                <w:bCs/>
                <w:color w:val="000000"/>
                <w:kern w:val="0"/>
                <w:sz w:val="20"/>
                <w:szCs w:val="20"/>
                <w:lang w:eastAsia="en-GB"/>
                <w14:ligatures w14:val="none"/>
              </w:rPr>
              <w:t xml:space="preserve"> IMD Distribution</w:t>
            </w:r>
          </w:p>
        </w:tc>
      </w:tr>
      <w:tr w:rsidR="00872F6B" w:rsidRPr="00872F6B" w14:paraId="040ECC43" w14:textId="77777777" w:rsidTr="00872F6B">
        <w:trPr>
          <w:trHeight w:val="255"/>
          <w:jc w:val="center"/>
        </w:trPr>
        <w:tc>
          <w:tcPr>
            <w:tcW w:w="15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6288E7" w14:textId="77777777" w:rsidR="00872F6B" w:rsidRPr="00872F6B" w:rsidRDefault="00872F6B" w:rsidP="00872F6B">
            <w:pPr>
              <w:spacing w:after="0" w:line="240" w:lineRule="auto"/>
              <w:rPr>
                <w:rFonts w:ascii="Arial" w:eastAsia="Times New Roman" w:hAnsi="Arial" w:cs="Arial"/>
                <w:b/>
                <w:bCs/>
                <w:color w:val="000000"/>
                <w:kern w:val="0"/>
                <w:sz w:val="20"/>
                <w:szCs w:val="20"/>
                <w:lang w:eastAsia="en-GB"/>
                <w14:ligatures w14:val="none"/>
              </w:rPr>
            </w:pPr>
            <w:r w:rsidRPr="00872F6B">
              <w:rPr>
                <w:rFonts w:ascii="Arial" w:eastAsia="Times New Roman" w:hAnsi="Arial" w:cs="Arial"/>
                <w:b/>
                <w:bCs/>
                <w:color w:val="000000"/>
                <w:kern w:val="0"/>
                <w:sz w:val="20"/>
                <w:szCs w:val="20"/>
                <w:lang w:eastAsia="en-GB"/>
                <w14:ligatures w14:val="none"/>
              </w:rPr>
              <w:t>Minimum</w:t>
            </w:r>
          </w:p>
        </w:tc>
        <w:tc>
          <w:tcPr>
            <w:tcW w:w="31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F2AB280" w14:textId="77777777" w:rsidR="00872F6B" w:rsidRPr="00872F6B" w:rsidRDefault="00872F6B" w:rsidP="00872F6B">
            <w:pPr>
              <w:spacing w:after="0" w:line="240" w:lineRule="auto"/>
              <w:jc w:val="right"/>
              <w:rPr>
                <w:rFonts w:ascii="Arial" w:eastAsia="Times New Roman" w:hAnsi="Arial" w:cs="Arial"/>
                <w:color w:val="000000"/>
                <w:kern w:val="0"/>
                <w:sz w:val="20"/>
                <w:szCs w:val="20"/>
                <w:lang w:eastAsia="en-GB"/>
                <w14:ligatures w14:val="none"/>
              </w:rPr>
            </w:pPr>
            <w:r w:rsidRPr="00872F6B">
              <w:rPr>
                <w:rFonts w:ascii="Arial" w:eastAsia="Times New Roman" w:hAnsi="Arial" w:cs="Arial"/>
                <w:color w:val="000000"/>
                <w:kern w:val="0"/>
                <w:sz w:val="20"/>
                <w:szCs w:val="20"/>
                <w:lang w:eastAsia="en-GB"/>
                <w14:ligatures w14:val="none"/>
              </w:rPr>
              <w:t>4.88</w:t>
            </w:r>
          </w:p>
        </w:tc>
      </w:tr>
      <w:tr w:rsidR="00872F6B" w:rsidRPr="00872F6B" w14:paraId="66208B29" w14:textId="77777777" w:rsidTr="00872F6B">
        <w:trPr>
          <w:trHeight w:val="255"/>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BEE1E8" w14:textId="77777777" w:rsidR="00872F6B" w:rsidRPr="00872F6B" w:rsidRDefault="00872F6B" w:rsidP="00872F6B">
            <w:pPr>
              <w:spacing w:after="0" w:line="240" w:lineRule="auto"/>
              <w:rPr>
                <w:rFonts w:ascii="Arial" w:eastAsia="Times New Roman" w:hAnsi="Arial" w:cs="Arial"/>
                <w:b/>
                <w:bCs/>
                <w:color w:val="000000"/>
                <w:kern w:val="0"/>
                <w:sz w:val="20"/>
                <w:szCs w:val="20"/>
                <w:lang w:eastAsia="en-GB"/>
                <w14:ligatures w14:val="none"/>
              </w:rPr>
            </w:pPr>
            <w:r w:rsidRPr="00872F6B">
              <w:rPr>
                <w:rFonts w:ascii="Arial" w:eastAsia="Times New Roman" w:hAnsi="Arial" w:cs="Arial"/>
                <w:b/>
                <w:bCs/>
                <w:color w:val="000000"/>
                <w:kern w:val="0"/>
                <w:sz w:val="20"/>
                <w:szCs w:val="20"/>
                <w:lang w:eastAsia="en-GB"/>
                <w14:ligatures w14:val="none"/>
              </w:rPr>
              <w:t>First Quartile</w:t>
            </w:r>
          </w:p>
        </w:tc>
        <w:tc>
          <w:tcPr>
            <w:tcW w:w="31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ED6AA2" w14:textId="77777777" w:rsidR="00872F6B" w:rsidRPr="00872F6B" w:rsidRDefault="00872F6B" w:rsidP="00872F6B">
            <w:pPr>
              <w:spacing w:after="0" w:line="240" w:lineRule="auto"/>
              <w:jc w:val="right"/>
              <w:rPr>
                <w:rFonts w:ascii="Arial" w:eastAsia="Times New Roman" w:hAnsi="Arial" w:cs="Arial"/>
                <w:color w:val="000000"/>
                <w:kern w:val="0"/>
                <w:sz w:val="20"/>
                <w:szCs w:val="20"/>
                <w:lang w:eastAsia="en-GB"/>
                <w14:ligatures w14:val="none"/>
              </w:rPr>
            </w:pPr>
            <w:r w:rsidRPr="00872F6B">
              <w:rPr>
                <w:rFonts w:ascii="Arial" w:eastAsia="Times New Roman" w:hAnsi="Arial" w:cs="Arial"/>
                <w:color w:val="000000"/>
                <w:kern w:val="0"/>
                <w:sz w:val="20"/>
                <w:szCs w:val="20"/>
                <w:lang w:eastAsia="en-GB"/>
                <w14:ligatures w14:val="none"/>
              </w:rPr>
              <w:t>11.40</w:t>
            </w:r>
          </w:p>
        </w:tc>
      </w:tr>
      <w:tr w:rsidR="00872F6B" w:rsidRPr="00872F6B" w14:paraId="2C335164" w14:textId="77777777" w:rsidTr="00872F6B">
        <w:trPr>
          <w:trHeight w:val="255"/>
          <w:jc w:val="center"/>
        </w:trPr>
        <w:tc>
          <w:tcPr>
            <w:tcW w:w="15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879A96" w14:textId="77777777" w:rsidR="00872F6B" w:rsidRPr="00872F6B" w:rsidRDefault="00872F6B" w:rsidP="00872F6B">
            <w:pPr>
              <w:spacing w:after="0" w:line="240" w:lineRule="auto"/>
              <w:rPr>
                <w:rFonts w:ascii="Arial" w:eastAsia="Times New Roman" w:hAnsi="Arial" w:cs="Arial"/>
                <w:b/>
                <w:bCs/>
                <w:color w:val="000000"/>
                <w:kern w:val="0"/>
                <w:sz w:val="20"/>
                <w:szCs w:val="20"/>
                <w:lang w:eastAsia="en-GB"/>
                <w14:ligatures w14:val="none"/>
              </w:rPr>
            </w:pPr>
            <w:r w:rsidRPr="00872F6B">
              <w:rPr>
                <w:rFonts w:ascii="Arial" w:eastAsia="Times New Roman" w:hAnsi="Arial" w:cs="Arial"/>
                <w:b/>
                <w:bCs/>
                <w:color w:val="000000"/>
                <w:kern w:val="0"/>
                <w:sz w:val="20"/>
                <w:szCs w:val="20"/>
                <w:lang w:eastAsia="en-GB"/>
                <w14:ligatures w14:val="none"/>
              </w:rPr>
              <w:t>Median</w:t>
            </w:r>
          </w:p>
        </w:tc>
        <w:tc>
          <w:tcPr>
            <w:tcW w:w="31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42152E" w14:textId="77777777" w:rsidR="00872F6B" w:rsidRPr="00872F6B" w:rsidRDefault="00872F6B" w:rsidP="00872F6B">
            <w:pPr>
              <w:spacing w:after="0" w:line="240" w:lineRule="auto"/>
              <w:jc w:val="right"/>
              <w:rPr>
                <w:rFonts w:ascii="Arial" w:eastAsia="Times New Roman" w:hAnsi="Arial" w:cs="Arial"/>
                <w:color w:val="000000"/>
                <w:kern w:val="0"/>
                <w:sz w:val="20"/>
                <w:szCs w:val="20"/>
                <w:lang w:eastAsia="en-GB"/>
                <w14:ligatures w14:val="none"/>
              </w:rPr>
            </w:pPr>
            <w:r w:rsidRPr="00872F6B">
              <w:rPr>
                <w:rFonts w:ascii="Arial" w:eastAsia="Times New Roman" w:hAnsi="Arial" w:cs="Arial"/>
                <w:color w:val="000000"/>
                <w:kern w:val="0"/>
                <w:sz w:val="20"/>
                <w:szCs w:val="20"/>
                <w:lang w:eastAsia="en-GB"/>
                <w14:ligatures w14:val="none"/>
              </w:rPr>
              <w:t>25.42</w:t>
            </w:r>
          </w:p>
        </w:tc>
      </w:tr>
      <w:tr w:rsidR="00872F6B" w:rsidRPr="00872F6B" w14:paraId="43B40B08" w14:textId="77777777" w:rsidTr="00872F6B">
        <w:trPr>
          <w:trHeight w:val="255"/>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C62E56" w14:textId="77777777" w:rsidR="00872F6B" w:rsidRPr="00872F6B" w:rsidRDefault="00872F6B" w:rsidP="00872F6B">
            <w:pPr>
              <w:spacing w:after="0" w:line="240" w:lineRule="auto"/>
              <w:rPr>
                <w:rFonts w:ascii="Arial" w:eastAsia="Times New Roman" w:hAnsi="Arial" w:cs="Arial"/>
                <w:b/>
                <w:bCs/>
                <w:color w:val="000000"/>
                <w:kern w:val="0"/>
                <w:sz w:val="20"/>
                <w:szCs w:val="20"/>
                <w:lang w:eastAsia="en-GB"/>
                <w14:ligatures w14:val="none"/>
              </w:rPr>
            </w:pPr>
            <w:r w:rsidRPr="00872F6B">
              <w:rPr>
                <w:rFonts w:ascii="Arial" w:eastAsia="Times New Roman" w:hAnsi="Arial" w:cs="Arial"/>
                <w:b/>
                <w:bCs/>
                <w:color w:val="000000"/>
                <w:kern w:val="0"/>
                <w:sz w:val="20"/>
                <w:szCs w:val="20"/>
                <w:lang w:eastAsia="en-GB"/>
                <w14:ligatures w14:val="none"/>
              </w:rPr>
              <w:t>Third Quartile</w:t>
            </w:r>
          </w:p>
        </w:tc>
        <w:tc>
          <w:tcPr>
            <w:tcW w:w="31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EC7E40" w14:textId="77777777" w:rsidR="00872F6B" w:rsidRPr="00872F6B" w:rsidRDefault="00872F6B" w:rsidP="00872F6B">
            <w:pPr>
              <w:spacing w:after="0" w:line="240" w:lineRule="auto"/>
              <w:jc w:val="right"/>
              <w:rPr>
                <w:rFonts w:ascii="Arial" w:eastAsia="Times New Roman" w:hAnsi="Arial" w:cs="Arial"/>
                <w:color w:val="000000"/>
                <w:kern w:val="0"/>
                <w:sz w:val="20"/>
                <w:szCs w:val="20"/>
                <w:lang w:eastAsia="en-GB"/>
                <w14:ligatures w14:val="none"/>
              </w:rPr>
            </w:pPr>
            <w:r w:rsidRPr="00872F6B">
              <w:rPr>
                <w:rFonts w:ascii="Arial" w:eastAsia="Times New Roman" w:hAnsi="Arial" w:cs="Arial"/>
                <w:color w:val="000000"/>
                <w:kern w:val="0"/>
                <w:sz w:val="20"/>
                <w:szCs w:val="20"/>
                <w:lang w:eastAsia="en-GB"/>
                <w14:ligatures w14:val="none"/>
              </w:rPr>
              <w:t>40.45</w:t>
            </w:r>
          </w:p>
        </w:tc>
      </w:tr>
      <w:tr w:rsidR="00872F6B" w:rsidRPr="00872F6B" w14:paraId="5C690FE5" w14:textId="77777777" w:rsidTr="00872F6B">
        <w:trPr>
          <w:trHeight w:val="255"/>
          <w:jc w:val="center"/>
        </w:trPr>
        <w:tc>
          <w:tcPr>
            <w:tcW w:w="15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D180B12" w14:textId="77777777" w:rsidR="00872F6B" w:rsidRPr="00872F6B" w:rsidRDefault="00872F6B" w:rsidP="00872F6B">
            <w:pPr>
              <w:spacing w:after="0" w:line="240" w:lineRule="auto"/>
              <w:rPr>
                <w:rFonts w:ascii="Arial" w:eastAsia="Times New Roman" w:hAnsi="Arial" w:cs="Arial"/>
                <w:b/>
                <w:bCs/>
                <w:color w:val="000000"/>
                <w:kern w:val="0"/>
                <w:sz w:val="20"/>
                <w:szCs w:val="20"/>
                <w:lang w:eastAsia="en-GB"/>
                <w14:ligatures w14:val="none"/>
              </w:rPr>
            </w:pPr>
            <w:r w:rsidRPr="00872F6B">
              <w:rPr>
                <w:rFonts w:ascii="Arial" w:eastAsia="Times New Roman" w:hAnsi="Arial" w:cs="Arial"/>
                <w:b/>
                <w:bCs/>
                <w:color w:val="000000"/>
                <w:kern w:val="0"/>
                <w:sz w:val="20"/>
                <w:szCs w:val="20"/>
                <w:lang w:eastAsia="en-GB"/>
                <w14:ligatures w14:val="none"/>
              </w:rPr>
              <w:t>Maximum</w:t>
            </w:r>
          </w:p>
        </w:tc>
        <w:tc>
          <w:tcPr>
            <w:tcW w:w="31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6D9139" w14:textId="77777777" w:rsidR="00872F6B" w:rsidRPr="00872F6B" w:rsidRDefault="00872F6B" w:rsidP="00872F6B">
            <w:pPr>
              <w:spacing w:after="0" w:line="240" w:lineRule="auto"/>
              <w:jc w:val="right"/>
              <w:rPr>
                <w:rFonts w:ascii="Arial" w:eastAsia="Times New Roman" w:hAnsi="Arial" w:cs="Arial"/>
                <w:color w:val="000000"/>
                <w:kern w:val="0"/>
                <w:sz w:val="20"/>
                <w:szCs w:val="20"/>
                <w:lang w:eastAsia="en-GB"/>
                <w14:ligatures w14:val="none"/>
              </w:rPr>
            </w:pPr>
            <w:r w:rsidRPr="00872F6B">
              <w:rPr>
                <w:rFonts w:ascii="Arial" w:eastAsia="Times New Roman" w:hAnsi="Arial" w:cs="Arial"/>
                <w:color w:val="000000"/>
                <w:kern w:val="0"/>
                <w:sz w:val="20"/>
                <w:szCs w:val="20"/>
                <w:lang w:eastAsia="en-GB"/>
                <w14:ligatures w14:val="none"/>
              </w:rPr>
              <w:t>75.04</w:t>
            </w:r>
          </w:p>
        </w:tc>
      </w:tr>
    </w:tbl>
    <w:p w14:paraId="292F79BE" w14:textId="4D98E9DA" w:rsidR="00D0238F" w:rsidRDefault="00872F6B" w:rsidP="00D0238F">
      <w:pPr>
        <w:jc w:val="center"/>
        <w:rPr>
          <w:i/>
          <w:iCs/>
        </w:rPr>
      </w:pPr>
      <w:r>
        <w:rPr>
          <w:i/>
          <w:iCs/>
        </w:rPr>
        <w:t xml:space="preserve">Figure 2 – Distribution of Preston’s Index of Multiple Deprivation scores </w:t>
      </w:r>
      <w:r w:rsidR="00F16FD0">
        <w:rPr>
          <w:i/>
          <w:iCs/>
        </w:rPr>
        <w:t>as</w:t>
      </w:r>
      <w:r>
        <w:rPr>
          <w:i/>
          <w:iCs/>
        </w:rPr>
        <w:t xml:space="preserve"> quartiles</w:t>
      </w:r>
      <w:r w:rsidR="00F666E6">
        <w:rPr>
          <w:i/>
          <w:iCs/>
        </w:rPr>
        <w:t>.</w:t>
      </w:r>
    </w:p>
    <w:p w14:paraId="43CED1D6" w14:textId="383F81C2" w:rsidR="00872F6B" w:rsidRDefault="00872F6B" w:rsidP="00872F6B">
      <w:r>
        <w:t xml:space="preserve">Preston also had an unusually high rate of male suicidality, self-harm-related hospital admissions, eating disorders, etc., for its local area in 2012 </w:t>
      </w:r>
      <w:sdt>
        <w:sdtPr>
          <w:id w:val="-1506821837"/>
          <w:citation/>
        </w:sdtPr>
        <w:sdtContent>
          <w:r>
            <w:fldChar w:fldCharType="begin"/>
          </w:r>
          <w:r>
            <w:instrText xml:space="preserve">CITATION Lan12 \p "13, 24, 39" \l 2057 </w:instrText>
          </w:r>
          <w:r>
            <w:fldChar w:fldCharType="separate"/>
          </w:r>
          <w:r>
            <w:rPr>
              <w:noProof/>
            </w:rPr>
            <w:t>(Lancashire JSNA, 2012, pp. 13, 24, 39)</w:t>
          </w:r>
          <w:r>
            <w:fldChar w:fldCharType="end"/>
          </w:r>
        </w:sdtContent>
      </w:sdt>
      <w:r>
        <w:t xml:space="preserve">. </w:t>
      </w:r>
      <w:r w:rsidR="00F666E6">
        <w:t>Its most deprived districts also featured in the bottom quintile nationally for child wellbeing (</w:t>
      </w:r>
      <w:r w:rsidR="00F666E6">
        <w:rPr>
          <w:i/>
          <w:iCs/>
        </w:rPr>
        <w:t>ibid</w:t>
      </w:r>
      <w:r w:rsidR="00F666E6">
        <w:t>, p. 58).</w:t>
      </w:r>
      <w:r w:rsidR="00472BFE">
        <w:t xml:space="preserve"> </w:t>
      </w:r>
      <w:r w:rsidR="00F666E6">
        <w:t>While the city was already struggling with health issues, economic problems were further exacerbated when the £700mn Tithebarn regeneration project</w:t>
      </w:r>
      <w:r w:rsidR="00AA7468">
        <w:t xml:space="preserve">, proposed in 2005 and meant to bring investment and new jobs to the area, was scrapped in 2011 </w:t>
      </w:r>
      <w:sdt>
        <w:sdtPr>
          <w:id w:val="911200883"/>
          <w:citation/>
        </w:sdtPr>
        <w:sdtContent>
          <w:r w:rsidR="00AA7468">
            <w:fldChar w:fldCharType="begin"/>
          </w:r>
          <w:r w:rsidR="00AA7468">
            <w:instrText xml:space="preserve"> CITATION Pre191 \l 2057 </w:instrText>
          </w:r>
          <w:r w:rsidR="00AA7468">
            <w:fldChar w:fldCharType="separate"/>
          </w:r>
          <w:r w:rsidR="00AA7468">
            <w:rPr>
              <w:noProof/>
            </w:rPr>
            <w:t>(Preston City Council, 2019)</w:t>
          </w:r>
          <w:r w:rsidR="00AA7468">
            <w:fldChar w:fldCharType="end"/>
          </w:r>
        </w:sdtContent>
      </w:sdt>
      <w:r w:rsidR="00AA7468">
        <w:t>.</w:t>
      </w:r>
      <w:r w:rsidR="00472BFE">
        <w:t xml:space="preserve"> The local government decided to eschew the traditional economic development model and began to look </w:t>
      </w:r>
      <w:r w:rsidR="00472BFE">
        <w:lastRenderedPageBreak/>
        <w:t>towards Community Wealth Building to provide employment to ease poverty and other health issues.</w:t>
      </w:r>
    </w:p>
    <w:p w14:paraId="39C4B828" w14:textId="1341A16C" w:rsidR="00AA7468" w:rsidRDefault="00AA7468" w:rsidP="00AA7468">
      <w:pPr>
        <w:pStyle w:val="Heading2"/>
      </w:pPr>
      <w:r>
        <w:t>What is Community Wealth Building (CWB)?</w:t>
      </w:r>
    </w:p>
    <w:p w14:paraId="7647FBE6" w14:textId="2902A82C" w:rsidR="00AA7468" w:rsidRDefault="00AA7468" w:rsidP="00AA7468">
      <w:r>
        <w:t>Shortly after the Tithebarn project was scrapped, the Preston City Council began talks with the Centre for Local Economic Strategies to discuss how to bring Community Wealth Building to Preston.</w:t>
      </w:r>
    </w:p>
    <w:p w14:paraId="53BBF55C" w14:textId="7B9AD47A" w:rsidR="00AA7468" w:rsidRDefault="00AA7468" w:rsidP="00AA7468">
      <w:r>
        <w:t>CWB features what can mainly be described as ostensibly socialist, or social-democratic, principles being implemented in a top-down approach, with direction coming from the City Council which forms an “anchor network” with “anchor institutions” where all parties agree to uphold certain key values</w:t>
      </w:r>
      <w:r w:rsidR="00472BFE">
        <w:t xml:space="preserve"> </w:t>
      </w:r>
      <w:sdt>
        <w:sdtPr>
          <w:id w:val="-568038948"/>
          <w:citation/>
        </w:sdtPr>
        <w:sdtContent>
          <w:r w:rsidR="00472BFE">
            <w:fldChar w:fldCharType="begin"/>
          </w:r>
          <w:r w:rsidR="00472BFE">
            <w:instrText xml:space="preserve">CITATION Pre191 \p 8 \l 2057 </w:instrText>
          </w:r>
          <w:r w:rsidR="00472BFE">
            <w:fldChar w:fldCharType="separate"/>
          </w:r>
          <w:r w:rsidR="00472BFE">
            <w:rPr>
              <w:noProof/>
            </w:rPr>
            <w:t>(Preston City Council, 2019, p. 8)</w:t>
          </w:r>
          <w:r w:rsidR="00472BFE">
            <w:fldChar w:fldCharType="end"/>
          </w:r>
        </w:sdtContent>
      </w:sdt>
      <w:r>
        <w:t>:</w:t>
      </w:r>
    </w:p>
    <w:p w14:paraId="05C76E47" w14:textId="33A29F5E" w:rsidR="00AA7468" w:rsidRDefault="00AA7468" w:rsidP="00AA7468">
      <w:pPr>
        <w:pStyle w:val="ListParagraph"/>
        <w:numPr>
          <w:ilvl w:val="0"/>
          <w:numId w:val="2"/>
        </w:numPr>
      </w:pPr>
      <w:r>
        <w:t>Paying a living wage,</w:t>
      </w:r>
    </w:p>
    <w:p w14:paraId="2DACEF6A" w14:textId="75C0E98B" w:rsidR="00AA7468" w:rsidRDefault="00825186" w:rsidP="00AA7468">
      <w:pPr>
        <w:pStyle w:val="ListParagraph"/>
        <w:numPr>
          <w:ilvl w:val="0"/>
          <w:numId w:val="2"/>
        </w:numPr>
      </w:pPr>
      <w:r>
        <w:t>Progressive</w:t>
      </w:r>
      <w:r w:rsidR="00AA7468">
        <w:t xml:space="preserve"> procurement,</w:t>
      </w:r>
    </w:p>
    <w:p w14:paraId="7ACAD3C4" w14:textId="1F54D503" w:rsidR="00472BFE" w:rsidRDefault="00825186" w:rsidP="00825186">
      <w:pPr>
        <w:pStyle w:val="ListParagraph"/>
        <w:numPr>
          <w:ilvl w:val="1"/>
          <w:numId w:val="2"/>
        </w:numPr>
      </w:pPr>
      <w:r>
        <w:t xml:space="preserve">Contracts awarded to firms should ideally be split up </w:t>
      </w:r>
      <w:r w:rsidR="002F4BC2">
        <w:t>so as to</w:t>
      </w:r>
      <w:r>
        <w:t xml:space="preserve"> be available to SMEs</w:t>
      </w:r>
      <w:r w:rsidR="00472BFE">
        <w:t>.</w:t>
      </w:r>
    </w:p>
    <w:p w14:paraId="33C75561" w14:textId="1F4F6072" w:rsidR="00825186" w:rsidRDefault="00472BFE" w:rsidP="00825186">
      <w:pPr>
        <w:pStyle w:val="ListParagraph"/>
        <w:numPr>
          <w:ilvl w:val="1"/>
          <w:numId w:val="2"/>
        </w:numPr>
      </w:pPr>
      <w:r>
        <w:t>P</w:t>
      </w:r>
      <w:r w:rsidR="00825186">
        <w:t xml:space="preserve">rocurement should </w:t>
      </w:r>
      <w:r>
        <w:t>begin locally</w:t>
      </w:r>
      <w:r w:rsidR="00825186">
        <w:t>.</w:t>
      </w:r>
    </w:p>
    <w:p w14:paraId="09E9695E" w14:textId="1262364A" w:rsidR="00AA7468" w:rsidRDefault="00AA7468" w:rsidP="00AA7468">
      <w:pPr>
        <w:pStyle w:val="ListParagraph"/>
        <w:numPr>
          <w:ilvl w:val="0"/>
          <w:numId w:val="2"/>
        </w:numPr>
      </w:pPr>
      <w:r>
        <w:t>Considering not just</w:t>
      </w:r>
      <w:r w:rsidR="006D2D7C">
        <w:t xml:space="preserve"> the</w:t>
      </w:r>
      <w:r>
        <w:t xml:space="preserve"> economic</w:t>
      </w:r>
      <w:r w:rsidR="006D2D7C">
        <w:t xml:space="preserve"> </w:t>
      </w:r>
      <w:r>
        <w:t>but also social value of employment, investments, and land use.</w:t>
      </w:r>
    </w:p>
    <w:p w14:paraId="2741859C" w14:textId="17B3A231" w:rsidR="00AA7468" w:rsidRDefault="00AA7468" w:rsidP="00AA7468">
      <w:r>
        <w:t xml:space="preserve">The term “anchor institution” refers to large-scale, local employers who are “often tied to a place by their mission, physical assets and local relationships.” </w:t>
      </w:r>
      <w:sdt>
        <w:sdtPr>
          <w:id w:val="-132801965"/>
          <w:citation/>
        </w:sdtPr>
        <w:sdtContent>
          <w:r>
            <w:fldChar w:fldCharType="begin"/>
          </w:r>
          <w:r>
            <w:instrText xml:space="preserve">CITATION Pre191 \p 10 \l 2057 </w:instrText>
          </w:r>
          <w:r>
            <w:fldChar w:fldCharType="separate"/>
          </w:r>
          <w:r>
            <w:rPr>
              <w:noProof/>
            </w:rPr>
            <w:t>(Preston City Council, 2019, p. 10)</w:t>
          </w:r>
          <w:r>
            <w:fldChar w:fldCharType="end"/>
          </w:r>
        </w:sdtContent>
      </w:sdt>
      <w:r>
        <w:t xml:space="preserve"> Examples can include local authorities, NHS trusts, or large local businesses (</w:t>
      </w:r>
      <w:r>
        <w:rPr>
          <w:i/>
          <w:iCs/>
        </w:rPr>
        <w:t>ibid</w:t>
      </w:r>
      <w:r>
        <w:t>, p.10). In a sentence, CWB aims to keep local wealth from leaving the city and maximise the social value of what that wealth can produce.</w:t>
      </w:r>
    </w:p>
    <w:p w14:paraId="07011FCD" w14:textId="4ECE191D" w:rsidR="00AA7468" w:rsidRPr="00812783" w:rsidRDefault="006427CE" w:rsidP="00AA7468">
      <w:r>
        <w:t>After an initial investigation</w:t>
      </w:r>
      <w:r w:rsidR="00472BFE">
        <w:t xml:space="preserve"> in 2012</w:t>
      </w:r>
      <w:r>
        <w:t xml:space="preserve">, it was discovered that, of the £750mn spent by anchor institutions in Preston, </w:t>
      </w:r>
      <w:r w:rsidR="00812783">
        <w:t>only “5% of it was spent with organisations based in the Preston boundary, with 39% spent with organisations based in wider Lancashire.” (</w:t>
      </w:r>
      <w:r w:rsidR="00812783">
        <w:rPr>
          <w:i/>
          <w:iCs/>
        </w:rPr>
        <w:t>ibid</w:t>
      </w:r>
      <w:r w:rsidR="00812783">
        <w:t>, p.11)</w:t>
      </w:r>
      <w:r w:rsidR="0075640C">
        <w:t xml:space="preserve"> In total, over $458mn was leaving the Lancashire economy.</w:t>
      </w:r>
      <w:r w:rsidR="002F3664">
        <w:t xml:space="preserve"> By 2016/17, after the implementation of CWB by the Preston City Council</w:t>
      </w:r>
      <w:r w:rsidR="00293843">
        <w:t xml:space="preserve"> </w:t>
      </w:r>
      <w:r w:rsidR="002F3664">
        <w:t xml:space="preserve">and Lancashire City Council, locally retained spending in Preston increased to 18.2% and </w:t>
      </w:r>
      <w:r w:rsidR="00293843">
        <w:t xml:space="preserve">in </w:t>
      </w:r>
      <w:r w:rsidR="002F3664">
        <w:t xml:space="preserve">Lancashire </w:t>
      </w:r>
      <w:r w:rsidR="00293843">
        <w:t xml:space="preserve">increased </w:t>
      </w:r>
      <w:r w:rsidR="002F3664">
        <w:t>to 79.2%</w:t>
      </w:r>
      <w:r w:rsidR="00EE04B4">
        <w:t xml:space="preserve"> (</w:t>
      </w:r>
      <w:r w:rsidR="00EE04B4">
        <w:rPr>
          <w:i/>
          <w:iCs/>
        </w:rPr>
        <w:t>ibid</w:t>
      </w:r>
      <w:r w:rsidR="00EE04B4">
        <w:t>, p.11)</w:t>
      </w:r>
      <w:r w:rsidR="002F3664">
        <w:t>.</w:t>
      </w:r>
    </w:p>
    <w:p w14:paraId="7F230A89" w14:textId="3F80A062" w:rsidR="00A50952" w:rsidRDefault="002F3664" w:rsidP="00A50952">
      <w:r>
        <w:t xml:space="preserve">As of writing this paper, </w:t>
      </w:r>
      <w:r w:rsidR="00A50952">
        <w:t xml:space="preserve">anchor networks have been established by multiple other city councils, including Birmingham, Oldham, Salford, Kirklees, Islington, Enfield, Southampton, Wakefield, Bristol </w:t>
      </w:r>
      <w:sdt>
        <w:sdtPr>
          <w:id w:val="-1987781800"/>
          <w:citation/>
        </w:sdtPr>
        <w:sdtContent>
          <w:r w:rsidR="00A50952">
            <w:fldChar w:fldCharType="begin"/>
          </w:r>
          <w:r w:rsidR="00A50952">
            <w:instrText xml:space="preserve"> CITATION Pre19 \l 2057 </w:instrText>
          </w:r>
          <w:r w:rsidR="00A50952">
            <w:fldChar w:fldCharType="separate"/>
          </w:r>
          <w:r w:rsidR="00A50952">
            <w:rPr>
              <w:noProof/>
            </w:rPr>
            <w:t xml:space="preserve"> (Preston City Council, 2019)</w:t>
          </w:r>
          <w:r w:rsidR="00A50952">
            <w:fldChar w:fldCharType="end"/>
          </w:r>
        </w:sdtContent>
      </w:sdt>
      <w:r w:rsidR="00A50952">
        <w:t xml:space="preserve"> and Leeds </w:t>
      </w:r>
      <w:sdt>
        <w:sdtPr>
          <w:id w:val="-849324659"/>
          <w:citation/>
        </w:sdtPr>
        <w:sdtContent>
          <w:r w:rsidR="00A50952">
            <w:fldChar w:fldCharType="begin"/>
          </w:r>
          <w:r w:rsidR="00293843">
            <w:instrText xml:space="preserve">CITATION Lee \l 2057 </w:instrText>
          </w:r>
          <w:r w:rsidR="00A50952">
            <w:fldChar w:fldCharType="separate"/>
          </w:r>
          <w:r w:rsidR="00293843">
            <w:rPr>
              <w:noProof/>
            </w:rPr>
            <w:t>(Leeds City Council, n.d.)</w:t>
          </w:r>
          <w:r w:rsidR="00A50952">
            <w:fldChar w:fldCharType="end"/>
          </w:r>
        </w:sdtContent>
      </w:sdt>
      <w:r w:rsidR="00A50952">
        <w:t>.</w:t>
      </w:r>
    </w:p>
    <w:p w14:paraId="3F0CD0B5" w14:textId="531A6D5D" w:rsidR="00FA176F" w:rsidRDefault="00472BFE" w:rsidP="00FA176F">
      <w:pPr>
        <w:pStyle w:val="Heading2"/>
      </w:pPr>
      <w:r>
        <w:t xml:space="preserve">Has the Preston Model </w:t>
      </w:r>
      <w:r w:rsidR="00E80507">
        <w:t>helped Preston</w:t>
      </w:r>
      <w:r w:rsidR="00FA176F">
        <w:t>?</w:t>
      </w:r>
    </w:p>
    <w:p w14:paraId="32FCE383" w14:textId="00CDFDEF" w:rsidR="00E80507" w:rsidRDefault="00E80507" w:rsidP="00E80507">
      <w:r>
        <w:t>Difference-in-differences analyses examining</w:t>
      </w:r>
      <w:r w:rsidR="00526103">
        <w:t xml:space="preserve"> statistically</w:t>
      </w:r>
      <w:r>
        <w:t xml:space="preserve"> significant differences in cities with and without CWB is minimal, with only a single paper, published in 2023 by Rose et al., examining the Preston Model using this kind of analysis. They found that Preston’s CWB has had </w:t>
      </w:r>
      <w:r w:rsidR="00526103">
        <w:t xml:space="preserve">statistically </w:t>
      </w:r>
      <w:r>
        <w:t>significant, positive effects on antidepressant prescriptions, depression diagnoses, life satisfaction scores, and median wages when compared to control cities. However, most of these parameters did not display</w:t>
      </w:r>
      <w:r w:rsidR="00526103">
        <w:t xml:space="preserve"> statistically</w:t>
      </w:r>
      <w:r>
        <w:t xml:space="preserve"> significant difference from the control pool in the final year of analysis, 2019, seen in figures </w:t>
      </w:r>
      <w:r w:rsidR="00414493">
        <w:t>3</w:t>
      </w:r>
      <w:r>
        <w:t xml:space="preserve"> and </w:t>
      </w:r>
      <w:r w:rsidR="00414493">
        <w:t>4</w:t>
      </w:r>
      <w:r>
        <w:t>.</w:t>
      </w:r>
    </w:p>
    <w:p w14:paraId="2AB0DB21" w14:textId="77777777" w:rsidR="00E80507" w:rsidRDefault="00E80507" w:rsidP="00E80507">
      <w:pPr>
        <w:jc w:val="center"/>
      </w:pPr>
      <w:r>
        <w:rPr>
          <w:noProof/>
        </w:rPr>
        <w:lastRenderedPageBreak/>
        <w:drawing>
          <wp:inline distT="0" distB="0" distL="0" distR="0" wp14:anchorId="3104A507" wp14:editId="0664C27F">
            <wp:extent cx="3838575" cy="6486759"/>
            <wp:effectExtent l="0" t="0" r="0" b="9525"/>
            <wp:docPr id="1157925595" name="Picture 2" descr="Figure thumbnail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thumbnail g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8065" cy="6519694"/>
                    </a:xfrm>
                    <a:prstGeom prst="rect">
                      <a:avLst/>
                    </a:prstGeom>
                    <a:noFill/>
                    <a:ln>
                      <a:noFill/>
                    </a:ln>
                  </pic:spPr>
                </pic:pic>
              </a:graphicData>
            </a:graphic>
          </wp:inline>
        </w:drawing>
      </w:r>
    </w:p>
    <w:p w14:paraId="5DD33FDA" w14:textId="7D444ACC" w:rsidR="00E80507" w:rsidRPr="00CA5164" w:rsidRDefault="00E80507" w:rsidP="00E80507">
      <w:pPr>
        <w:jc w:val="center"/>
        <w:rPr>
          <w:i/>
          <w:iCs/>
        </w:rPr>
      </w:pPr>
      <w:r>
        <w:rPr>
          <w:i/>
          <w:iCs/>
        </w:rPr>
        <w:t xml:space="preserve">Figure </w:t>
      </w:r>
      <w:r w:rsidR="00414493">
        <w:rPr>
          <w:i/>
          <w:iCs/>
        </w:rPr>
        <w:t>3</w:t>
      </w:r>
      <w:r>
        <w:rPr>
          <w:i/>
          <w:iCs/>
        </w:rPr>
        <w:t xml:space="preserve"> </w:t>
      </w:r>
      <w:r w:rsidRPr="00E152FA">
        <w:rPr>
          <w:i/>
          <w:iCs/>
          <w:noProof/>
        </w:rPr>
        <w:t>(Rose, et al., 2023)</w:t>
      </w:r>
    </w:p>
    <w:p w14:paraId="0C457740" w14:textId="77777777" w:rsidR="00E80507" w:rsidRDefault="00E80507" w:rsidP="00E80507">
      <w:pPr>
        <w:jc w:val="center"/>
      </w:pPr>
      <w:r>
        <w:rPr>
          <w:noProof/>
        </w:rPr>
        <w:lastRenderedPageBreak/>
        <w:drawing>
          <wp:inline distT="0" distB="0" distL="0" distR="0" wp14:anchorId="03894A60" wp14:editId="34670C0B">
            <wp:extent cx="3751739" cy="6331585"/>
            <wp:effectExtent l="0" t="0" r="1270" b="0"/>
            <wp:docPr id="1331025002" name="Picture 1" descr="Figure thumbnail g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thumbnail g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2959" cy="6384274"/>
                    </a:xfrm>
                    <a:prstGeom prst="rect">
                      <a:avLst/>
                    </a:prstGeom>
                    <a:noFill/>
                    <a:ln>
                      <a:noFill/>
                    </a:ln>
                  </pic:spPr>
                </pic:pic>
              </a:graphicData>
            </a:graphic>
          </wp:inline>
        </w:drawing>
      </w:r>
    </w:p>
    <w:p w14:paraId="5FFC78B0" w14:textId="6BF01D5B" w:rsidR="00E80507" w:rsidRPr="00CA5164" w:rsidRDefault="00E80507" w:rsidP="00E80507">
      <w:pPr>
        <w:jc w:val="center"/>
        <w:rPr>
          <w:i/>
          <w:iCs/>
        </w:rPr>
      </w:pPr>
      <w:r>
        <w:rPr>
          <w:i/>
          <w:iCs/>
        </w:rPr>
        <w:t xml:space="preserve">Figure </w:t>
      </w:r>
      <w:r w:rsidR="00414493">
        <w:rPr>
          <w:i/>
          <w:iCs/>
        </w:rPr>
        <w:t>4</w:t>
      </w:r>
      <w:r>
        <w:rPr>
          <w:i/>
          <w:iCs/>
        </w:rPr>
        <w:t xml:space="preserve"> </w:t>
      </w:r>
      <w:r w:rsidRPr="00E152FA">
        <w:rPr>
          <w:i/>
          <w:iCs/>
          <w:noProof/>
        </w:rPr>
        <w:t>(Rose, et al., 2023)</w:t>
      </w:r>
    </w:p>
    <w:p w14:paraId="73AED8BE" w14:textId="0CCFE6AC" w:rsidR="00E80507" w:rsidRPr="00A50952" w:rsidRDefault="00E80507" w:rsidP="00E80507">
      <w:r>
        <w:t>Whyman (2021) has published literature justifying the theoretical economic foundations of the Preston model, arguing that, while CWB is protectionist in nature, not all protectionism is bad – CWB ostensibly falls in line with existing British values being pushed by Westminster, e.g., Whyman (2021</w:t>
      </w:r>
      <w:r w:rsidR="00696E35">
        <w:t>, p. 137</w:t>
      </w:r>
      <w:r>
        <w:t>) argues that it should theoretically enhance competition, stamp out rent-seeking and move the market closer to the social optimum</w:t>
      </w:r>
      <w:r w:rsidR="00EE04B4">
        <w:t>. Whyman (2021, p. 142) also suggests that the evidenced economic impacts CWB has had, namely the growth of the proportion of local procurement in Preston and Lancashire, should be indirectly corroborated by indirect evidence concerning factors such as “growth rates, employment opportunities and human capital investment.”</w:t>
      </w:r>
    </w:p>
    <w:p w14:paraId="3817FD72" w14:textId="2613F417" w:rsidR="00696E35" w:rsidRDefault="00E80507" w:rsidP="00E80507">
      <w:r>
        <w:t xml:space="preserve">In essence, </w:t>
      </w:r>
      <w:r w:rsidR="00696E35">
        <w:t>CWB</w:t>
      </w:r>
      <w:r w:rsidR="007C07BD">
        <w:t xml:space="preserve"> is strongly associated with</w:t>
      </w:r>
      <w:r>
        <w:t xml:space="preserve"> positive effect on median wages and life satisfaction in the short-term</w:t>
      </w:r>
      <w:r w:rsidR="00E73CEF">
        <w:t xml:space="preserve">; however, </w:t>
      </w:r>
      <w:r w:rsidR="00696E35">
        <w:t>effects on other important economic parameters, such as those laid out by Whyman (2021) remain largely unknown.</w:t>
      </w:r>
      <w:r>
        <w:t xml:space="preserve"> </w:t>
      </w:r>
    </w:p>
    <w:p w14:paraId="2CE8BD4A" w14:textId="16DB2BC5" w:rsidR="00523292" w:rsidRDefault="00523292" w:rsidP="00523292">
      <w:pPr>
        <w:pStyle w:val="Heading1"/>
      </w:pPr>
      <w:r>
        <w:lastRenderedPageBreak/>
        <w:t>Rationale</w:t>
      </w:r>
    </w:p>
    <w:p w14:paraId="3FC652DC" w14:textId="1A887E52" w:rsidR="000D64B1" w:rsidRDefault="00696E35" w:rsidP="000D64B1">
      <w:r>
        <w:t xml:space="preserve">This broad ambiguity </w:t>
      </w:r>
      <w:r w:rsidR="004E516A">
        <w:t>warrants investigation into CWB for a few key reasons.</w:t>
      </w:r>
    </w:p>
    <w:p w14:paraId="34EB00FC" w14:textId="0FAF81CF" w:rsidR="004E516A" w:rsidRDefault="004E516A" w:rsidP="004E516A">
      <w:r>
        <w:t>First, as mentioned prior, the existing scope of research is narrow: such a self-admittedly large shift in not only the role of local government, but also local private institutions and businesses, ought to be carefully considered. As it stands, no potential negative effects that critics associate with CWB have been analysed, e.g., increased costs, reduced competition, rent-seeking, etc</w:t>
      </w:r>
      <w:r w:rsidR="00955B26">
        <w:t>.</w:t>
      </w:r>
      <w:r>
        <w:t xml:space="preserve"> </w:t>
      </w:r>
    </w:p>
    <w:p w14:paraId="5B7A4771" w14:textId="784D5EB7" w:rsidR="00264DC6" w:rsidRPr="00414493" w:rsidRDefault="00AF6B20" w:rsidP="000D64B1">
      <w:pPr>
        <w:rPr>
          <w:rFonts w:ascii="Arial" w:hAnsi="Arial" w:cs="Arial"/>
          <w:b/>
          <w:bCs/>
          <w:color w:val="000000"/>
          <w:sz w:val="20"/>
          <w:szCs w:val="20"/>
          <w:shd w:val="clear" w:color="auto" w:fill="FFFFFF"/>
        </w:rPr>
      </w:pPr>
      <w:r>
        <w:t>Second, the economic foundation</w:t>
      </w:r>
      <w:r w:rsidR="00F5721E">
        <w:t xml:space="preserve"> but forward by Whyman (2021, p. 136) is self-admittedly heterodox. </w:t>
      </w:r>
      <w:r w:rsidR="00E33065">
        <w:t>Even if, as</w:t>
      </w:r>
      <w:r w:rsidR="00F5721E">
        <w:t xml:space="preserve"> Whyman (2021, p. </w:t>
      </w:r>
      <w:r w:rsidR="00FA33F1">
        <w:t>137) claims</w:t>
      </w:r>
      <w:r w:rsidR="00E33065">
        <w:t xml:space="preserve">, </w:t>
      </w:r>
      <w:r w:rsidR="00FA33F1">
        <w:t>the charge of</w:t>
      </w:r>
      <w:r w:rsidR="00340C48">
        <w:t xml:space="preserve"> local</w:t>
      </w:r>
      <w:r w:rsidR="00FA33F1">
        <w:t xml:space="preserve"> protectionism is “certainly not a straightforward conclusion to reach,” </w:t>
      </w:r>
      <w:r w:rsidR="00E33065">
        <w:t>the fact</w:t>
      </w:r>
      <w:r w:rsidR="00D70925">
        <w:t xml:space="preserve"> remains</w:t>
      </w:r>
      <w:r w:rsidR="00E33065">
        <w:t xml:space="preserve"> that</w:t>
      </w:r>
      <w:r w:rsidR="00D70925">
        <w:t xml:space="preserve"> </w:t>
      </w:r>
      <w:r w:rsidR="00E33065">
        <w:t>local firms</w:t>
      </w:r>
      <w:r w:rsidR="00D70925">
        <w:t xml:space="preserve">, </w:t>
      </w:r>
      <w:r w:rsidR="00E33065">
        <w:t xml:space="preserve">given special priority over </w:t>
      </w:r>
      <w:r w:rsidR="00D70925">
        <w:t>distant</w:t>
      </w:r>
      <w:r w:rsidR="00E33065">
        <w:t xml:space="preserve"> firms by virtue of their</w:t>
      </w:r>
      <w:r w:rsidR="00D70925">
        <w:t xml:space="preserve"> geographic location</w:t>
      </w:r>
      <w:r w:rsidR="00E33065">
        <w:t xml:space="preserve">, </w:t>
      </w:r>
      <w:r w:rsidR="00D70925">
        <w:t xml:space="preserve">collect economic rent </w:t>
      </w:r>
      <w:sdt>
        <w:sdtPr>
          <w:id w:val="2077628995"/>
          <w:citation/>
        </w:sdtPr>
        <w:sdtContent>
          <w:r w:rsidR="00D70925">
            <w:fldChar w:fldCharType="begin"/>
          </w:r>
          <w:r w:rsidR="00264DC6">
            <w:instrText xml:space="preserve">CITATION Fri04 \p 62 \l 2057 </w:instrText>
          </w:r>
          <w:r w:rsidR="00D70925">
            <w:fldChar w:fldCharType="separate"/>
          </w:r>
          <w:r w:rsidR="00264DC6">
            <w:rPr>
              <w:noProof/>
            </w:rPr>
            <w:t>(Fried &amp; Bebchuk, 2004, p. 62)</w:t>
          </w:r>
          <w:r w:rsidR="00D70925">
            <w:fldChar w:fldCharType="end"/>
          </w:r>
        </w:sdtContent>
      </w:sdt>
      <w:r w:rsidR="00D70925">
        <w:t xml:space="preserve">. </w:t>
      </w:r>
      <w:r w:rsidR="0058336B">
        <w:t>Mainstream economic theory suggests that rent-seeking behaviour inhibits growth and innovation</w:t>
      </w:r>
      <w:r w:rsidR="00264DC6">
        <w:t xml:space="preserve"> while increasing prices</w:t>
      </w:r>
      <w:r w:rsidR="0058336B">
        <w:t xml:space="preserve"> </w:t>
      </w:r>
      <w:r w:rsidR="00264DC6">
        <w:t>due to</w:t>
      </w:r>
      <w:r w:rsidR="0058336B">
        <w:t xml:space="preserve"> a misallocation of resources </w:t>
      </w:r>
      <w:sdt>
        <w:sdtPr>
          <w:id w:val="1930846796"/>
          <w:citation/>
        </w:sdtPr>
        <w:sdtContent>
          <w:r w:rsidR="0058336B">
            <w:fldChar w:fldCharType="begin"/>
          </w:r>
          <w:r w:rsidR="0058336B">
            <w:instrText xml:space="preserve"> CITATION Dab01 \l 2057 </w:instrText>
          </w:r>
          <w:r w:rsidR="00264DC6">
            <w:instrText xml:space="preserve"> \m Mur93</w:instrText>
          </w:r>
          <w:r w:rsidR="0058336B">
            <w:fldChar w:fldCharType="separate"/>
          </w:r>
          <w:r w:rsidR="00264DC6">
            <w:rPr>
              <w:noProof/>
            </w:rPr>
            <w:t>(Dabla-Norris &amp; Wade, 2001; Murphy, Shleifer, &amp; Vishny, 1993)</w:t>
          </w:r>
          <w:r w:rsidR="0058336B">
            <w:fldChar w:fldCharType="end"/>
          </w:r>
        </w:sdtContent>
      </w:sdt>
      <w:r w:rsidR="00264DC6">
        <w:t xml:space="preserve">. </w:t>
      </w:r>
      <w:r w:rsidR="00955B26">
        <w:t xml:space="preserve">This fact, coupled with the contentious view of economic foundation of the Preston Model </w:t>
      </w:r>
      <w:sdt>
        <w:sdtPr>
          <w:id w:val="-1554003931"/>
          <w:citation/>
        </w:sdtPr>
        <w:sdtContent>
          <w:r w:rsidR="00955B26">
            <w:fldChar w:fldCharType="begin"/>
          </w:r>
          <w:r w:rsidR="00955B26">
            <w:instrText xml:space="preserve">CITATION Pre17 \l 2057 </w:instrText>
          </w:r>
          <w:r w:rsidR="00955B26">
            <w:fldChar w:fldCharType="separate"/>
          </w:r>
          <w:r w:rsidR="00955B26">
            <w:rPr>
              <w:noProof/>
            </w:rPr>
            <w:t>(The Economist, 2017)</w:t>
          </w:r>
          <w:r w:rsidR="00955B26">
            <w:fldChar w:fldCharType="end"/>
          </w:r>
        </w:sdtContent>
      </w:sdt>
      <w:r w:rsidR="00955B26">
        <w:t xml:space="preserve"> indicates </w:t>
      </w:r>
      <w:r w:rsidR="00414493">
        <w:t>further investigation is needed to measure the veracity of Whyman’s (2021) theoretical foundations.</w:t>
      </w:r>
    </w:p>
    <w:p w14:paraId="15CCCB20" w14:textId="0ABFB98F" w:rsidR="00414493" w:rsidRDefault="00591E7D" w:rsidP="000D64B1">
      <w:r>
        <w:t xml:space="preserve">Third, data from the UK government suggests that the </w:t>
      </w:r>
      <w:r w:rsidR="00414493">
        <w:t>median LSOA</w:t>
      </w:r>
      <w:r w:rsidR="00E6000D">
        <w:t xml:space="preserve"> in Preston’s</w:t>
      </w:r>
      <w:r>
        <w:t xml:space="preserve"> multiple depravation index has </w:t>
      </w:r>
      <w:r w:rsidR="00D04F69">
        <w:t>increased</w:t>
      </w:r>
      <w:r>
        <w:t xml:space="preserve"> since 2015</w:t>
      </w:r>
      <w:r w:rsidR="00414493">
        <w:t>, shown in figure 5</w:t>
      </w:r>
      <w:r>
        <w:t>.</w:t>
      </w:r>
    </w:p>
    <w:p w14:paraId="4CDF34E7" w14:textId="740F207E" w:rsidR="00414493" w:rsidRDefault="00414493" w:rsidP="00414493">
      <w:pPr>
        <w:jc w:val="center"/>
      </w:pPr>
      <w:r>
        <w:rPr>
          <w:noProof/>
        </w:rPr>
        <w:drawing>
          <wp:inline distT="0" distB="0" distL="0" distR="0" wp14:anchorId="035E7F48" wp14:editId="3FB668FE">
            <wp:extent cx="5067300" cy="2743200"/>
            <wp:effectExtent l="0" t="0" r="0" b="0"/>
            <wp:docPr id="112319270" name="Chart 1">
              <a:extLst xmlns:a="http://schemas.openxmlformats.org/drawingml/2006/main">
                <a:ext uri="{FF2B5EF4-FFF2-40B4-BE49-F238E27FC236}">
                  <a16:creationId xmlns:a16="http://schemas.microsoft.com/office/drawing/2014/main" id="{A5997C21-518C-4A8B-BCFA-485E7363F9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83B38A" w14:textId="73FF36BE" w:rsidR="00414493" w:rsidRPr="00414493" w:rsidRDefault="00414493" w:rsidP="00414493">
      <w:pPr>
        <w:jc w:val="center"/>
        <w:rPr>
          <w:i/>
          <w:iCs/>
        </w:rPr>
      </w:pPr>
      <w:r>
        <w:rPr>
          <w:i/>
          <w:iCs/>
        </w:rPr>
        <w:t xml:space="preserve">Figure 5, Source: Own Illustration,  data: </w:t>
      </w:r>
      <w:sdt>
        <w:sdtPr>
          <w:rPr>
            <w:i/>
            <w:iCs/>
          </w:rPr>
          <w:id w:val="2021887269"/>
          <w:citation/>
        </w:sdtPr>
        <w:sdtContent>
          <w:r>
            <w:rPr>
              <w:i/>
              <w:iCs/>
            </w:rPr>
            <w:fldChar w:fldCharType="begin"/>
          </w:r>
          <w:r>
            <w:rPr>
              <w:i/>
              <w:iCs/>
            </w:rPr>
            <w:instrText xml:space="preserve">CITATION UKG19 \m UKG15 \m UKG11 \l 2057 </w:instrText>
          </w:r>
          <w:r>
            <w:rPr>
              <w:i/>
              <w:iCs/>
            </w:rPr>
            <w:fldChar w:fldCharType="separate"/>
          </w:r>
          <w:r>
            <w:rPr>
              <w:noProof/>
            </w:rPr>
            <w:t>(UK Government, 2019; UK Government, 2015; UK Government, 2011)</w:t>
          </w:r>
          <w:r>
            <w:rPr>
              <w:i/>
              <w:iCs/>
            </w:rPr>
            <w:fldChar w:fldCharType="end"/>
          </w:r>
        </w:sdtContent>
      </w:sdt>
    </w:p>
    <w:p w14:paraId="1486E935" w14:textId="2C3A315B" w:rsidR="00591E7D" w:rsidRDefault="00414493" w:rsidP="000D64B1">
      <w:r>
        <w:t xml:space="preserve">This is particularly </w:t>
      </w:r>
      <w:r w:rsidR="00E73CEF">
        <w:t>relevant</w:t>
      </w:r>
      <w:r>
        <w:t xml:space="preserve"> considering decreasing </w:t>
      </w:r>
      <w:r w:rsidR="00526103">
        <w:t>poverty</w:t>
      </w:r>
      <w:r>
        <w:t xml:space="preserve"> </w:t>
      </w:r>
      <w:r w:rsidR="00526103">
        <w:t xml:space="preserve">was one of the Preston Model’s chief priorities </w:t>
      </w:r>
      <w:sdt>
        <w:sdtPr>
          <w:id w:val="-238713510"/>
          <w:citation/>
        </w:sdtPr>
        <w:sdtContent>
          <w:r w:rsidR="00526103">
            <w:fldChar w:fldCharType="begin"/>
          </w:r>
          <w:r w:rsidR="00526103">
            <w:instrText xml:space="preserve">CITATION Pre191 \p 7 \l 2057 </w:instrText>
          </w:r>
          <w:r w:rsidR="00526103">
            <w:fldChar w:fldCharType="separate"/>
          </w:r>
          <w:r w:rsidR="00526103">
            <w:rPr>
              <w:noProof/>
            </w:rPr>
            <w:t>(Preston City Council, 2019, p. 7)</w:t>
          </w:r>
          <w:r w:rsidR="00526103">
            <w:fldChar w:fldCharType="end"/>
          </w:r>
        </w:sdtContent>
      </w:sdt>
      <w:r w:rsidR="00526103">
        <w:t>. Research is needed to compare this trend to control cities and determine if CWB has had any statistically significant effect on poverty levels.</w:t>
      </w:r>
    </w:p>
    <w:p w14:paraId="11780B2F" w14:textId="15D4BAF7" w:rsidR="00526103" w:rsidRDefault="00617544" w:rsidP="000D64B1">
      <w:r>
        <w:t xml:space="preserve">Finally, incorrectly assessing the long-term viability and effects of CWB </w:t>
      </w:r>
      <w:r w:rsidR="00E73CEF">
        <w:t xml:space="preserve">could </w:t>
      </w:r>
      <w:r>
        <w:t>result in wasted tax-payer money.</w:t>
      </w:r>
      <w:r w:rsidR="00AF6B20">
        <w:t xml:space="preserve"> </w:t>
      </w:r>
      <w:r w:rsidR="00591E7D">
        <w:t xml:space="preserve">If CWB </w:t>
      </w:r>
      <w:r w:rsidR="00526103">
        <w:t>produces no statistically significant</w:t>
      </w:r>
      <w:r w:rsidR="00E73CEF">
        <w:t>, long-term</w:t>
      </w:r>
      <w:r w:rsidR="00526103">
        <w:t xml:space="preserve"> improvements in the</w:t>
      </w:r>
      <w:r w:rsidR="00E73CEF">
        <w:t xml:space="preserve"> local</w:t>
      </w:r>
      <w:r w:rsidR="00526103">
        <w:t xml:space="preserve"> economy, employment or healt</w:t>
      </w:r>
      <w:r w:rsidR="00E73CEF">
        <w:t>h</w:t>
      </w:r>
      <w:r w:rsidR="00591E7D">
        <w:t xml:space="preserve">, </w:t>
      </w:r>
      <w:r w:rsidR="00526103">
        <w:t xml:space="preserve">many councils who have adopted CWB principles may </w:t>
      </w:r>
      <w:r w:rsidR="00E73CEF">
        <w:t>paying for economic rents rather than investing in alternatives which could have offered a better chance at alleviating hardships.</w:t>
      </w:r>
    </w:p>
    <w:p w14:paraId="165DF0C3" w14:textId="0DDD5D0C" w:rsidR="00523292" w:rsidRDefault="00523292" w:rsidP="00523292">
      <w:pPr>
        <w:pStyle w:val="Heading1"/>
      </w:pPr>
      <w:r>
        <w:lastRenderedPageBreak/>
        <w:t>Methodology</w:t>
      </w:r>
    </w:p>
    <w:p w14:paraId="0C638FCE" w14:textId="79EF0BAC" w:rsidR="00E6000D" w:rsidRDefault="00E6000D" w:rsidP="00E6000D">
      <w:pPr>
        <w:pStyle w:val="Heading2"/>
      </w:pPr>
      <w:r>
        <w:t>Parameters</w:t>
      </w:r>
    </w:p>
    <w:p w14:paraId="32FFC3AA" w14:textId="1C9B709A" w:rsidR="00E6000D" w:rsidRDefault="00E6000D" w:rsidP="00E6000D">
      <w:r>
        <w:t xml:space="preserve">The parameters I will be analysing to </w:t>
      </w:r>
      <w:r w:rsidR="00AA3FBE">
        <w:t>observe a statistically significant difference between Preston and the control group are:</w:t>
      </w:r>
    </w:p>
    <w:p w14:paraId="0DDD01DC" w14:textId="19363A91" w:rsidR="00AA3FBE" w:rsidRDefault="00AA3FBE" w:rsidP="00AA3FBE">
      <w:pPr>
        <w:pStyle w:val="ListParagraph"/>
        <w:numPr>
          <w:ilvl w:val="0"/>
          <w:numId w:val="4"/>
        </w:numPr>
      </w:pPr>
      <w:r>
        <w:t>Index of Multiple Depravation</w:t>
      </w:r>
      <w:r w:rsidR="002454B5">
        <w:t xml:space="preserve"> (IMD)</w:t>
      </w:r>
    </w:p>
    <w:p w14:paraId="1F4BB159" w14:textId="510CA2E6" w:rsidR="00AA3FBE" w:rsidRDefault="00AA3FBE" w:rsidP="00AA3FBE">
      <w:pPr>
        <w:pStyle w:val="ListParagraph"/>
        <w:numPr>
          <w:ilvl w:val="0"/>
          <w:numId w:val="4"/>
        </w:numPr>
      </w:pPr>
      <w:r>
        <w:t>GDP per capita</w:t>
      </w:r>
    </w:p>
    <w:p w14:paraId="4D03F0F2" w14:textId="6F77360B" w:rsidR="00B551AA" w:rsidRDefault="00B551AA" w:rsidP="00B551AA">
      <w:pPr>
        <w:pStyle w:val="ListParagraph"/>
        <w:numPr>
          <w:ilvl w:val="0"/>
          <w:numId w:val="4"/>
        </w:numPr>
      </w:pPr>
      <w:r>
        <w:t>Rent as a proportion of GDP</w:t>
      </w:r>
    </w:p>
    <w:p w14:paraId="5556392F" w14:textId="107C0EDF" w:rsidR="00AA3FBE" w:rsidRDefault="008A3C2F" w:rsidP="00AA3FBE">
      <w:pPr>
        <w:pStyle w:val="ListParagraph"/>
        <w:numPr>
          <w:ilvl w:val="0"/>
          <w:numId w:val="4"/>
        </w:numPr>
      </w:pPr>
      <w:r>
        <w:t>UK Competitiveness Index</w:t>
      </w:r>
    </w:p>
    <w:p w14:paraId="4C84CBCA" w14:textId="7E44C849" w:rsidR="00B551AA" w:rsidRPr="00E6000D" w:rsidRDefault="00B551AA" w:rsidP="00B551AA">
      <w:pPr>
        <w:pStyle w:val="ListParagraph"/>
        <w:numPr>
          <w:ilvl w:val="0"/>
          <w:numId w:val="4"/>
        </w:numPr>
      </w:pPr>
      <w:r>
        <w:t>Council expenditure</w:t>
      </w:r>
    </w:p>
    <w:p w14:paraId="2586ED3D" w14:textId="4F149A86" w:rsidR="00E6000D" w:rsidRDefault="00AA3FBE" w:rsidP="00E6000D">
      <w:pPr>
        <w:pStyle w:val="Heading2"/>
      </w:pPr>
      <w:r>
        <w:t xml:space="preserve">Collecting </w:t>
      </w:r>
      <w:r w:rsidR="002454B5">
        <w:t>and calculation</w:t>
      </w:r>
    </w:p>
    <w:p w14:paraId="12431F9F" w14:textId="1CF95016" w:rsidR="002454B5" w:rsidRDefault="00FA2AC2" w:rsidP="002454B5">
      <w:r>
        <w:t>T</w:t>
      </w:r>
      <w:r w:rsidR="002454B5">
        <w:t>he IMD, GDP per capita</w:t>
      </w:r>
      <w:r>
        <w:t xml:space="preserve">, and </w:t>
      </w:r>
      <w:r w:rsidR="002454B5">
        <w:t xml:space="preserve">UK competitiveness index will require very little calculation, as these figures are easily available and accessible in terms of local authorities </w:t>
      </w:r>
      <w:sdt>
        <w:sdtPr>
          <w:id w:val="-1132094688"/>
          <w:citation/>
        </w:sdtPr>
        <w:sdtContent>
          <w:r w:rsidR="002454B5">
            <w:fldChar w:fldCharType="begin"/>
          </w:r>
          <w:r w:rsidR="002454B5">
            <w:instrText xml:space="preserve"> CITATION UKG11 \l 2057  \m Off24 \m Cen</w:instrText>
          </w:r>
          <w:r w:rsidR="002454B5">
            <w:fldChar w:fldCharType="separate"/>
          </w:r>
          <w:r w:rsidR="002454B5">
            <w:rPr>
              <w:noProof/>
            </w:rPr>
            <w:t>(UK Government, 2011; Office of National Statistics, 2024; Centre for International Competitiveness)</w:t>
          </w:r>
          <w:r w:rsidR="002454B5">
            <w:fldChar w:fldCharType="end"/>
          </w:r>
        </w:sdtContent>
      </w:sdt>
      <w:r w:rsidR="002454B5">
        <w:t>.</w:t>
      </w:r>
      <w:r>
        <w:t xml:space="preserve"> Collecting council expenditure information is also trivial – it involves procuring the statement of accounts for Preston and each control city, for each of the years being analysed. This is publicly available information which every local authority must publish </w:t>
      </w:r>
      <w:sdt>
        <w:sdtPr>
          <w:id w:val="-150833100"/>
          <w:citation/>
        </w:sdtPr>
        <w:sdtContent>
          <w:r>
            <w:fldChar w:fldCharType="begin"/>
          </w:r>
          <w:r>
            <w:instrText xml:space="preserve"> CITATION Loc24 \l 2057 </w:instrText>
          </w:r>
          <w:r>
            <w:fldChar w:fldCharType="separate"/>
          </w:r>
          <w:r>
            <w:rPr>
              <w:noProof/>
            </w:rPr>
            <w:t>(Local Government Association, 2024)</w:t>
          </w:r>
          <w:r>
            <w:fldChar w:fldCharType="end"/>
          </w:r>
        </w:sdtContent>
      </w:sdt>
      <w:r>
        <w:t>.</w:t>
      </w:r>
    </w:p>
    <w:p w14:paraId="197922BE" w14:textId="6D153ABF" w:rsidR="00DB7E1F" w:rsidRDefault="00FA2AC2" w:rsidP="002454B5">
      <w:r>
        <w:t xml:space="preserve">I will </w:t>
      </w:r>
      <w:r w:rsidR="008771DD">
        <w:t xml:space="preserve">employ </w:t>
      </w:r>
      <w:r>
        <w:t xml:space="preserve">the methodology laid out by </w:t>
      </w:r>
      <w:proofErr w:type="spellStart"/>
      <w:r>
        <w:t>Stemerding</w:t>
      </w:r>
      <w:proofErr w:type="spellEnd"/>
      <w:r>
        <w:t xml:space="preserve"> (2023)</w:t>
      </w:r>
      <w:r w:rsidR="008771DD">
        <w:t xml:space="preserve"> to calculate each city’s (Preston’s and the controls’) rent as a proportion of GDP</w:t>
      </w:r>
      <w:r>
        <w:t xml:space="preserve">. </w:t>
      </w:r>
      <w:proofErr w:type="spellStart"/>
      <w:r w:rsidR="008771DD">
        <w:t>Stemerding’s</w:t>
      </w:r>
      <w:proofErr w:type="spellEnd"/>
      <w:r w:rsidR="008771DD">
        <w:t xml:space="preserve"> (2023) method uses surplus cash flow as a proxy for rent. To describe the method formally, surplus cash flow</w:t>
      </w:r>
      <w:r w:rsidR="00DB7E1F">
        <w:t xml:space="preserve"> (SCF)</w:t>
      </w:r>
      <w:r w:rsidR="008771DD">
        <w:t xml:space="preserve"> is the difference between your actual return on investment</w:t>
      </w:r>
      <w:r w:rsidR="00DB7E1F">
        <w:t xml:space="preserve"> and the normal return on investment</w:t>
      </w:r>
      <w:r w:rsidR="008771DD">
        <w:t xml:space="preserve">, i.e. </w:t>
      </w:r>
    </w:p>
    <w:p w14:paraId="6644FAF5" w14:textId="33AC72BD" w:rsidR="00DB7E1F" w:rsidRDefault="00DB7E1F" w:rsidP="00DB7E1F">
      <w:pPr>
        <w:jc w:val="center"/>
        <w:rPr>
          <w:rFonts w:eastAsiaTheme="minorEastAsia"/>
        </w:rPr>
      </w:pPr>
      <m:oMathPara>
        <m:oMath>
          <m:r>
            <w:rPr>
              <w:rFonts w:ascii="Cambria Math" w:hAnsi="Cambria Math"/>
            </w:rPr>
            <m:t>SCF=</m:t>
          </m:r>
          <m:r>
            <w:rPr>
              <w:rFonts w:ascii="Cambria Math" w:hAnsi="Cambria Math"/>
            </w:rPr>
            <m:t>gross operating surplus-investment</m:t>
          </m:r>
          <m:r>
            <w:rPr>
              <w:rFonts w:ascii="Cambria Math" w:hAnsi="Cambria Math"/>
            </w:rPr>
            <m:t>-normal return on investment</m:t>
          </m:r>
        </m:oMath>
      </m:oMathPara>
    </w:p>
    <w:p w14:paraId="1CE8038D" w14:textId="40400285" w:rsidR="00DB7E1F" w:rsidRDefault="00275405" w:rsidP="002454B5">
      <w:pPr>
        <w:rPr>
          <w:rFonts w:eastAsiaTheme="minorEastAsia"/>
        </w:rPr>
      </w:pPr>
      <w:r>
        <w:rPr>
          <w:rFonts w:eastAsiaTheme="minorEastAsia"/>
        </w:rPr>
        <w:t>To calculate the normal return on investment (</w:t>
      </w:r>
      <w:proofErr w:type="spellStart"/>
      <w:r>
        <w:rPr>
          <w:rFonts w:eastAsiaTheme="minorEastAsia"/>
        </w:rPr>
        <w:t>nROI</w:t>
      </w:r>
      <w:proofErr w:type="spellEnd"/>
      <w:r>
        <w:rPr>
          <w:rFonts w:eastAsiaTheme="minorEastAsia"/>
        </w:rPr>
        <w:t xml:space="preserve">) for a whole city, </w:t>
      </w:r>
      <w:proofErr w:type="spellStart"/>
      <w:r>
        <w:rPr>
          <w:rFonts w:eastAsiaTheme="minorEastAsia"/>
        </w:rPr>
        <w:t>Stemerding</w:t>
      </w:r>
      <w:proofErr w:type="spellEnd"/>
      <w:r>
        <w:rPr>
          <w:rFonts w:eastAsiaTheme="minorEastAsia"/>
        </w:rPr>
        <w:t xml:space="preserve"> (2023, p. 8) utilises the Capital Asset Pricing Model (CAPM), introducing </w:t>
      </w:r>
      <m:oMath>
        <m:r>
          <w:rPr>
            <w:rFonts w:ascii="Cambria Math" w:eastAsiaTheme="minorEastAsia" w:hAnsi="Cambria Math"/>
          </w:rPr>
          <m:t>β</m:t>
        </m:r>
      </m:oMath>
      <w:r w:rsidR="00DB7E1F">
        <w:rPr>
          <w:rFonts w:eastAsiaTheme="minorEastAsia"/>
          <w:i/>
          <w:iCs/>
        </w:rPr>
        <w:t xml:space="preserve">, </w:t>
      </w:r>
      <w:r w:rsidR="00DB7E1F">
        <w:rPr>
          <w:rFonts w:eastAsiaTheme="minorEastAsia"/>
        </w:rPr>
        <w:t xml:space="preserve">i.e., </w:t>
      </w:r>
      <w:r>
        <w:rPr>
          <w:rFonts w:eastAsiaTheme="minorEastAsia"/>
        </w:rPr>
        <w:t xml:space="preserve">how </w:t>
      </w:r>
      <w:r w:rsidR="00DB7E1F">
        <w:rPr>
          <w:rFonts w:eastAsiaTheme="minorEastAsia"/>
        </w:rPr>
        <w:t xml:space="preserve">strongly </w:t>
      </w:r>
      <w:r>
        <w:rPr>
          <w:rFonts w:eastAsiaTheme="minorEastAsia"/>
        </w:rPr>
        <w:t xml:space="preserve">a firm’s returns </w:t>
      </w:r>
      <w:r w:rsidR="00DB7E1F">
        <w:rPr>
          <w:rFonts w:eastAsiaTheme="minorEastAsia"/>
        </w:rPr>
        <w:t xml:space="preserve">correlate with </w:t>
      </w:r>
      <w:r>
        <w:rPr>
          <w:rFonts w:eastAsiaTheme="minorEastAsia"/>
        </w:rPr>
        <w:t>the business cycle</w:t>
      </w:r>
      <w:r w:rsidR="00DB7E1F">
        <w:rPr>
          <w:rFonts w:eastAsiaTheme="minorEastAsia"/>
        </w:rPr>
        <w:t>,</w:t>
      </w:r>
      <w:r>
        <w:rPr>
          <w:rFonts w:eastAsiaTheme="minorEastAsia"/>
        </w:rPr>
        <w:t xml:space="preserve"> and introducing the risk-free rate (RFR), i.e., the safest return on investment: typically a 10-year government bond </w:t>
      </w:r>
      <w:sdt>
        <w:sdtPr>
          <w:rPr>
            <w:rFonts w:eastAsiaTheme="minorEastAsia"/>
          </w:rPr>
          <w:id w:val="-1852939733"/>
          <w:citation/>
        </w:sdtPr>
        <w:sdtContent>
          <w:r>
            <w:rPr>
              <w:rFonts w:eastAsiaTheme="minorEastAsia"/>
            </w:rPr>
            <w:fldChar w:fldCharType="begin"/>
          </w:r>
          <w:r>
            <w:rPr>
              <w:rFonts w:eastAsiaTheme="minorEastAsia"/>
            </w:rPr>
            <w:instrText xml:space="preserve">CITATION Ste23 \p 8 \l 2057 </w:instrText>
          </w:r>
          <w:r>
            <w:rPr>
              <w:rFonts w:eastAsiaTheme="minorEastAsia"/>
            </w:rPr>
            <w:fldChar w:fldCharType="separate"/>
          </w:r>
          <w:r w:rsidRPr="00275405">
            <w:rPr>
              <w:rFonts w:eastAsiaTheme="minorEastAsia"/>
              <w:noProof/>
            </w:rPr>
            <w:t>(Stemerding, 2023, p. 8)</w:t>
          </w:r>
          <w:r>
            <w:rPr>
              <w:rFonts w:eastAsiaTheme="minorEastAsia"/>
            </w:rPr>
            <w:fldChar w:fldCharType="end"/>
          </w:r>
        </w:sdtContent>
      </w:sdt>
      <w:r>
        <w:rPr>
          <w:rFonts w:eastAsiaTheme="minorEastAsia"/>
        </w:rPr>
        <w:t xml:space="preserve">. The </w:t>
      </w:r>
      <w:proofErr w:type="spellStart"/>
      <w:r>
        <w:rPr>
          <w:rFonts w:eastAsiaTheme="minorEastAsia"/>
        </w:rPr>
        <w:t>nROI</w:t>
      </w:r>
      <w:proofErr w:type="spellEnd"/>
      <w:r>
        <w:rPr>
          <w:rFonts w:eastAsiaTheme="minorEastAsia"/>
        </w:rPr>
        <w:t xml:space="preserve"> is simply:</w:t>
      </w:r>
    </w:p>
    <w:p w14:paraId="24D349FE" w14:textId="72AD7FFB" w:rsidR="008771DD" w:rsidRPr="00DB7E1F" w:rsidRDefault="00275405" w:rsidP="00DB7E1F">
      <w:pPr>
        <w:jc w:val="center"/>
        <w:rPr>
          <w:rFonts w:eastAsiaTheme="minorEastAsia"/>
        </w:rPr>
      </w:pPr>
      <m:oMathPara>
        <m:oMath>
          <m:r>
            <w:rPr>
              <w:rFonts w:ascii="Cambria Math" w:eastAsiaTheme="minorEastAsia" w:hAnsi="Cambria Math"/>
            </w:rPr>
            <m:t>nROI= RFR+β</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market rate-RFR</m:t>
              </m:r>
            </m:e>
          </m:d>
        </m:oMath>
      </m:oMathPara>
    </w:p>
    <w:p w14:paraId="5F054786" w14:textId="53DA360E" w:rsidR="00DB7E1F" w:rsidRDefault="00DB7E1F" w:rsidP="00DB7E1F">
      <w:pPr>
        <w:rPr>
          <w:rFonts w:eastAsiaTheme="minorEastAsia"/>
        </w:rPr>
      </w:pPr>
      <w:r>
        <w:rPr>
          <w:rFonts w:eastAsiaTheme="minorEastAsia"/>
        </w:rPr>
        <w:t>I have collected all of the variables necessary and corresponding data sources in figure 6.</w:t>
      </w:r>
    </w:p>
    <w:tbl>
      <w:tblPr>
        <w:tblStyle w:val="GridTable6Colorful"/>
        <w:tblW w:w="0" w:type="auto"/>
        <w:tblLayout w:type="fixed"/>
        <w:tblLook w:val="04A0" w:firstRow="1" w:lastRow="0" w:firstColumn="1" w:lastColumn="0" w:noHBand="0" w:noVBand="1"/>
      </w:tblPr>
      <w:tblGrid>
        <w:gridCol w:w="3256"/>
        <w:gridCol w:w="3685"/>
        <w:gridCol w:w="2075"/>
      </w:tblGrid>
      <w:tr w:rsidR="00DB7E1F" w14:paraId="4E6F55C6" w14:textId="77777777" w:rsidTr="00CC7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A87B1B0" w14:textId="25489A77" w:rsidR="00DB7E1F" w:rsidRPr="00DB7E1F" w:rsidRDefault="00DB7E1F" w:rsidP="00DB7E1F">
            <w:pPr>
              <w:jc w:val="center"/>
              <w:rPr>
                <w:rFonts w:ascii="Aptos" w:eastAsia="Times New Roman" w:hAnsi="Aptos" w:cs="Times New Roman"/>
                <w:i/>
                <w:iCs/>
              </w:rPr>
            </w:pPr>
            <w:r w:rsidRPr="00DB7E1F">
              <w:rPr>
                <w:rFonts w:ascii="Aptos" w:eastAsia="Times New Roman" w:hAnsi="Aptos" w:cs="Times New Roman"/>
                <w:i/>
                <w:iCs/>
              </w:rPr>
              <w:t>Variable</w:t>
            </w:r>
          </w:p>
        </w:tc>
        <w:tc>
          <w:tcPr>
            <w:tcW w:w="3685" w:type="dxa"/>
          </w:tcPr>
          <w:p w14:paraId="52B88188" w14:textId="7C4B9D6B" w:rsidR="00DB7E1F" w:rsidRPr="00DB7E1F" w:rsidRDefault="00DB7E1F" w:rsidP="00DB7E1F">
            <w:pPr>
              <w:jc w:val="center"/>
              <w:cnfStyle w:val="100000000000" w:firstRow="1" w:lastRow="0" w:firstColumn="0" w:lastColumn="0" w:oddVBand="0" w:evenVBand="0" w:oddHBand="0" w:evenHBand="0" w:firstRowFirstColumn="0" w:firstRowLastColumn="0" w:lastRowFirstColumn="0" w:lastRowLastColumn="0"/>
              <w:rPr>
                <w:rFonts w:ascii="Aptos" w:eastAsiaTheme="minorEastAsia" w:hAnsi="Aptos"/>
                <w:i/>
                <w:iCs/>
              </w:rPr>
            </w:pPr>
            <w:r w:rsidRPr="00DB7E1F">
              <w:rPr>
                <w:rFonts w:ascii="Aptos" w:eastAsiaTheme="minorEastAsia" w:hAnsi="Aptos"/>
                <w:i/>
                <w:iCs/>
              </w:rPr>
              <w:t>Calculation</w:t>
            </w:r>
          </w:p>
        </w:tc>
        <w:tc>
          <w:tcPr>
            <w:tcW w:w="2075" w:type="dxa"/>
          </w:tcPr>
          <w:p w14:paraId="0B4E1B05" w14:textId="3F7E8951" w:rsidR="00DB7E1F" w:rsidRPr="00DB7E1F" w:rsidRDefault="00DB7E1F" w:rsidP="00DB7E1F">
            <w:pPr>
              <w:jc w:val="center"/>
              <w:cnfStyle w:val="100000000000" w:firstRow="1" w:lastRow="0" w:firstColumn="0" w:lastColumn="0" w:oddVBand="0" w:evenVBand="0" w:oddHBand="0" w:evenHBand="0" w:firstRowFirstColumn="0" w:firstRowLastColumn="0" w:lastRowFirstColumn="0" w:lastRowLastColumn="0"/>
              <w:rPr>
                <w:rFonts w:ascii="Aptos" w:eastAsiaTheme="minorEastAsia" w:hAnsi="Aptos"/>
                <w:i/>
                <w:iCs/>
              </w:rPr>
            </w:pPr>
            <w:r w:rsidRPr="00DB7E1F">
              <w:rPr>
                <w:rFonts w:ascii="Aptos" w:eastAsiaTheme="minorEastAsia" w:hAnsi="Aptos"/>
                <w:i/>
                <w:iCs/>
              </w:rPr>
              <w:t>Source</w:t>
            </w:r>
          </w:p>
        </w:tc>
      </w:tr>
      <w:tr w:rsidR="00DB7E1F" w14:paraId="28D7178C" w14:textId="356D6E3E" w:rsidTr="00CC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9ED4249" w14:textId="680F8624" w:rsidR="00DB7E1F" w:rsidRPr="00D02D55" w:rsidRDefault="00DB7E1F" w:rsidP="00D02D55">
            <w:pPr>
              <w:rPr>
                <w:rFonts w:eastAsiaTheme="minorEastAsia"/>
              </w:rPr>
            </w:pPr>
            <m:oMathPara>
              <m:oMathParaPr>
                <m:jc m:val="right"/>
              </m:oMathParaPr>
              <m:oMath>
                <m:r>
                  <m:rPr>
                    <m:sty m:val="bi"/>
                  </m:rPr>
                  <w:rPr>
                    <w:rFonts w:ascii="Cambria Math" w:eastAsiaTheme="minorEastAsia" w:hAnsi="Cambria Math"/>
                  </w:rPr>
                  <m:t>Gross Operating Surplus</m:t>
                </m:r>
              </m:oMath>
            </m:oMathPara>
          </w:p>
        </w:tc>
        <w:tc>
          <w:tcPr>
            <w:tcW w:w="3685" w:type="dxa"/>
          </w:tcPr>
          <w:p w14:paraId="6E14A3A6" w14:textId="147B42BC" w:rsidR="00DB7E1F" w:rsidRPr="00DB7E1F" w:rsidRDefault="00D02D55" w:rsidP="00D02D55">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Gross Value Added – Total Employee Compensation</w:t>
            </w:r>
          </w:p>
        </w:tc>
        <w:tc>
          <w:tcPr>
            <w:tcW w:w="2075" w:type="dxa"/>
          </w:tcPr>
          <w:p w14:paraId="422B17D1" w14:textId="2DF83429" w:rsidR="00DB7E1F" w:rsidRPr="00DB7E1F" w:rsidRDefault="00CC7613" w:rsidP="00D02D55">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sdt>
              <w:sdtPr>
                <w:rPr>
                  <w:rFonts w:eastAsiaTheme="minorEastAsia"/>
                  <w:sz w:val="20"/>
                  <w:szCs w:val="20"/>
                </w:rPr>
                <w:id w:val="70161619"/>
                <w:citation/>
              </w:sdtPr>
              <w:sdtContent>
                <w:r>
                  <w:rPr>
                    <w:rFonts w:eastAsiaTheme="minorEastAsia"/>
                    <w:sz w:val="20"/>
                    <w:szCs w:val="20"/>
                  </w:rPr>
                  <w:fldChar w:fldCharType="begin"/>
                </w:r>
                <w:r>
                  <w:rPr>
                    <w:rFonts w:eastAsiaTheme="minorEastAsia"/>
                    <w:sz w:val="20"/>
                    <w:szCs w:val="20"/>
                  </w:rPr>
                  <w:instrText xml:space="preserve"> CITATION Off24 \l 2057  \m Off18</w:instrText>
                </w:r>
                <w:r>
                  <w:rPr>
                    <w:rFonts w:eastAsiaTheme="minorEastAsia"/>
                    <w:sz w:val="20"/>
                    <w:szCs w:val="20"/>
                  </w:rPr>
                  <w:fldChar w:fldCharType="separate"/>
                </w:r>
                <w:r w:rsidRPr="00CC7613">
                  <w:rPr>
                    <w:rFonts w:eastAsiaTheme="minorEastAsia"/>
                    <w:noProof/>
                    <w:sz w:val="20"/>
                    <w:szCs w:val="20"/>
                  </w:rPr>
                  <w:t>(Office of National Statistics, 2024; Office for National Statistics, 2018)</w:t>
                </w:r>
                <w:r>
                  <w:rPr>
                    <w:rFonts w:eastAsiaTheme="minorEastAsia"/>
                    <w:sz w:val="20"/>
                    <w:szCs w:val="20"/>
                  </w:rPr>
                  <w:fldChar w:fldCharType="end"/>
                </w:r>
              </w:sdtContent>
            </w:sdt>
          </w:p>
        </w:tc>
      </w:tr>
      <w:tr w:rsidR="00DB7E1F" w14:paraId="1DAD9E30" w14:textId="0A3D77DC" w:rsidTr="00CC7613">
        <w:tc>
          <w:tcPr>
            <w:cnfStyle w:val="001000000000" w:firstRow="0" w:lastRow="0" w:firstColumn="1" w:lastColumn="0" w:oddVBand="0" w:evenVBand="0" w:oddHBand="0" w:evenHBand="0" w:firstRowFirstColumn="0" w:firstRowLastColumn="0" w:lastRowFirstColumn="0" w:lastRowLastColumn="0"/>
            <w:tcW w:w="3256" w:type="dxa"/>
          </w:tcPr>
          <w:p w14:paraId="5EAF17DF" w14:textId="2D1CE62F" w:rsidR="00DB7E1F" w:rsidRPr="00D02D55" w:rsidRDefault="00DB7E1F" w:rsidP="00D02D55">
            <w:pPr>
              <w:rPr>
                <w:rFonts w:eastAsiaTheme="minorEastAsia"/>
              </w:rPr>
            </w:pPr>
            <m:oMathPara>
              <m:oMathParaPr>
                <m:jc m:val="right"/>
              </m:oMathParaPr>
              <m:oMath>
                <m:r>
                  <m:rPr>
                    <m:sty m:val="bi"/>
                  </m:rPr>
                  <w:rPr>
                    <w:rFonts w:ascii="Cambria Math" w:eastAsiaTheme="minorEastAsia" w:hAnsi="Cambria Math"/>
                  </w:rPr>
                  <m:t>Investment</m:t>
                </m:r>
              </m:oMath>
            </m:oMathPara>
          </w:p>
        </w:tc>
        <w:tc>
          <w:tcPr>
            <w:tcW w:w="3685" w:type="dxa"/>
          </w:tcPr>
          <w:p w14:paraId="7E33A0D2" w14:textId="7C86261C" w:rsidR="00DB7E1F" w:rsidRPr="00DB7E1F" w:rsidRDefault="00D02D55" w:rsidP="00D02D55">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Equivalent to fixed capital formation (FCF)</w:t>
            </w:r>
            <w:r w:rsidR="00CC7613">
              <w:rPr>
                <w:rFonts w:eastAsiaTheme="minorEastAsia"/>
                <w:sz w:val="20"/>
                <w:szCs w:val="20"/>
              </w:rPr>
              <w:t xml:space="preserve"> </w:t>
            </w:r>
            <w:sdt>
              <w:sdtPr>
                <w:rPr>
                  <w:rFonts w:eastAsiaTheme="minorEastAsia"/>
                  <w:sz w:val="20"/>
                  <w:szCs w:val="20"/>
                </w:rPr>
                <w:id w:val="462628496"/>
                <w:citation/>
              </w:sdtPr>
              <w:sdtContent>
                <w:r w:rsidR="00CC7613">
                  <w:rPr>
                    <w:rFonts w:eastAsiaTheme="minorEastAsia"/>
                    <w:sz w:val="20"/>
                    <w:szCs w:val="20"/>
                  </w:rPr>
                  <w:fldChar w:fldCharType="begin"/>
                </w:r>
                <w:r w:rsidR="00CC7613">
                  <w:rPr>
                    <w:rFonts w:eastAsiaTheme="minorEastAsia"/>
                    <w:sz w:val="20"/>
                    <w:szCs w:val="20"/>
                  </w:rPr>
                  <w:instrText xml:space="preserve">CITATION Ste23 \p 8 \l 2057 </w:instrText>
                </w:r>
                <w:r w:rsidR="00CC7613">
                  <w:rPr>
                    <w:rFonts w:eastAsiaTheme="minorEastAsia"/>
                    <w:sz w:val="20"/>
                    <w:szCs w:val="20"/>
                  </w:rPr>
                  <w:fldChar w:fldCharType="separate"/>
                </w:r>
                <w:r w:rsidR="00CC7613" w:rsidRPr="00CC7613">
                  <w:rPr>
                    <w:rFonts w:eastAsiaTheme="minorEastAsia"/>
                    <w:noProof/>
                    <w:sz w:val="20"/>
                    <w:szCs w:val="20"/>
                  </w:rPr>
                  <w:t>(Stemerding, 2023, p. 8)</w:t>
                </w:r>
                <w:r w:rsidR="00CC7613">
                  <w:rPr>
                    <w:rFonts w:eastAsiaTheme="minorEastAsia"/>
                    <w:sz w:val="20"/>
                    <w:szCs w:val="20"/>
                  </w:rPr>
                  <w:fldChar w:fldCharType="end"/>
                </w:r>
              </w:sdtContent>
            </w:sdt>
          </w:p>
        </w:tc>
        <w:tc>
          <w:tcPr>
            <w:tcW w:w="2075" w:type="dxa"/>
          </w:tcPr>
          <w:p w14:paraId="732BD89C" w14:textId="77E9B605" w:rsidR="00DB7E1F" w:rsidRPr="00DB7E1F" w:rsidRDefault="00CC7613" w:rsidP="00D02D55">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sdt>
              <w:sdtPr>
                <w:rPr>
                  <w:rFonts w:eastAsiaTheme="minorEastAsia"/>
                  <w:sz w:val="20"/>
                  <w:szCs w:val="20"/>
                </w:rPr>
                <w:id w:val="-1915310920"/>
                <w:citation/>
              </w:sdtPr>
              <w:sdtContent>
                <w:r>
                  <w:rPr>
                    <w:rFonts w:eastAsiaTheme="minorEastAsia"/>
                    <w:sz w:val="20"/>
                    <w:szCs w:val="20"/>
                  </w:rPr>
                  <w:fldChar w:fldCharType="begin"/>
                </w:r>
                <w:r>
                  <w:rPr>
                    <w:rFonts w:eastAsiaTheme="minorEastAsia"/>
                    <w:sz w:val="20"/>
                    <w:szCs w:val="20"/>
                  </w:rPr>
                  <w:instrText xml:space="preserve"> CITATION Off23a \l 2057 </w:instrText>
                </w:r>
                <w:r>
                  <w:rPr>
                    <w:rFonts w:eastAsiaTheme="minorEastAsia"/>
                    <w:sz w:val="20"/>
                    <w:szCs w:val="20"/>
                  </w:rPr>
                  <w:fldChar w:fldCharType="separate"/>
                </w:r>
                <w:r w:rsidRPr="00CC7613">
                  <w:rPr>
                    <w:rFonts w:eastAsiaTheme="minorEastAsia"/>
                    <w:noProof/>
                    <w:sz w:val="20"/>
                    <w:szCs w:val="20"/>
                  </w:rPr>
                  <w:t>(Office for National Statistics, 2023)</w:t>
                </w:r>
                <w:r>
                  <w:rPr>
                    <w:rFonts w:eastAsiaTheme="minorEastAsia"/>
                    <w:sz w:val="20"/>
                    <w:szCs w:val="20"/>
                  </w:rPr>
                  <w:fldChar w:fldCharType="end"/>
                </w:r>
              </w:sdtContent>
            </w:sdt>
          </w:p>
        </w:tc>
      </w:tr>
      <w:tr w:rsidR="00DB7E1F" w14:paraId="0A7BDF5E" w14:textId="7421C085" w:rsidTr="00CC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89A61B1" w14:textId="7204E98A" w:rsidR="00DB7E1F" w:rsidRPr="00D02D55" w:rsidRDefault="00DB7E1F" w:rsidP="00D02D55">
            <w:pPr>
              <w:rPr>
                <w:rFonts w:eastAsiaTheme="minorEastAsia"/>
              </w:rPr>
            </w:pPr>
            <m:oMathPara>
              <m:oMathParaPr>
                <m:jc m:val="right"/>
              </m:oMathParaPr>
              <m:oMath>
                <m:r>
                  <m:rPr>
                    <m:sty m:val="bi"/>
                  </m:rPr>
                  <w:rPr>
                    <w:rFonts w:ascii="Cambria Math" w:eastAsiaTheme="minorEastAsia" w:hAnsi="Cambria Math"/>
                  </w:rPr>
                  <m:t>β</m:t>
                </m:r>
              </m:oMath>
            </m:oMathPara>
          </w:p>
        </w:tc>
        <w:tc>
          <w:tcPr>
            <w:tcW w:w="3685" w:type="dxa"/>
          </w:tcPr>
          <w:p w14:paraId="45A29D5D" w14:textId="2B2D4E8C" w:rsidR="00DB7E1F" w:rsidRPr="00DB7E1F" w:rsidRDefault="00D02D55" w:rsidP="00D02D55">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 xml:space="preserve">A list of the top 5 biggest industries in a city will be compiled, and those industries’ </w:t>
            </w:r>
            <m:oMath>
              <m:r>
                <w:rPr>
                  <w:rFonts w:ascii="Cambria Math" w:eastAsiaTheme="minorEastAsia" w:hAnsi="Cambria Math"/>
                  <w:sz w:val="20"/>
                  <w:szCs w:val="20"/>
                </w:rPr>
                <m:t>β</m:t>
              </m:r>
            </m:oMath>
            <w:r>
              <w:rPr>
                <w:rFonts w:eastAsiaTheme="minorEastAsia"/>
                <w:sz w:val="20"/>
                <w:szCs w:val="20"/>
              </w:rPr>
              <w:t xml:space="preserve"> will be </w:t>
            </w:r>
            <w:r w:rsidR="00CC7613">
              <w:rPr>
                <w:rFonts w:eastAsiaTheme="minorEastAsia"/>
                <w:sz w:val="20"/>
                <w:szCs w:val="20"/>
              </w:rPr>
              <w:t xml:space="preserve">found by matching with a list of known industry </w:t>
            </w:r>
            <m:oMath>
              <m:r>
                <w:rPr>
                  <w:rFonts w:ascii="Cambria Math" w:eastAsiaTheme="minorEastAsia" w:hAnsi="Cambria Math"/>
                  <w:sz w:val="20"/>
                  <w:szCs w:val="20"/>
                </w:rPr>
                <m:t>β</m:t>
              </m:r>
            </m:oMath>
            <w:r w:rsidR="00CC7613">
              <w:rPr>
                <w:rFonts w:eastAsiaTheme="minorEastAsia"/>
                <w:sz w:val="20"/>
                <w:szCs w:val="20"/>
              </w:rPr>
              <w:t xml:space="preserve">s. A weighted average </w:t>
            </w:r>
            <m:oMath>
              <m:r>
                <w:rPr>
                  <w:rFonts w:ascii="Cambria Math" w:eastAsiaTheme="minorEastAsia" w:hAnsi="Cambria Math"/>
                  <w:sz w:val="20"/>
                  <w:szCs w:val="20"/>
                </w:rPr>
                <m:t>β</m:t>
              </m:r>
            </m:oMath>
            <w:r w:rsidR="00CC7613">
              <w:rPr>
                <w:rFonts w:eastAsiaTheme="minorEastAsia"/>
                <w:sz w:val="20"/>
                <w:szCs w:val="20"/>
              </w:rPr>
              <w:t xml:space="preserve"> will then be calculated.</w:t>
            </w:r>
          </w:p>
        </w:tc>
        <w:tc>
          <w:tcPr>
            <w:tcW w:w="2075" w:type="dxa"/>
          </w:tcPr>
          <w:p w14:paraId="4DE3A53A" w14:textId="6D08161E" w:rsidR="00DB7E1F" w:rsidRPr="00DB7E1F" w:rsidRDefault="00CC7613" w:rsidP="00D02D55">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sdt>
              <w:sdtPr>
                <w:rPr>
                  <w:rFonts w:eastAsiaTheme="minorEastAsia"/>
                  <w:sz w:val="20"/>
                  <w:szCs w:val="20"/>
                </w:rPr>
                <w:id w:val="246160948"/>
                <w:citation/>
              </w:sdtPr>
              <w:sdtContent>
                <w:r>
                  <w:rPr>
                    <w:rFonts w:eastAsiaTheme="minorEastAsia"/>
                    <w:sz w:val="20"/>
                    <w:szCs w:val="20"/>
                  </w:rPr>
                  <w:fldChar w:fldCharType="begin"/>
                </w:r>
                <w:r w:rsidR="009C082A">
                  <w:rPr>
                    <w:rFonts w:eastAsiaTheme="minorEastAsia"/>
                    <w:sz w:val="20"/>
                    <w:szCs w:val="20"/>
                  </w:rPr>
                  <w:instrText>CITATION Pri09 \l 2057  \m Lan</w:instrText>
                </w:r>
                <w:r>
                  <w:rPr>
                    <w:rFonts w:eastAsiaTheme="minorEastAsia"/>
                    <w:sz w:val="20"/>
                    <w:szCs w:val="20"/>
                  </w:rPr>
                  <w:fldChar w:fldCharType="separate"/>
                </w:r>
                <w:r w:rsidR="009C082A" w:rsidRPr="009C082A">
                  <w:rPr>
                    <w:rFonts w:eastAsiaTheme="minorEastAsia"/>
                    <w:noProof/>
                    <w:sz w:val="20"/>
                    <w:szCs w:val="20"/>
                  </w:rPr>
                  <w:t>(PwC, 2009; Lancashire City Council)</w:t>
                </w:r>
                <w:r>
                  <w:rPr>
                    <w:rFonts w:eastAsiaTheme="minorEastAsia"/>
                    <w:sz w:val="20"/>
                    <w:szCs w:val="20"/>
                  </w:rPr>
                  <w:fldChar w:fldCharType="end"/>
                </w:r>
              </w:sdtContent>
            </w:sdt>
          </w:p>
        </w:tc>
      </w:tr>
      <w:tr w:rsidR="00DB7E1F" w14:paraId="11B29B33" w14:textId="3146861A" w:rsidTr="00CC7613">
        <w:tc>
          <w:tcPr>
            <w:cnfStyle w:val="001000000000" w:firstRow="0" w:lastRow="0" w:firstColumn="1" w:lastColumn="0" w:oddVBand="0" w:evenVBand="0" w:oddHBand="0" w:evenHBand="0" w:firstRowFirstColumn="0" w:firstRowLastColumn="0" w:lastRowFirstColumn="0" w:lastRowLastColumn="0"/>
            <w:tcW w:w="3256" w:type="dxa"/>
          </w:tcPr>
          <w:p w14:paraId="4D34BFD0" w14:textId="20933A25" w:rsidR="00DB7E1F" w:rsidRPr="00D02D55" w:rsidRDefault="00DB7E1F" w:rsidP="00D02D55">
            <w:pPr>
              <w:rPr>
                <w:rFonts w:eastAsiaTheme="minorEastAsia"/>
              </w:rPr>
            </w:pPr>
            <m:oMathPara>
              <m:oMathParaPr>
                <m:jc m:val="right"/>
              </m:oMathParaPr>
              <m:oMath>
                <m:r>
                  <m:rPr>
                    <m:sty m:val="bi"/>
                  </m:rPr>
                  <w:rPr>
                    <w:rFonts w:ascii="Cambria Math" w:eastAsiaTheme="minorEastAsia" w:hAnsi="Cambria Math"/>
                  </w:rPr>
                  <m:t>Risk free rate</m:t>
                </m:r>
              </m:oMath>
            </m:oMathPara>
          </w:p>
        </w:tc>
        <w:tc>
          <w:tcPr>
            <w:tcW w:w="3685" w:type="dxa"/>
          </w:tcPr>
          <w:p w14:paraId="7BAF5DE9" w14:textId="24144EB6" w:rsidR="00DB7E1F" w:rsidRPr="00DB7E1F" w:rsidRDefault="00CC7613" w:rsidP="00D02D55">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This is the investment multiplied by a ten-year bond yield.</w:t>
            </w:r>
          </w:p>
        </w:tc>
        <w:tc>
          <w:tcPr>
            <w:tcW w:w="2075" w:type="dxa"/>
          </w:tcPr>
          <w:p w14:paraId="799359BA" w14:textId="3F317E34" w:rsidR="00DB7E1F" w:rsidRPr="00DB7E1F" w:rsidRDefault="009C082A" w:rsidP="00D02D55">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sdt>
              <w:sdtPr>
                <w:rPr>
                  <w:rFonts w:eastAsiaTheme="minorEastAsia"/>
                  <w:sz w:val="20"/>
                  <w:szCs w:val="20"/>
                </w:rPr>
                <w:id w:val="-1443451598"/>
                <w:citation/>
              </w:sdtPr>
              <w:sdtContent>
                <w:r>
                  <w:rPr>
                    <w:rFonts w:eastAsiaTheme="minorEastAsia"/>
                    <w:sz w:val="20"/>
                    <w:szCs w:val="20"/>
                  </w:rPr>
                  <w:fldChar w:fldCharType="begin"/>
                </w:r>
                <w:r>
                  <w:rPr>
                    <w:rFonts w:eastAsiaTheme="minorEastAsia"/>
                    <w:sz w:val="20"/>
                    <w:szCs w:val="20"/>
                  </w:rPr>
                  <w:instrText xml:space="preserve"> CITATION Tra24 \l 2057 </w:instrText>
                </w:r>
                <w:r>
                  <w:rPr>
                    <w:rFonts w:eastAsiaTheme="minorEastAsia"/>
                    <w:sz w:val="20"/>
                    <w:szCs w:val="20"/>
                  </w:rPr>
                  <w:fldChar w:fldCharType="separate"/>
                </w:r>
                <w:r w:rsidRPr="009C082A">
                  <w:rPr>
                    <w:rFonts w:eastAsiaTheme="minorEastAsia"/>
                    <w:noProof/>
                    <w:sz w:val="20"/>
                    <w:szCs w:val="20"/>
                  </w:rPr>
                  <w:t>(Trading Economics, 2024)</w:t>
                </w:r>
                <w:r>
                  <w:rPr>
                    <w:rFonts w:eastAsiaTheme="minorEastAsia"/>
                    <w:sz w:val="20"/>
                    <w:szCs w:val="20"/>
                  </w:rPr>
                  <w:fldChar w:fldCharType="end"/>
                </w:r>
              </w:sdtContent>
            </w:sdt>
          </w:p>
        </w:tc>
      </w:tr>
      <w:tr w:rsidR="00DB7E1F" w14:paraId="528107E9" w14:textId="24E61CF3" w:rsidTr="00CC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BF8A835" w14:textId="2B09D0F8" w:rsidR="00DB7E1F" w:rsidRPr="00D02D55" w:rsidRDefault="00DB7E1F" w:rsidP="00D02D55">
            <w:pPr>
              <w:rPr>
                <w:rFonts w:eastAsiaTheme="minorEastAsia"/>
              </w:rPr>
            </w:pPr>
            <m:oMathPara>
              <m:oMathParaPr>
                <m:jc m:val="right"/>
              </m:oMathParaPr>
              <m:oMath>
                <m:r>
                  <m:rPr>
                    <m:sty m:val="bi"/>
                  </m:rPr>
                  <w:rPr>
                    <w:rFonts w:ascii="Cambria Math" w:eastAsiaTheme="minorEastAsia" w:hAnsi="Cambria Math"/>
                  </w:rPr>
                  <m:t>Market Rate</m:t>
                </m:r>
              </m:oMath>
            </m:oMathPara>
          </w:p>
        </w:tc>
        <w:tc>
          <w:tcPr>
            <w:tcW w:w="3685" w:type="dxa"/>
          </w:tcPr>
          <w:p w14:paraId="5D59A0F7" w14:textId="053C4F06" w:rsidR="00DB7E1F" w:rsidRPr="00DB7E1F" w:rsidRDefault="00CC7613" w:rsidP="00D02D55">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Gross Operating Surplus - Investment</w:t>
            </w:r>
          </w:p>
        </w:tc>
        <w:tc>
          <w:tcPr>
            <w:tcW w:w="2075" w:type="dxa"/>
          </w:tcPr>
          <w:p w14:paraId="2AF14ACE" w14:textId="18B0AC46" w:rsidR="00DB7E1F" w:rsidRPr="009C082A" w:rsidRDefault="009C082A" w:rsidP="00D02D55">
            <w:pPr>
              <w:cnfStyle w:val="000000100000" w:firstRow="0" w:lastRow="0" w:firstColumn="0" w:lastColumn="0" w:oddVBand="0" w:evenVBand="0" w:oddHBand="1" w:evenHBand="0" w:firstRowFirstColumn="0" w:firstRowLastColumn="0" w:lastRowFirstColumn="0" w:lastRowLastColumn="0"/>
              <w:rPr>
                <w:rFonts w:eastAsiaTheme="minorEastAsia"/>
                <w:i/>
                <w:iCs/>
                <w:sz w:val="20"/>
                <w:szCs w:val="20"/>
              </w:rPr>
            </w:pPr>
            <w:r>
              <w:rPr>
                <w:rFonts w:eastAsiaTheme="minorEastAsia"/>
                <w:i/>
                <w:iCs/>
                <w:sz w:val="20"/>
                <w:szCs w:val="20"/>
              </w:rPr>
              <w:t>Already stated.</w:t>
            </w:r>
          </w:p>
        </w:tc>
      </w:tr>
      <w:tr w:rsidR="00DB7E1F" w14:paraId="57457B6F" w14:textId="05CF80FA" w:rsidTr="00CC7613">
        <w:tc>
          <w:tcPr>
            <w:cnfStyle w:val="001000000000" w:firstRow="0" w:lastRow="0" w:firstColumn="1" w:lastColumn="0" w:oddVBand="0" w:evenVBand="0" w:oddHBand="0" w:evenHBand="0" w:firstRowFirstColumn="0" w:firstRowLastColumn="0" w:lastRowFirstColumn="0" w:lastRowLastColumn="0"/>
            <w:tcW w:w="3256" w:type="dxa"/>
          </w:tcPr>
          <w:p w14:paraId="3B1949DD" w14:textId="09C28DF9" w:rsidR="00DB7E1F" w:rsidRPr="00D02D55" w:rsidRDefault="00DB7E1F" w:rsidP="00D02D55">
            <w:pPr>
              <w:rPr>
                <w:rFonts w:eastAsiaTheme="minorEastAsia"/>
              </w:rPr>
            </w:pPr>
            <m:oMathPara>
              <m:oMathParaPr>
                <m:jc m:val="right"/>
              </m:oMathParaPr>
              <m:oMath>
                <m:r>
                  <m:rPr>
                    <m:sty m:val="bi"/>
                  </m:rPr>
                  <w:rPr>
                    <w:rFonts w:ascii="Cambria Math" w:eastAsiaTheme="minorEastAsia" w:hAnsi="Cambria Math"/>
                  </w:rPr>
                  <w:lastRenderedPageBreak/>
                  <m:t>Rent as a percentage of GDP</m:t>
                </m:r>
              </m:oMath>
            </m:oMathPara>
          </w:p>
        </w:tc>
        <w:tc>
          <w:tcPr>
            <w:tcW w:w="3685" w:type="dxa"/>
          </w:tcPr>
          <w:p w14:paraId="5433836B" w14:textId="37609DEC" w:rsidR="00DB7E1F" w:rsidRPr="00DB7E1F" w:rsidRDefault="00CC7613" w:rsidP="00D02D55">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SCF divided by Gross Value Added</w:t>
            </w:r>
          </w:p>
        </w:tc>
        <w:tc>
          <w:tcPr>
            <w:tcW w:w="2075" w:type="dxa"/>
          </w:tcPr>
          <w:p w14:paraId="0493BCE2" w14:textId="3CBBDBA8" w:rsidR="00DB7E1F" w:rsidRPr="009C082A" w:rsidRDefault="009C082A" w:rsidP="00D02D55">
            <w:pPr>
              <w:cnfStyle w:val="000000000000" w:firstRow="0" w:lastRow="0" w:firstColumn="0" w:lastColumn="0" w:oddVBand="0" w:evenVBand="0" w:oddHBand="0" w:evenHBand="0" w:firstRowFirstColumn="0" w:firstRowLastColumn="0" w:lastRowFirstColumn="0" w:lastRowLastColumn="0"/>
              <w:rPr>
                <w:rFonts w:eastAsiaTheme="minorEastAsia"/>
                <w:i/>
                <w:iCs/>
                <w:sz w:val="20"/>
                <w:szCs w:val="20"/>
              </w:rPr>
            </w:pPr>
            <w:r>
              <w:rPr>
                <w:rFonts w:eastAsiaTheme="minorEastAsia"/>
                <w:i/>
                <w:iCs/>
                <w:sz w:val="20"/>
                <w:szCs w:val="20"/>
              </w:rPr>
              <w:t>Already stated.</w:t>
            </w:r>
          </w:p>
        </w:tc>
      </w:tr>
    </w:tbl>
    <w:p w14:paraId="6229E0DA" w14:textId="77777777" w:rsidR="00DB7E1F" w:rsidRPr="00275405" w:rsidRDefault="00DB7E1F" w:rsidP="00DB7E1F">
      <w:pPr>
        <w:rPr>
          <w:rFonts w:eastAsiaTheme="minorEastAsia"/>
        </w:rPr>
      </w:pPr>
    </w:p>
    <w:p w14:paraId="20F3AB42" w14:textId="5E815F7B" w:rsidR="00E6000D" w:rsidRDefault="00E6000D" w:rsidP="00E6000D">
      <w:pPr>
        <w:pStyle w:val="Heading2"/>
      </w:pPr>
      <w:r>
        <w:t>Difference-in-differences method</w:t>
      </w:r>
    </w:p>
    <w:p w14:paraId="63CB09C4" w14:textId="77777777" w:rsidR="009C082A" w:rsidRPr="009C082A" w:rsidRDefault="009C082A" w:rsidP="009C082A"/>
    <w:p w14:paraId="296CC31E" w14:textId="6A5B1A27" w:rsidR="00E6000D" w:rsidRDefault="00E6000D" w:rsidP="00E6000D">
      <w:pPr>
        <w:pStyle w:val="Heading2"/>
      </w:pPr>
      <w:r>
        <w:t>Synthetic control method</w:t>
      </w:r>
    </w:p>
    <w:p w14:paraId="637875D1" w14:textId="77777777" w:rsidR="00E6000D" w:rsidRPr="00E6000D" w:rsidRDefault="00E6000D" w:rsidP="00E6000D"/>
    <w:p w14:paraId="32CEDB4A" w14:textId="6FAA6D4D" w:rsidR="00E6000D" w:rsidRPr="00E6000D" w:rsidRDefault="00E6000D" w:rsidP="00E6000D">
      <w:r>
        <w:t xml:space="preserve">I’ll be using data provided </w:t>
      </w:r>
    </w:p>
    <w:p w14:paraId="3D9C57B3" w14:textId="77777777" w:rsidR="00FA33F1" w:rsidRDefault="00FA33F1" w:rsidP="00FA33F1">
      <w:r>
        <w:t>Difference-in-differences study similar to the Rose et al. 2023 paper.</w:t>
      </w:r>
    </w:p>
    <w:p w14:paraId="31DD4BC4" w14:textId="77777777" w:rsidR="00FA33F1" w:rsidRDefault="00FA33F1" w:rsidP="00FA33F1">
      <w:pPr>
        <w:pStyle w:val="ListParagraph"/>
        <w:numPr>
          <w:ilvl w:val="0"/>
          <w:numId w:val="3"/>
        </w:numPr>
      </w:pPr>
      <w:r>
        <w:t>How will similar cities be found?</w:t>
      </w:r>
    </w:p>
    <w:p w14:paraId="11B0719A" w14:textId="77777777" w:rsidR="00FA33F1" w:rsidRDefault="00FA33F1" w:rsidP="00FA33F1">
      <w:pPr>
        <w:pStyle w:val="ListParagraph"/>
        <w:numPr>
          <w:ilvl w:val="0"/>
          <w:numId w:val="3"/>
        </w:numPr>
      </w:pPr>
      <w:r>
        <w:t>Propensity score measuring (Stuart et al. 2014)</w:t>
      </w:r>
    </w:p>
    <w:p w14:paraId="3902DACA" w14:textId="27FAC812" w:rsidR="00FA33F1" w:rsidRDefault="00FA33F1" w:rsidP="00FA33F1">
      <w:pPr>
        <w:pStyle w:val="ListParagraph"/>
        <w:numPr>
          <w:ilvl w:val="0"/>
          <w:numId w:val="3"/>
        </w:numPr>
      </w:pPr>
      <w:r>
        <w:t xml:space="preserve">How has the proportion of funds spend locally changed since </w:t>
      </w:r>
      <w:r w:rsidR="00E33065">
        <w:t>2015</w:t>
      </w:r>
      <w:r>
        <w:t>?</w:t>
      </w:r>
    </w:p>
    <w:p w14:paraId="3D9059EA" w14:textId="77777777" w:rsidR="00FA33F1" w:rsidRDefault="00FA33F1" w:rsidP="00FA33F1">
      <w:pPr>
        <w:pStyle w:val="ListParagraph"/>
        <w:numPr>
          <w:ilvl w:val="0"/>
          <w:numId w:val="3"/>
        </w:numPr>
      </w:pPr>
      <w:r>
        <w:t>What parameters?</w:t>
      </w:r>
    </w:p>
    <w:p w14:paraId="65D63A60" w14:textId="77777777" w:rsidR="00FA33F1" w:rsidRDefault="00FA33F1" w:rsidP="00FA33F1">
      <w:pPr>
        <w:pStyle w:val="ListParagraph"/>
        <w:numPr>
          <w:ilvl w:val="1"/>
          <w:numId w:val="3"/>
        </w:numPr>
      </w:pPr>
      <w:r>
        <w:t>Index of multiple depravation</w:t>
      </w:r>
    </w:p>
    <w:p w14:paraId="668A62F1" w14:textId="1EDF2EA9" w:rsidR="00FA33F1" w:rsidRDefault="00E33065" w:rsidP="00FA33F1">
      <w:pPr>
        <w:pStyle w:val="ListParagraph"/>
        <w:numPr>
          <w:ilvl w:val="1"/>
          <w:numId w:val="3"/>
        </w:numPr>
      </w:pPr>
      <w:r>
        <w:t>Local GDP</w:t>
      </w:r>
    </w:p>
    <w:p w14:paraId="72979739" w14:textId="64F4383A" w:rsidR="00E33065" w:rsidRDefault="00E33065" w:rsidP="00FA33F1">
      <w:pPr>
        <w:pStyle w:val="ListParagraph"/>
        <w:numPr>
          <w:ilvl w:val="1"/>
          <w:numId w:val="3"/>
        </w:numPr>
      </w:pPr>
      <w:r>
        <w:t>Competitiveness</w:t>
      </w:r>
    </w:p>
    <w:p w14:paraId="021A6255" w14:textId="067399B4" w:rsidR="00E33065" w:rsidRDefault="00E33065" w:rsidP="00FA33F1">
      <w:pPr>
        <w:pStyle w:val="ListParagraph"/>
        <w:numPr>
          <w:ilvl w:val="1"/>
          <w:numId w:val="3"/>
        </w:numPr>
      </w:pPr>
      <w:r>
        <w:t>Employment</w:t>
      </w:r>
    </w:p>
    <w:p w14:paraId="4CF8266D" w14:textId="7D5C5BBA" w:rsidR="00523292" w:rsidRDefault="00523292" w:rsidP="00523292">
      <w:pPr>
        <w:pStyle w:val="Heading2"/>
      </w:pPr>
      <w:r>
        <w:t>Analysis</w:t>
      </w:r>
    </w:p>
    <w:p w14:paraId="6372B637" w14:textId="77777777" w:rsidR="00A234CB" w:rsidRDefault="00A234CB" w:rsidP="00A234CB">
      <w:pPr>
        <w:pStyle w:val="ListParagraph"/>
        <w:numPr>
          <w:ilvl w:val="0"/>
          <w:numId w:val="1"/>
        </w:numPr>
      </w:pPr>
      <w:r>
        <w:t>Look at equation</w:t>
      </w:r>
    </w:p>
    <w:p w14:paraId="60101140" w14:textId="0661E233" w:rsidR="00A234CB" w:rsidRPr="00A234CB" w:rsidRDefault="00A234CB" w:rsidP="00A234CB">
      <w:pPr>
        <w:pStyle w:val="ListParagraph"/>
        <w:numPr>
          <w:ilvl w:val="1"/>
          <w:numId w:val="1"/>
        </w:numPr>
      </w:pPr>
      <w:r>
        <w:t>Explain each parameter</w:t>
      </w:r>
    </w:p>
    <w:p w14:paraId="0D65415F" w14:textId="6F5E9AB1" w:rsidR="00523292" w:rsidRDefault="00D04F69" w:rsidP="00D04F69">
      <w:pPr>
        <w:pStyle w:val="ListParagraph"/>
        <w:numPr>
          <w:ilvl w:val="0"/>
          <w:numId w:val="1"/>
        </w:numPr>
      </w:pPr>
      <w:r>
        <w:t>What will the results mean?</w:t>
      </w:r>
    </w:p>
    <w:p w14:paraId="04D1A49E" w14:textId="73B3AFB8" w:rsidR="00D04F69" w:rsidRDefault="00D04F69" w:rsidP="00D04F69">
      <w:pPr>
        <w:pStyle w:val="ListParagraph"/>
        <w:numPr>
          <w:ilvl w:val="1"/>
          <w:numId w:val="1"/>
        </w:numPr>
      </w:pPr>
      <w:r>
        <w:t>Insignificant effects will mean that local councils should take another look at CWB</w:t>
      </w:r>
    </w:p>
    <w:p w14:paraId="58D9BD31" w14:textId="10D71702" w:rsidR="00A234CB" w:rsidRDefault="00A234CB" w:rsidP="00D04F69">
      <w:pPr>
        <w:pStyle w:val="ListParagraph"/>
        <w:numPr>
          <w:ilvl w:val="1"/>
          <w:numId w:val="1"/>
        </w:numPr>
      </w:pPr>
      <w:r>
        <w:t>Seeing how local procurement has actually changed will be illuminating</w:t>
      </w:r>
    </w:p>
    <w:p w14:paraId="09117DEE" w14:textId="4D7EF9B4" w:rsidR="00A234CB" w:rsidRDefault="00A234CB" w:rsidP="00A234CB">
      <w:pPr>
        <w:pStyle w:val="ListParagraph"/>
        <w:numPr>
          <w:ilvl w:val="2"/>
          <w:numId w:val="1"/>
        </w:numPr>
      </w:pPr>
      <w:r>
        <w:t>If it hasn’t increased too heavily, accusations of protectionism will be less relevant as the only agents possibly incurring higher costs are private institutions.</w:t>
      </w:r>
    </w:p>
    <w:sectPr w:rsidR="00A23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50A32"/>
    <w:multiLevelType w:val="hybridMultilevel"/>
    <w:tmpl w:val="9BB4E03C"/>
    <w:lvl w:ilvl="0" w:tplc="3D460FF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D560E5"/>
    <w:multiLevelType w:val="hybridMultilevel"/>
    <w:tmpl w:val="520056C8"/>
    <w:lvl w:ilvl="0" w:tplc="78EEB85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F53EC2"/>
    <w:multiLevelType w:val="hybridMultilevel"/>
    <w:tmpl w:val="A96E6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4A68ED"/>
    <w:multiLevelType w:val="hybridMultilevel"/>
    <w:tmpl w:val="AC2E07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72490836">
    <w:abstractNumId w:val="0"/>
  </w:num>
  <w:num w:numId="2" w16cid:durableId="1351957516">
    <w:abstractNumId w:val="3"/>
  </w:num>
  <w:num w:numId="3" w16cid:durableId="1437216071">
    <w:abstractNumId w:val="1"/>
  </w:num>
  <w:num w:numId="4" w16cid:durableId="1522663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92"/>
    <w:rsid w:val="000D64B1"/>
    <w:rsid w:val="001334A6"/>
    <w:rsid w:val="0021509F"/>
    <w:rsid w:val="002454B5"/>
    <w:rsid w:val="00264DC6"/>
    <w:rsid w:val="00275405"/>
    <w:rsid w:val="00293843"/>
    <w:rsid w:val="002E400D"/>
    <w:rsid w:val="002F3664"/>
    <w:rsid w:val="002F4BC2"/>
    <w:rsid w:val="00340C48"/>
    <w:rsid w:val="00342FA8"/>
    <w:rsid w:val="0035443B"/>
    <w:rsid w:val="00391030"/>
    <w:rsid w:val="00414493"/>
    <w:rsid w:val="00472BFE"/>
    <w:rsid w:val="00486EAD"/>
    <w:rsid w:val="004E516A"/>
    <w:rsid w:val="00512D43"/>
    <w:rsid w:val="00523292"/>
    <w:rsid w:val="00525768"/>
    <w:rsid w:val="00526103"/>
    <w:rsid w:val="0058336B"/>
    <w:rsid w:val="00591E7D"/>
    <w:rsid w:val="00617544"/>
    <w:rsid w:val="006427CE"/>
    <w:rsid w:val="00696E35"/>
    <w:rsid w:val="006B3B57"/>
    <w:rsid w:val="006D2D7C"/>
    <w:rsid w:val="0075640C"/>
    <w:rsid w:val="007A2772"/>
    <w:rsid w:val="007C07BD"/>
    <w:rsid w:val="00812783"/>
    <w:rsid w:val="00825186"/>
    <w:rsid w:val="00872F6B"/>
    <w:rsid w:val="008771DD"/>
    <w:rsid w:val="00895444"/>
    <w:rsid w:val="008A3C2F"/>
    <w:rsid w:val="00941B25"/>
    <w:rsid w:val="00955B26"/>
    <w:rsid w:val="0099374E"/>
    <w:rsid w:val="009C082A"/>
    <w:rsid w:val="009F05AB"/>
    <w:rsid w:val="00A234CB"/>
    <w:rsid w:val="00A50952"/>
    <w:rsid w:val="00AA3C7D"/>
    <w:rsid w:val="00AA3FBE"/>
    <w:rsid w:val="00AA7468"/>
    <w:rsid w:val="00AF6B20"/>
    <w:rsid w:val="00B02E6D"/>
    <w:rsid w:val="00B1378F"/>
    <w:rsid w:val="00B2131D"/>
    <w:rsid w:val="00B551AA"/>
    <w:rsid w:val="00BA0036"/>
    <w:rsid w:val="00BE2EA1"/>
    <w:rsid w:val="00BE4EB8"/>
    <w:rsid w:val="00C368AA"/>
    <w:rsid w:val="00CC1095"/>
    <w:rsid w:val="00CC2D31"/>
    <w:rsid w:val="00CC727C"/>
    <w:rsid w:val="00CC7613"/>
    <w:rsid w:val="00D0238F"/>
    <w:rsid w:val="00D02D55"/>
    <w:rsid w:val="00D04F69"/>
    <w:rsid w:val="00D33E16"/>
    <w:rsid w:val="00D70925"/>
    <w:rsid w:val="00DB7E1F"/>
    <w:rsid w:val="00DC5D0D"/>
    <w:rsid w:val="00DD67C8"/>
    <w:rsid w:val="00DE7AAE"/>
    <w:rsid w:val="00E33065"/>
    <w:rsid w:val="00E6000D"/>
    <w:rsid w:val="00E73CEF"/>
    <w:rsid w:val="00E80507"/>
    <w:rsid w:val="00EB51B0"/>
    <w:rsid w:val="00ED6D24"/>
    <w:rsid w:val="00EE04B4"/>
    <w:rsid w:val="00F0347E"/>
    <w:rsid w:val="00F16FD0"/>
    <w:rsid w:val="00F5721E"/>
    <w:rsid w:val="00F666E6"/>
    <w:rsid w:val="00FA176F"/>
    <w:rsid w:val="00FA2AC2"/>
    <w:rsid w:val="00FA3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2222"/>
  <w15:chartTrackingRefBased/>
  <w15:docId w15:val="{DD408600-04EA-44C8-9761-46262061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2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32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232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32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32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32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2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2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2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2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32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232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32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32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3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292"/>
    <w:rPr>
      <w:rFonts w:eastAsiaTheme="majorEastAsia" w:cstheme="majorBidi"/>
      <w:color w:val="272727" w:themeColor="text1" w:themeTint="D8"/>
    </w:rPr>
  </w:style>
  <w:style w:type="paragraph" w:styleId="Title">
    <w:name w:val="Title"/>
    <w:basedOn w:val="Normal"/>
    <w:next w:val="Normal"/>
    <w:link w:val="TitleChar"/>
    <w:uiPriority w:val="10"/>
    <w:qFormat/>
    <w:rsid w:val="005232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2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2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292"/>
    <w:pPr>
      <w:spacing w:before="160"/>
      <w:jc w:val="center"/>
    </w:pPr>
    <w:rPr>
      <w:i/>
      <w:iCs/>
      <w:color w:val="404040" w:themeColor="text1" w:themeTint="BF"/>
    </w:rPr>
  </w:style>
  <w:style w:type="character" w:customStyle="1" w:styleId="QuoteChar">
    <w:name w:val="Quote Char"/>
    <w:basedOn w:val="DefaultParagraphFont"/>
    <w:link w:val="Quote"/>
    <w:uiPriority w:val="29"/>
    <w:rsid w:val="00523292"/>
    <w:rPr>
      <w:i/>
      <w:iCs/>
      <w:color w:val="404040" w:themeColor="text1" w:themeTint="BF"/>
    </w:rPr>
  </w:style>
  <w:style w:type="paragraph" w:styleId="ListParagraph">
    <w:name w:val="List Paragraph"/>
    <w:basedOn w:val="Normal"/>
    <w:uiPriority w:val="34"/>
    <w:qFormat/>
    <w:rsid w:val="00523292"/>
    <w:pPr>
      <w:ind w:left="720"/>
      <w:contextualSpacing/>
    </w:pPr>
  </w:style>
  <w:style w:type="character" w:styleId="IntenseEmphasis">
    <w:name w:val="Intense Emphasis"/>
    <w:basedOn w:val="DefaultParagraphFont"/>
    <w:uiPriority w:val="21"/>
    <w:qFormat/>
    <w:rsid w:val="00523292"/>
    <w:rPr>
      <w:i/>
      <w:iCs/>
      <w:color w:val="2F5496" w:themeColor="accent1" w:themeShade="BF"/>
    </w:rPr>
  </w:style>
  <w:style w:type="paragraph" w:styleId="IntenseQuote">
    <w:name w:val="Intense Quote"/>
    <w:basedOn w:val="Normal"/>
    <w:next w:val="Normal"/>
    <w:link w:val="IntenseQuoteChar"/>
    <w:uiPriority w:val="30"/>
    <w:qFormat/>
    <w:rsid w:val="005232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3292"/>
    <w:rPr>
      <w:i/>
      <w:iCs/>
      <w:color w:val="2F5496" w:themeColor="accent1" w:themeShade="BF"/>
    </w:rPr>
  </w:style>
  <w:style w:type="character" w:styleId="IntenseReference">
    <w:name w:val="Intense Reference"/>
    <w:basedOn w:val="DefaultParagraphFont"/>
    <w:uiPriority w:val="32"/>
    <w:qFormat/>
    <w:rsid w:val="00523292"/>
    <w:rPr>
      <w:b/>
      <w:bCs/>
      <w:smallCaps/>
      <w:color w:val="2F5496" w:themeColor="accent1" w:themeShade="BF"/>
      <w:spacing w:val="5"/>
    </w:rPr>
  </w:style>
  <w:style w:type="character" w:styleId="PlaceholderText">
    <w:name w:val="Placeholder Text"/>
    <w:basedOn w:val="DefaultParagraphFont"/>
    <w:uiPriority w:val="99"/>
    <w:semiHidden/>
    <w:rsid w:val="008771DD"/>
    <w:rPr>
      <w:color w:val="666666"/>
    </w:rPr>
  </w:style>
  <w:style w:type="table" w:styleId="TableGrid">
    <w:name w:val="Table Grid"/>
    <w:basedOn w:val="TableNormal"/>
    <w:uiPriority w:val="39"/>
    <w:rsid w:val="00DB7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B7E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
    <w:name w:val="Grid Table 6 Colorful"/>
    <w:basedOn w:val="TableNormal"/>
    <w:uiPriority w:val="51"/>
    <w:rsid w:val="00DB7E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87579">
      <w:bodyDiv w:val="1"/>
      <w:marLeft w:val="0"/>
      <w:marRight w:val="0"/>
      <w:marTop w:val="0"/>
      <w:marBottom w:val="0"/>
      <w:divBdr>
        <w:top w:val="none" w:sz="0" w:space="0" w:color="auto"/>
        <w:left w:val="none" w:sz="0" w:space="0" w:color="auto"/>
        <w:bottom w:val="none" w:sz="0" w:space="0" w:color="auto"/>
        <w:right w:val="none" w:sz="0" w:space="0" w:color="auto"/>
      </w:divBdr>
    </w:div>
    <w:div w:id="76633078">
      <w:bodyDiv w:val="1"/>
      <w:marLeft w:val="0"/>
      <w:marRight w:val="0"/>
      <w:marTop w:val="0"/>
      <w:marBottom w:val="0"/>
      <w:divBdr>
        <w:top w:val="none" w:sz="0" w:space="0" w:color="auto"/>
        <w:left w:val="none" w:sz="0" w:space="0" w:color="auto"/>
        <w:bottom w:val="none" w:sz="0" w:space="0" w:color="auto"/>
        <w:right w:val="none" w:sz="0" w:space="0" w:color="auto"/>
      </w:divBdr>
    </w:div>
    <w:div w:id="160318339">
      <w:bodyDiv w:val="1"/>
      <w:marLeft w:val="0"/>
      <w:marRight w:val="0"/>
      <w:marTop w:val="0"/>
      <w:marBottom w:val="0"/>
      <w:divBdr>
        <w:top w:val="none" w:sz="0" w:space="0" w:color="auto"/>
        <w:left w:val="none" w:sz="0" w:space="0" w:color="auto"/>
        <w:bottom w:val="none" w:sz="0" w:space="0" w:color="auto"/>
        <w:right w:val="none" w:sz="0" w:space="0" w:color="auto"/>
      </w:divBdr>
    </w:div>
    <w:div w:id="174615749">
      <w:bodyDiv w:val="1"/>
      <w:marLeft w:val="0"/>
      <w:marRight w:val="0"/>
      <w:marTop w:val="0"/>
      <w:marBottom w:val="0"/>
      <w:divBdr>
        <w:top w:val="none" w:sz="0" w:space="0" w:color="auto"/>
        <w:left w:val="none" w:sz="0" w:space="0" w:color="auto"/>
        <w:bottom w:val="none" w:sz="0" w:space="0" w:color="auto"/>
        <w:right w:val="none" w:sz="0" w:space="0" w:color="auto"/>
      </w:divBdr>
    </w:div>
    <w:div w:id="184756432">
      <w:bodyDiv w:val="1"/>
      <w:marLeft w:val="0"/>
      <w:marRight w:val="0"/>
      <w:marTop w:val="0"/>
      <w:marBottom w:val="0"/>
      <w:divBdr>
        <w:top w:val="none" w:sz="0" w:space="0" w:color="auto"/>
        <w:left w:val="none" w:sz="0" w:space="0" w:color="auto"/>
        <w:bottom w:val="none" w:sz="0" w:space="0" w:color="auto"/>
        <w:right w:val="none" w:sz="0" w:space="0" w:color="auto"/>
      </w:divBdr>
    </w:div>
    <w:div w:id="191378997">
      <w:bodyDiv w:val="1"/>
      <w:marLeft w:val="0"/>
      <w:marRight w:val="0"/>
      <w:marTop w:val="0"/>
      <w:marBottom w:val="0"/>
      <w:divBdr>
        <w:top w:val="none" w:sz="0" w:space="0" w:color="auto"/>
        <w:left w:val="none" w:sz="0" w:space="0" w:color="auto"/>
        <w:bottom w:val="none" w:sz="0" w:space="0" w:color="auto"/>
        <w:right w:val="none" w:sz="0" w:space="0" w:color="auto"/>
      </w:divBdr>
    </w:div>
    <w:div w:id="206726827">
      <w:bodyDiv w:val="1"/>
      <w:marLeft w:val="0"/>
      <w:marRight w:val="0"/>
      <w:marTop w:val="0"/>
      <w:marBottom w:val="0"/>
      <w:divBdr>
        <w:top w:val="none" w:sz="0" w:space="0" w:color="auto"/>
        <w:left w:val="none" w:sz="0" w:space="0" w:color="auto"/>
        <w:bottom w:val="none" w:sz="0" w:space="0" w:color="auto"/>
        <w:right w:val="none" w:sz="0" w:space="0" w:color="auto"/>
      </w:divBdr>
    </w:div>
    <w:div w:id="239605959">
      <w:bodyDiv w:val="1"/>
      <w:marLeft w:val="0"/>
      <w:marRight w:val="0"/>
      <w:marTop w:val="0"/>
      <w:marBottom w:val="0"/>
      <w:divBdr>
        <w:top w:val="none" w:sz="0" w:space="0" w:color="auto"/>
        <w:left w:val="none" w:sz="0" w:space="0" w:color="auto"/>
        <w:bottom w:val="none" w:sz="0" w:space="0" w:color="auto"/>
        <w:right w:val="none" w:sz="0" w:space="0" w:color="auto"/>
      </w:divBdr>
    </w:div>
    <w:div w:id="242494962">
      <w:bodyDiv w:val="1"/>
      <w:marLeft w:val="0"/>
      <w:marRight w:val="0"/>
      <w:marTop w:val="0"/>
      <w:marBottom w:val="0"/>
      <w:divBdr>
        <w:top w:val="none" w:sz="0" w:space="0" w:color="auto"/>
        <w:left w:val="none" w:sz="0" w:space="0" w:color="auto"/>
        <w:bottom w:val="none" w:sz="0" w:space="0" w:color="auto"/>
        <w:right w:val="none" w:sz="0" w:space="0" w:color="auto"/>
      </w:divBdr>
    </w:div>
    <w:div w:id="300430097">
      <w:bodyDiv w:val="1"/>
      <w:marLeft w:val="0"/>
      <w:marRight w:val="0"/>
      <w:marTop w:val="0"/>
      <w:marBottom w:val="0"/>
      <w:divBdr>
        <w:top w:val="none" w:sz="0" w:space="0" w:color="auto"/>
        <w:left w:val="none" w:sz="0" w:space="0" w:color="auto"/>
        <w:bottom w:val="none" w:sz="0" w:space="0" w:color="auto"/>
        <w:right w:val="none" w:sz="0" w:space="0" w:color="auto"/>
      </w:divBdr>
    </w:div>
    <w:div w:id="309481422">
      <w:bodyDiv w:val="1"/>
      <w:marLeft w:val="0"/>
      <w:marRight w:val="0"/>
      <w:marTop w:val="0"/>
      <w:marBottom w:val="0"/>
      <w:divBdr>
        <w:top w:val="none" w:sz="0" w:space="0" w:color="auto"/>
        <w:left w:val="none" w:sz="0" w:space="0" w:color="auto"/>
        <w:bottom w:val="none" w:sz="0" w:space="0" w:color="auto"/>
        <w:right w:val="none" w:sz="0" w:space="0" w:color="auto"/>
      </w:divBdr>
    </w:div>
    <w:div w:id="311377365">
      <w:bodyDiv w:val="1"/>
      <w:marLeft w:val="0"/>
      <w:marRight w:val="0"/>
      <w:marTop w:val="0"/>
      <w:marBottom w:val="0"/>
      <w:divBdr>
        <w:top w:val="none" w:sz="0" w:space="0" w:color="auto"/>
        <w:left w:val="none" w:sz="0" w:space="0" w:color="auto"/>
        <w:bottom w:val="none" w:sz="0" w:space="0" w:color="auto"/>
        <w:right w:val="none" w:sz="0" w:space="0" w:color="auto"/>
      </w:divBdr>
    </w:div>
    <w:div w:id="321660898">
      <w:bodyDiv w:val="1"/>
      <w:marLeft w:val="0"/>
      <w:marRight w:val="0"/>
      <w:marTop w:val="0"/>
      <w:marBottom w:val="0"/>
      <w:divBdr>
        <w:top w:val="none" w:sz="0" w:space="0" w:color="auto"/>
        <w:left w:val="none" w:sz="0" w:space="0" w:color="auto"/>
        <w:bottom w:val="none" w:sz="0" w:space="0" w:color="auto"/>
        <w:right w:val="none" w:sz="0" w:space="0" w:color="auto"/>
      </w:divBdr>
    </w:div>
    <w:div w:id="364717468">
      <w:bodyDiv w:val="1"/>
      <w:marLeft w:val="0"/>
      <w:marRight w:val="0"/>
      <w:marTop w:val="0"/>
      <w:marBottom w:val="0"/>
      <w:divBdr>
        <w:top w:val="none" w:sz="0" w:space="0" w:color="auto"/>
        <w:left w:val="none" w:sz="0" w:space="0" w:color="auto"/>
        <w:bottom w:val="none" w:sz="0" w:space="0" w:color="auto"/>
        <w:right w:val="none" w:sz="0" w:space="0" w:color="auto"/>
      </w:divBdr>
    </w:div>
    <w:div w:id="372535041">
      <w:bodyDiv w:val="1"/>
      <w:marLeft w:val="0"/>
      <w:marRight w:val="0"/>
      <w:marTop w:val="0"/>
      <w:marBottom w:val="0"/>
      <w:divBdr>
        <w:top w:val="none" w:sz="0" w:space="0" w:color="auto"/>
        <w:left w:val="none" w:sz="0" w:space="0" w:color="auto"/>
        <w:bottom w:val="none" w:sz="0" w:space="0" w:color="auto"/>
        <w:right w:val="none" w:sz="0" w:space="0" w:color="auto"/>
      </w:divBdr>
    </w:div>
    <w:div w:id="382796686">
      <w:bodyDiv w:val="1"/>
      <w:marLeft w:val="0"/>
      <w:marRight w:val="0"/>
      <w:marTop w:val="0"/>
      <w:marBottom w:val="0"/>
      <w:divBdr>
        <w:top w:val="none" w:sz="0" w:space="0" w:color="auto"/>
        <w:left w:val="none" w:sz="0" w:space="0" w:color="auto"/>
        <w:bottom w:val="none" w:sz="0" w:space="0" w:color="auto"/>
        <w:right w:val="none" w:sz="0" w:space="0" w:color="auto"/>
      </w:divBdr>
    </w:div>
    <w:div w:id="387919444">
      <w:bodyDiv w:val="1"/>
      <w:marLeft w:val="0"/>
      <w:marRight w:val="0"/>
      <w:marTop w:val="0"/>
      <w:marBottom w:val="0"/>
      <w:divBdr>
        <w:top w:val="none" w:sz="0" w:space="0" w:color="auto"/>
        <w:left w:val="none" w:sz="0" w:space="0" w:color="auto"/>
        <w:bottom w:val="none" w:sz="0" w:space="0" w:color="auto"/>
        <w:right w:val="none" w:sz="0" w:space="0" w:color="auto"/>
      </w:divBdr>
    </w:div>
    <w:div w:id="400367959">
      <w:bodyDiv w:val="1"/>
      <w:marLeft w:val="0"/>
      <w:marRight w:val="0"/>
      <w:marTop w:val="0"/>
      <w:marBottom w:val="0"/>
      <w:divBdr>
        <w:top w:val="none" w:sz="0" w:space="0" w:color="auto"/>
        <w:left w:val="none" w:sz="0" w:space="0" w:color="auto"/>
        <w:bottom w:val="none" w:sz="0" w:space="0" w:color="auto"/>
        <w:right w:val="none" w:sz="0" w:space="0" w:color="auto"/>
      </w:divBdr>
    </w:div>
    <w:div w:id="480510880">
      <w:bodyDiv w:val="1"/>
      <w:marLeft w:val="0"/>
      <w:marRight w:val="0"/>
      <w:marTop w:val="0"/>
      <w:marBottom w:val="0"/>
      <w:divBdr>
        <w:top w:val="none" w:sz="0" w:space="0" w:color="auto"/>
        <w:left w:val="none" w:sz="0" w:space="0" w:color="auto"/>
        <w:bottom w:val="none" w:sz="0" w:space="0" w:color="auto"/>
        <w:right w:val="none" w:sz="0" w:space="0" w:color="auto"/>
      </w:divBdr>
    </w:div>
    <w:div w:id="515772261">
      <w:bodyDiv w:val="1"/>
      <w:marLeft w:val="0"/>
      <w:marRight w:val="0"/>
      <w:marTop w:val="0"/>
      <w:marBottom w:val="0"/>
      <w:divBdr>
        <w:top w:val="none" w:sz="0" w:space="0" w:color="auto"/>
        <w:left w:val="none" w:sz="0" w:space="0" w:color="auto"/>
        <w:bottom w:val="none" w:sz="0" w:space="0" w:color="auto"/>
        <w:right w:val="none" w:sz="0" w:space="0" w:color="auto"/>
      </w:divBdr>
    </w:div>
    <w:div w:id="551381129">
      <w:bodyDiv w:val="1"/>
      <w:marLeft w:val="0"/>
      <w:marRight w:val="0"/>
      <w:marTop w:val="0"/>
      <w:marBottom w:val="0"/>
      <w:divBdr>
        <w:top w:val="none" w:sz="0" w:space="0" w:color="auto"/>
        <w:left w:val="none" w:sz="0" w:space="0" w:color="auto"/>
        <w:bottom w:val="none" w:sz="0" w:space="0" w:color="auto"/>
        <w:right w:val="none" w:sz="0" w:space="0" w:color="auto"/>
      </w:divBdr>
    </w:div>
    <w:div w:id="554510428">
      <w:bodyDiv w:val="1"/>
      <w:marLeft w:val="0"/>
      <w:marRight w:val="0"/>
      <w:marTop w:val="0"/>
      <w:marBottom w:val="0"/>
      <w:divBdr>
        <w:top w:val="none" w:sz="0" w:space="0" w:color="auto"/>
        <w:left w:val="none" w:sz="0" w:space="0" w:color="auto"/>
        <w:bottom w:val="none" w:sz="0" w:space="0" w:color="auto"/>
        <w:right w:val="none" w:sz="0" w:space="0" w:color="auto"/>
      </w:divBdr>
    </w:div>
    <w:div w:id="602419597">
      <w:bodyDiv w:val="1"/>
      <w:marLeft w:val="0"/>
      <w:marRight w:val="0"/>
      <w:marTop w:val="0"/>
      <w:marBottom w:val="0"/>
      <w:divBdr>
        <w:top w:val="none" w:sz="0" w:space="0" w:color="auto"/>
        <w:left w:val="none" w:sz="0" w:space="0" w:color="auto"/>
        <w:bottom w:val="none" w:sz="0" w:space="0" w:color="auto"/>
        <w:right w:val="none" w:sz="0" w:space="0" w:color="auto"/>
      </w:divBdr>
    </w:div>
    <w:div w:id="624235213">
      <w:bodyDiv w:val="1"/>
      <w:marLeft w:val="0"/>
      <w:marRight w:val="0"/>
      <w:marTop w:val="0"/>
      <w:marBottom w:val="0"/>
      <w:divBdr>
        <w:top w:val="none" w:sz="0" w:space="0" w:color="auto"/>
        <w:left w:val="none" w:sz="0" w:space="0" w:color="auto"/>
        <w:bottom w:val="none" w:sz="0" w:space="0" w:color="auto"/>
        <w:right w:val="none" w:sz="0" w:space="0" w:color="auto"/>
      </w:divBdr>
    </w:div>
    <w:div w:id="660618293">
      <w:bodyDiv w:val="1"/>
      <w:marLeft w:val="0"/>
      <w:marRight w:val="0"/>
      <w:marTop w:val="0"/>
      <w:marBottom w:val="0"/>
      <w:divBdr>
        <w:top w:val="none" w:sz="0" w:space="0" w:color="auto"/>
        <w:left w:val="none" w:sz="0" w:space="0" w:color="auto"/>
        <w:bottom w:val="none" w:sz="0" w:space="0" w:color="auto"/>
        <w:right w:val="none" w:sz="0" w:space="0" w:color="auto"/>
      </w:divBdr>
    </w:div>
    <w:div w:id="680011688">
      <w:bodyDiv w:val="1"/>
      <w:marLeft w:val="0"/>
      <w:marRight w:val="0"/>
      <w:marTop w:val="0"/>
      <w:marBottom w:val="0"/>
      <w:divBdr>
        <w:top w:val="none" w:sz="0" w:space="0" w:color="auto"/>
        <w:left w:val="none" w:sz="0" w:space="0" w:color="auto"/>
        <w:bottom w:val="none" w:sz="0" w:space="0" w:color="auto"/>
        <w:right w:val="none" w:sz="0" w:space="0" w:color="auto"/>
      </w:divBdr>
    </w:div>
    <w:div w:id="762459065">
      <w:bodyDiv w:val="1"/>
      <w:marLeft w:val="0"/>
      <w:marRight w:val="0"/>
      <w:marTop w:val="0"/>
      <w:marBottom w:val="0"/>
      <w:divBdr>
        <w:top w:val="none" w:sz="0" w:space="0" w:color="auto"/>
        <w:left w:val="none" w:sz="0" w:space="0" w:color="auto"/>
        <w:bottom w:val="none" w:sz="0" w:space="0" w:color="auto"/>
        <w:right w:val="none" w:sz="0" w:space="0" w:color="auto"/>
      </w:divBdr>
    </w:div>
    <w:div w:id="806357023">
      <w:bodyDiv w:val="1"/>
      <w:marLeft w:val="0"/>
      <w:marRight w:val="0"/>
      <w:marTop w:val="0"/>
      <w:marBottom w:val="0"/>
      <w:divBdr>
        <w:top w:val="none" w:sz="0" w:space="0" w:color="auto"/>
        <w:left w:val="none" w:sz="0" w:space="0" w:color="auto"/>
        <w:bottom w:val="none" w:sz="0" w:space="0" w:color="auto"/>
        <w:right w:val="none" w:sz="0" w:space="0" w:color="auto"/>
      </w:divBdr>
    </w:div>
    <w:div w:id="813058687">
      <w:bodyDiv w:val="1"/>
      <w:marLeft w:val="0"/>
      <w:marRight w:val="0"/>
      <w:marTop w:val="0"/>
      <w:marBottom w:val="0"/>
      <w:divBdr>
        <w:top w:val="none" w:sz="0" w:space="0" w:color="auto"/>
        <w:left w:val="none" w:sz="0" w:space="0" w:color="auto"/>
        <w:bottom w:val="none" w:sz="0" w:space="0" w:color="auto"/>
        <w:right w:val="none" w:sz="0" w:space="0" w:color="auto"/>
      </w:divBdr>
    </w:div>
    <w:div w:id="815337055">
      <w:bodyDiv w:val="1"/>
      <w:marLeft w:val="0"/>
      <w:marRight w:val="0"/>
      <w:marTop w:val="0"/>
      <w:marBottom w:val="0"/>
      <w:divBdr>
        <w:top w:val="none" w:sz="0" w:space="0" w:color="auto"/>
        <w:left w:val="none" w:sz="0" w:space="0" w:color="auto"/>
        <w:bottom w:val="none" w:sz="0" w:space="0" w:color="auto"/>
        <w:right w:val="none" w:sz="0" w:space="0" w:color="auto"/>
      </w:divBdr>
    </w:div>
    <w:div w:id="897664984">
      <w:bodyDiv w:val="1"/>
      <w:marLeft w:val="0"/>
      <w:marRight w:val="0"/>
      <w:marTop w:val="0"/>
      <w:marBottom w:val="0"/>
      <w:divBdr>
        <w:top w:val="none" w:sz="0" w:space="0" w:color="auto"/>
        <w:left w:val="none" w:sz="0" w:space="0" w:color="auto"/>
        <w:bottom w:val="none" w:sz="0" w:space="0" w:color="auto"/>
        <w:right w:val="none" w:sz="0" w:space="0" w:color="auto"/>
      </w:divBdr>
    </w:div>
    <w:div w:id="983198449">
      <w:bodyDiv w:val="1"/>
      <w:marLeft w:val="0"/>
      <w:marRight w:val="0"/>
      <w:marTop w:val="0"/>
      <w:marBottom w:val="0"/>
      <w:divBdr>
        <w:top w:val="none" w:sz="0" w:space="0" w:color="auto"/>
        <w:left w:val="none" w:sz="0" w:space="0" w:color="auto"/>
        <w:bottom w:val="none" w:sz="0" w:space="0" w:color="auto"/>
        <w:right w:val="none" w:sz="0" w:space="0" w:color="auto"/>
      </w:divBdr>
    </w:div>
    <w:div w:id="1040014549">
      <w:bodyDiv w:val="1"/>
      <w:marLeft w:val="0"/>
      <w:marRight w:val="0"/>
      <w:marTop w:val="0"/>
      <w:marBottom w:val="0"/>
      <w:divBdr>
        <w:top w:val="none" w:sz="0" w:space="0" w:color="auto"/>
        <w:left w:val="none" w:sz="0" w:space="0" w:color="auto"/>
        <w:bottom w:val="none" w:sz="0" w:space="0" w:color="auto"/>
        <w:right w:val="none" w:sz="0" w:space="0" w:color="auto"/>
      </w:divBdr>
    </w:div>
    <w:div w:id="1055202188">
      <w:bodyDiv w:val="1"/>
      <w:marLeft w:val="0"/>
      <w:marRight w:val="0"/>
      <w:marTop w:val="0"/>
      <w:marBottom w:val="0"/>
      <w:divBdr>
        <w:top w:val="none" w:sz="0" w:space="0" w:color="auto"/>
        <w:left w:val="none" w:sz="0" w:space="0" w:color="auto"/>
        <w:bottom w:val="none" w:sz="0" w:space="0" w:color="auto"/>
        <w:right w:val="none" w:sz="0" w:space="0" w:color="auto"/>
      </w:divBdr>
    </w:div>
    <w:div w:id="1120804335">
      <w:bodyDiv w:val="1"/>
      <w:marLeft w:val="0"/>
      <w:marRight w:val="0"/>
      <w:marTop w:val="0"/>
      <w:marBottom w:val="0"/>
      <w:divBdr>
        <w:top w:val="none" w:sz="0" w:space="0" w:color="auto"/>
        <w:left w:val="none" w:sz="0" w:space="0" w:color="auto"/>
        <w:bottom w:val="none" w:sz="0" w:space="0" w:color="auto"/>
        <w:right w:val="none" w:sz="0" w:space="0" w:color="auto"/>
      </w:divBdr>
    </w:div>
    <w:div w:id="1125006836">
      <w:bodyDiv w:val="1"/>
      <w:marLeft w:val="0"/>
      <w:marRight w:val="0"/>
      <w:marTop w:val="0"/>
      <w:marBottom w:val="0"/>
      <w:divBdr>
        <w:top w:val="none" w:sz="0" w:space="0" w:color="auto"/>
        <w:left w:val="none" w:sz="0" w:space="0" w:color="auto"/>
        <w:bottom w:val="none" w:sz="0" w:space="0" w:color="auto"/>
        <w:right w:val="none" w:sz="0" w:space="0" w:color="auto"/>
      </w:divBdr>
    </w:div>
    <w:div w:id="1127504526">
      <w:bodyDiv w:val="1"/>
      <w:marLeft w:val="0"/>
      <w:marRight w:val="0"/>
      <w:marTop w:val="0"/>
      <w:marBottom w:val="0"/>
      <w:divBdr>
        <w:top w:val="none" w:sz="0" w:space="0" w:color="auto"/>
        <w:left w:val="none" w:sz="0" w:space="0" w:color="auto"/>
        <w:bottom w:val="none" w:sz="0" w:space="0" w:color="auto"/>
        <w:right w:val="none" w:sz="0" w:space="0" w:color="auto"/>
      </w:divBdr>
    </w:div>
    <w:div w:id="1147937345">
      <w:bodyDiv w:val="1"/>
      <w:marLeft w:val="0"/>
      <w:marRight w:val="0"/>
      <w:marTop w:val="0"/>
      <w:marBottom w:val="0"/>
      <w:divBdr>
        <w:top w:val="none" w:sz="0" w:space="0" w:color="auto"/>
        <w:left w:val="none" w:sz="0" w:space="0" w:color="auto"/>
        <w:bottom w:val="none" w:sz="0" w:space="0" w:color="auto"/>
        <w:right w:val="none" w:sz="0" w:space="0" w:color="auto"/>
      </w:divBdr>
    </w:div>
    <w:div w:id="1184707786">
      <w:bodyDiv w:val="1"/>
      <w:marLeft w:val="0"/>
      <w:marRight w:val="0"/>
      <w:marTop w:val="0"/>
      <w:marBottom w:val="0"/>
      <w:divBdr>
        <w:top w:val="none" w:sz="0" w:space="0" w:color="auto"/>
        <w:left w:val="none" w:sz="0" w:space="0" w:color="auto"/>
        <w:bottom w:val="none" w:sz="0" w:space="0" w:color="auto"/>
        <w:right w:val="none" w:sz="0" w:space="0" w:color="auto"/>
      </w:divBdr>
    </w:div>
    <w:div w:id="1232236345">
      <w:bodyDiv w:val="1"/>
      <w:marLeft w:val="0"/>
      <w:marRight w:val="0"/>
      <w:marTop w:val="0"/>
      <w:marBottom w:val="0"/>
      <w:divBdr>
        <w:top w:val="none" w:sz="0" w:space="0" w:color="auto"/>
        <w:left w:val="none" w:sz="0" w:space="0" w:color="auto"/>
        <w:bottom w:val="none" w:sz="0" w:space="0" w:color="auto"/>
        <w:right w:val="none" w:sz="0" w:space="0" w:color="auto"/>
      </w:divBdr>
    </w:div>
    <w:div w:id="1243178650">
      <w:bodyDiv w:val="1"/>
      <w:marLeft w:val="0"/>
      <w:marRight w:val="0"/>
      <w:marTop w:val="0"/>
      <w:marBottom w:val="0"/>
      <w:divBdr>
        <w:top w:val="none" w:sz="0" w:space="0" w:color="auto"/>
        <w:left w:val="none" w:sz="0" w:space="0" w:color="auto"/>
        <w:bottom w:val="none" w:sz="0" w:space="0" w:color="auto"/>
        <w:right w:val="none" w:sz="0" w:space="0" w:color="auto"/>
      </w:divBdr>
    </w:div>
    <w:div w:id="1244948573">
      <w:bodyDiv w:val="1"/>
      <w:marLeft w:val="0"/>
      <w:marRight w:val="0"/>
      <w:marTop w:val="0"/>
      <w:marBottom w:val="0"/>
      <w:divBdr>
        <w:top w:val="none" w:sz="0" w:space="0" w:color="auto"/>
        <w:left w:val="none" w:sz="0" w:space="0" w:color="auto"/>
        <w:bottom w:val="none" w:sz="0" w:space="0" w:color="auto"/>
        <w:right w:val="none" w:sz="0" w:space="0" w:color="auto"/>
      </w:divBdr>
    </w:div>
    <w:div w:id="1302609839">
      <w:bodyDiv w:val="1"/>
      <w:marLeft w:val="0"/>
      <w:marRight w:val="0"/>
      <w:marTop w:val="0"/>
      <w:marBottom w:val="0"/>
      <w:divBdr>
        <w:top w:val="none" w:sz="0" w:space="0" w:color="auto"/>
        <w:left w:val="none" w:sz="0" w:space="0" w:color="auto"/>
        <w:bottom w:val="none" w:sz="0" w:space="0" w:color="auto"/>
        <w:right w:val="none" w:sz="0" w:space="0" w:color="auto"/>
      </w:divBdr>
    </w:div>
    <w:div w:id="1304893522">
      <w:bodyDiv w:val="1"/>
      <w:marLeft w:val="0"/>
      <w:marRight w:val="0"/>
      <w:marTop w:val="0"/>
      <w:marBottom w:val="0"/>
      <w:divBdr>
        <w:top w:val="none" w:sz="0" w:space="0" w:color="auto"/>
        <w:left w:val="none" w:sz="0" w:space="0" w:color="auto"/>
        <w:bottom w:val="none" w:sz="0" w:space="0" w:color="auto"/>
        <w:right w:val="none" w:sz="0" w:space="0" w:color="auto"/>
      </w:divBdr>
    </w:div>
    <w:div w:id="1316303945">
      <w:bodyDiv w:val="1"/>
      <w:marLeft w:val="0"/>
      <w:marRight w:val="0"/>
      <w:marTop w:val="0"/>
      <w:marBottom w:val="0"/>
      <w:divBdr>
        <w:top w:val="none" w:sz="0" w:space="0" w:color="auto"/>
        <w:left w:val="none" w:sz="0" w:space="0" w:color="auto"/>
        <w:bottom w:val="none" w:sz="0" w:space="0" w:color="auto"/>
        <w:right w:val="none" w:sz="0" w:space="0" w:color="auto"/>
      </w:divBdr>
    </w:div>
    <w:div w:id="1347289588">
      <w:bodyDiv w:val="1"/>
      <w:marLeft w:val="0"/>
      <w:marRight w:val="0"/>
      <w:marTop w:val="0"/>
      <w:marBottom w:val="0"/>
      <w:divBdr>
        <w:top w:val="none" w:sz="0" w:space="0" w:color="auto"/>
        <w:left w:val="none" w:sz="0" w:space="0" w:color="auto"/>
        <w:bottom w:val="none" w:sz="0" w:space="0" w:color="auto"/>
        <w:right w:val="none" w:sz="0" w:space="0" w:color="auto"/>
      </w:divBdr>
    </w:div>
    <w:div w:id="1355960287">
      <w:bodyDiv w:val="1"/>
      <w:marLeft w:val="0"/>
      <w:marRight w:val="0"/>
      <w:marTop w:val="0"/>
      <w:marBottom w:val="0"/>
      <w:divBdr>
        <w:top w:val="none" w:sz="0" w:space="0" w:color="auto"/>
        <w:left w:val="none" w:sz="0" w:space="0" w:color="auto"/>
        <w:bottom w:val="none" w:sz="0" w:space="0" w:color="auto"/>
        <w:right w:val="none" w:sz="0" w:space="0" w:color="auto"/>
      </w:divBdr>
    </w:div>
    <w:div w:id="1378821858">
      <w:bodyDiv w:val="1"/>
      <w:marLeft w:val="0"/>
      <w:marRight w:val="0"/>
      <w:marTop w:val="0"/>
      <w:marBottom w:val="0"/>
      <w:divBdr>
        <w:top w:val="none" w:sz="0" w:space="0" w:color="auto"/>
        <w:left w:val="none" w:sz="0" w:space="0" w:color="auto"/>
        <w:bottom w:val="none" w:sz="0" w:space="0" w:color="auto"/>
        <w:right w:val="none" w:sz="0" w:space="0" w:color="auto"/>
      </w:divBdr>
    </w:div>
    <w:div w:id="1443374650">
      <w:bodyDiv w:val="1"/>
      <w:marLeft w:val="0"/>
      <w:marRight w:val="0"/>
      <w:marTop w:val="0"/>
      <w:marBottom w:val="0"/>
      <w:divBdr>
        <w:top w:val="none" w:sz="0" w:space="0" w:color="auto"/>
        <w:left w:val="none" w:sz="0" w:space="0" w:color="auto"/>
        <w:bottom w:val="none" w:sz="0" w:space="0" w:color="auto"/>
        <w:right w:val="none" w:sz="0" w:space="0" w:color="auto"/>
      </w:divBdr>
    </w:div>
    <w:div w:id="1486583105">
      <w:bodyDiv w:val="1"/>
      <w:marLeft w:val="0"/>
      <w:marRight w:val="0"/>
      <w:marTop w:val="0"/>
      <w:marBottom w:val="0"/>
      <w:divBdr>
        <w:top w:val="none" w:sz="0" w:space="0" w:color="auto"/>
        <w:left w:val="none" w:sz="0" w:space="0" w:color="auto"/>
        <w:bottom w:val="none" w:sz="0" w:space="0" w:color="auto"/>
        <w:right w:val="none" w:sz="0" w:space="0" w:color="auto"/>
      </w:divBdr>
    </w:div>
    <w:div w:id="1544754298">
      <w:bodyDiv w:val="1"/>
      <w:marLeft w:val="0"/>
      <w:marRight w:val="0"/>
      <w:marTop w:val="0"/>
      <w:marBottom w:val="0"/>
      <w:divBdr>
        <w:top w:val="none" w:sz="0" w:space="0" w:color="auto"/>
        <w:left w:val="none" w:sz="0" w:space="0" w:color="auto"/>
        <w:bottom w:val="none" w:sz="0" w:space="0" w:color="auto"/>
        <w:right w:val="none" w:sz="0" w:space="0" w:color="auto"/>
      </w:divBdr>
    </w:div>
    <w:div w:id="1556235163">
      <w:bodyDiv w:val="1"/>
      <w:marLeft w:val="0"/>
      <w:marRight w:val="0"/>
      <w:marTop w:val="0"/>
      <w:marBottom w:val="0"/>
      <w:divBdr>
        <w:top w:val="none" w:sz="0" w:space="0" w:color="auto"/>
        <w:left w:val="none" w:sz="0" w:space="0" w:color="auto"/>
        <w:bottom w:val="none" w:sz="0" w:space="0" w:color="auto"/>
        <w:right w:val="none" w:sz="0" w:space="0" w:color="auto"/>
      </w:divBdr>
    </w:div>
    <w:div w:id="1558005498">
      <w:bodyDiv w:val="1"/>
      <w:marLeft w:val="0"/>
      <w:marRight w:val="0"/>
      <w:marTop w:val="0"/>
      <w:marBottom w:val="0"/>
      <w:divBdr>
        <w:top w:val="none" w:sz="0" w:space="0" w:color="auto"/>
        <w:left w:val="none" w:sz="0" w:space="0" w:color="auto"/>
        <w:bottom w:val="none" w:sz="0" w:space="0" w:color="auto"/>
        <w:right w:val="none" w:sz="0" w:space="0" w:color="auto"/>
      </w:divBdr>
    </w:div>
    <w:div w:id="1592660614">
      <w:bodyDiv w:val="1"/>
      <w:marLeft w:val="0"/>
      <w:marRight w:val="0"/>
      <w:marTop w:val="0"/>
      <w:marBottom w:val="0"/>
      <w:divBdr>
        <w:top w:val="none" w:sz="0" w:space="0" w:color="auto"/>
        <w:left w:val="none" w:sz="0" w:space="0" w:color="auto"/>
        <w:bottom w:val="none" w:sz="0" w:space="0" w:color="auto"/>
        <w:right w:val="none" w:sz="0" w:space="0" w:color="auto"/>
      </w:divBdr>
    </w:div>
    <w:div w:id="1595018800">
      <w:bodyDiv w:val="1"/>
      <w:marLeft w:val="0"/>
      <w:marRight w:val="0"/>
      <w:marTop w:val="0"/>
      <w:marBottom w:val="0"/>
      <w:divBdr>
        <w:top w:val="none" w:sz="0" w:space="0" w:color="auto"/>
        <w:left w:val="none" w:sz="0" w:space="0" w:color="auto"/>
        <w:bottom w:val="none" w:sz="0" w:space="0" w:color="auto"/>
        <w:right w:val="none" w:sz="0" w:space="0" w:color="auto"/>
      </w:divBdr>
    </w:div>
    <w:div w:id="1627197015">
      <w:bodyDiv w:val="1"/>
      <w:marLeft w:val="0"/>
      <w:marRight w:val="0"/>
      <w:marTop w:val="0"/>
      <w:marBottom w:val="0"/>
      <w:divBdr>
        <w:top w:val="none" w:sz="0" w:space="0" w:color="auto"/>
        <w:left w:val="none" w:sz="0" w:space="0" w:color="auto"/>
        <w:bottom w:val="none" w:sz="0" w:space="0" w:color="auto"/>
        <w:right w:val="none" w:sz="0" w:space="0" w:color="auto"/>
      </w:divBdr>
    </w:div>
    <w:div w:id="1641303425">
      <w:bodyDiv w:val="1"/>
      <w:marLeft w:val="0"/>
      <w:marRight w:val="0"/>
      <w:marTop w:val="0"/>
      <w:marBottom w:val="0"/>
      <w:divBdr>
        <w:top w:val="none" w:sz="0" w:space="0" w:color="auto"/>
        <w:left w:val="none" w:sz="0" w:space="0" w:color="auto"/>
        <w:bottom w:val="none" w:sz="0" w:space="0" w:color="auto"/>
        <w:right w:val="none" w:sz="0" w:space="0" w:color="auto"/>
      </w:divBdr>
    </w:div>
    <w:div w:id="1702317482">
      <w:bodyDiv w:val="1"/>
      <w:marLeft w:val="0"/>
      <w:marRight w:val="0"/>
      <w:marTop w:val="0"/>
      <w:marBottom w:val="0"/>
      <w:divBdr>
        <w:top w:val="none" w:sz="0" w:space="0" w:color="auto"/>
        <w:left w:val="none" w:sz="0" w:space="0" w:color="auto"/>
        <w:bottom w:val="none" w:sz="0" w:space="0" w:color="auto"/>
        <w:right w:val="none" w:sz="0" w:space="0" w:color="auto"/>
      </w:divBdr>
    </w:div>
    <w:div w:id="1724137685">
      <w:bodyDiv w:val="1"/>
      <w:marLeft w:val="0"/>
      <w:marRight w:val="0"/>
      <w:marTop w:val="0"/>
      <w:marBottom w:val="0"/>
      <w:divBdr>
        <w:top w:val="none" w:sz="0" w:space="0" w:color="auto"/>
        <w:left w:val="none" w:sz="0" w:space="0" w:color="auto"/>
        <w:bottom w:val="none" w:sz="0" w:space="0" w:color="auto"/>
        <w:right w:val="none" w:sz="0" w:space="0" w:color="auto"/>
      </w:divBdr>
    </w:div>
    <w:div w:id="1736389415">
      <w:bodyDiv w:val="1"/>
      <w:marLeft w:val="0"/>
      <w:marRight w:val="0"/>
      <w:marTop w:val="0"/>
      <w:marBottom w:val="0"/>
      <w:divBdr>
        <w:top w:val="none" w:sz="0" w:space="0" w:color="auto"/>
        <w:left w:val="none" w:sz="0" w:space="0" w:color="auto"/>
        <w:bottom w:val="none" w:sz="0" w:space="0" w:color="auto"/>
        <w:right w:val="none" w:sz="0" w:space="0" w:color="auto"/>
      </w:divBdr>
    </w:div>
    <w:div w:id="1746028271">
      <w:bodyDiv w:val="1"/>
      <w:marLeft w:val="0"/>
      <w:marRight w:val="0"/>
      <w:marTop w:val="0"/>
      <w:marBottom w:val="0"/>
      <w:divBdr>
        <w:top w:val="none" w:sz="0" w:space="0" w:color="auto"/>
        <w:left w:val="none" w:sz="0" w:space="0" w:color="auto"/>
        <w:bottom w:val="none" w:sz="0" w:space="0" w:color="auto"/>
        <w:right w:val="none" w:sz="0" w:space="0" w:color="auto"/>
      </w:divBdr>
    </w:div>
    <w:div w:id="1764301368">
      <w:bodyDiv w:val="1"/>
      <w:marLeft w:val="0"/>
      <w:marRight w:val="0"/>
      <w:marTop w:val="0"/>
      <w:marBottom w:val="0"/>
      <w:divBdr>
        <w:top w:val="none" w:sz="0" w:space="0" w:color="auto"/>
        <w:left w:val="none" w:sz="0" w:space="0" w:color="auto"/>
        <w:bottom w:val="none" w:sz="0" w:space="0" w:color="auto"/>
        <w:right w:val="none" w:sz="0" w:space="0" w:color="auto"/>
      </w:divBdr>
    </w:div>
    <w:div w:id="1795097235">
      <w:bodyDiv w:val="1"/>
      <w:marLeft w:val="0"/>
      <w:marRight w:val="0"/>
      <w:marTop w:val="0"/>
      <w:marBottom w:val="0"/>
      <w:divBdr>
        <w:top w:val="none" w:sz="0" w:space="0" w:color="auto"/>
        <w:left w:val="none" w:sz="0" w:space="0" w:color="auto"/>
        <w:bottom w:val="none" w:sz="0" w:space="0" w:color="auto"/>
        <w:right w:val="none" w:sz="0" w:space="0" w:color="auto"/>
      </w:divBdr>
    </w:div>
    <w:div w:id="1795758111">
      <w:bodyDiv w:val="1"/>
      <w:marLeft w:val="0"/>
      <w:marRight w:val="0"/>
      <w:marTop w:val="0"/>
      <w:marBottom w:val="0"/>
      <w:divBdr>
        <w:top w:val="none" w:sz="0" w:space="0" w:color="auto"/>
        <w:left w:val="none" w:sz="0" w:space="0" w:color="auto"/>
        <w:bottom w:val="none" w:sz="0" w:space="0" w:color="auto"/>
        <w:right w:val="none" w:sz="0" w:space="0" w:color="auto"/>
      </w:divBdr>
    </w:div>
    <w:div w:id="1799060741">
      <w:bodyDiv w:val="1"/>
      <w:marLeft w:val="0"/>
      <w:marRight w:val="0"/>
      <w:marTop w:val="0"/>
      <w:marBottom w:val="0"/>
      <w:divBdr>
        <w:top w:val="none" w:sz="0" w:space="0" w:color="auto"/>
        <w:left w:val="none" w:sz="0" w:space="0" w:color="auto"/>
        <w:bottom w:val="none" w:sz="0" w:space="0" w:color="auto"/>
        <w:right w:val="none" w:sz="0" w:space="0" w:color="auto"/>
      </w:divBdr>
    </w:div>
    <w:div w:id="1815023899">
      <w:bodyDiv w:val="1"/>
      <w:marLeft w:val="0"/>
      <w:marRight w:val="0"/>
      <w:marTop w:val="0"/>
      <w:marBottom w:val="0"/>
      <w:divBdr>
        <w:top w:val="none" w:sz="0" w:space="0" w:color="auto"/>
        <w:left w:val="none" w:sz="0" w:space="0" w:color="auto"/>
        <w:bottom w:val="none" w:sz="0" w:space="0" w:color="auto"/>
        <w:right w:val="none" w:sz="0" w:space="0" w:color="auto"/>
      </w:divBdr>
    </w:div>
    <w:div w:id="1901817914">
      <w:bodyDiv w:val="1"/>
      <w:marLeft w:val="0"/>
      <w:marRight w:val="0"/>
      <w:marTop w:val="0"/>
      <w:marBottom w:val="0"/>
      <w:divBdr>
        <w:top w:val="none" w:sz="0" w:space="0" w:color="auto"/>
        <w:left w:val="none" w:sz="0" w:space="0" w:color="auto"/>
        <w:bottom w:val="none" w:sz="0" w:space="0" w:color="auto"/>
        <w:right w:val="none" w:sz="0" w:space="0" w:color="auto"/>
      </w:divBdr>
    </w:div>
    <w:div w:id="1905678119">
      <w:bodyDiv w:val="1"/>
      <w:marLeft w:val="0"/>
      <w:marRight w:val="0"/>
      <w:marTop w:val="0"/>
      <w:marBottom w:val="0"/>
      <w:divBdr>
        <w:top w:val="none" w:sz="0" w:space="0" w:color="auto"/>
        <w:left w:val="none" w:sz="0" w:space="0" w:color="auto"/>
        <w:bottom w:val="none" w:sz="0" w:space="0" w:color="auto"/>
        <w:right w:val="none" w:sz="0" w:space="0" w:color="auto"/>
      </w:divBdr>
    </w:div>
    <w:div w:id="1953126781">
      <w:bodyDiv w:val="1"/>
      <w:marLeft w:val="0"/>
      <w:marRight w:val="0"/>
      <w:marTop w:val="0"/>
      <w:marBottom w:val="0"/>
      <w:divBdr>
        <w:top w:val="none" w:sz="0" w:space="0" w:color="auto"/>
        <w:left w:val="none" w:sz="0" w:space="0" w:color="auto"/>
        <w:bottom w:val="none" w:sz="0" w:space="0" w:color="auto"/>
        <w:right w:val="none" w:sz="0" w:space="0" w:color="auto"/>
      </w:divBdr>
    </w:div>
    <w:div w:id="1990286433">
      <w:bodyDiv w:val="1"/>
      <w:marLeft w:val="0"/>
      <w:marRight w:val="0"/>
      <w:marTop w:val="0"/>
      <w:marBottom w:val="0"/>
      <w:divBdr>
        <w:top w:val="none" w:sz="0" w:space="0" w:color="auto"/>
        <w:left w:val="none" w:sz="0" w:space="0" w:color="auto"/>
        <w:bottom w:val="none" w:sz="0" w:space="0" w:color="auto"/>
        <w:right w:val="none" w:sz="0" w:space="0" w:color="auto"/>
      </w:divBdr>
    </w:div>
    <w:div w:id="2040621513">
      <w:bodyDiv w:val="1"/>
      <w:marLeft w:val="0"/>
      <w:marRight w:val="0"/>
      <w:marTop w:val="0"/>
      <w:marBottom w:val="0"/>
      <w:divBdr>
        <w:top w:val="none" w:sz="0" w:space="0" w:color="auto"/>
        <w:left w:val="none" w:sz="0" w:space="0" w:color="auto"/>
        <w:bottom w:val="none" w:sz="0" w:space="0" w:color="auto"/>
        <w:right w:val="none" w:sz="0" w:space="0" w:color="auto"/>
      </w:divBdr>
    </w:div>
    <w:div w:id="2057121954">
      <w:bodyDiv w:val="1"/>
      <w:marLeft w:val="0"/>
      <w:marRight w:val="0"/>
      <w:marTop w:val="0"/>
      <w:marBottom w:val="0"/>
      <w:divBdr>
        <w:top w:val="none" w:sz="0" w:space="0" w:color="auto"/>
        <w:left w:val="none" w:sz="0" w:space="0" w:color="auto"/>
        <w:bottom w:val="none" w:sz="0" w:space="0" w:color="auto"/>
        <w:right w:val="none" w:sz="0" w:space="0" w:color="auto"/>
      </w:divBdr>
    </w:div>
    <w:div w:id="2084060068">
      <w:bodyDiv w:val="1"/>
      <w:marLeft w:val="0"/>
      <w:marRight w:val="0"/>
      <w:marTop w:val="0"/>
      <w:marBottom w:val="0"/>
      <w:divBdr>
        <w:top w:val="none" w:sz="0" w:space="0" w:color="auto"/>
        <w:left w:val="none" w:sz="0" w:space="0" w:color="auto"/>
        <w:bottom w:val="none" w:sz="0" w:space="0" w:color="auto"/>
        <w:right w:val="none" w:sz="0" w:space="0" w:color="auto"/>
      </w:divBdr>
    </w:div>
    <w:div w:id="2107381497">
      <w:bodyDiv w:val="1"/>
      <w:marLeft w:val="0"/>
      <w:marRight w:val="0"/>
      <w:marTop w:val="0"/>
      <w:marBottom w:val="0"/>
      <w:divBdr>
        <w:top w:val="none" w:sz="0" w:space="0" w:color="auto"/>
        <w:left w:val="none" w:sz="0" w:space="0" w:color="auto"/>
        <w:bottom w:val="none" w:sz="0" w:space="0" w:color="auto"/>
        <w:right w:val="none" w:sz="0" w:space="0" w:color="auto"/>
      </w:divBdr>
    </w:div>
    <w:div w:id="2113166226">
      <w:bodyDiv w:val="1"/>
      <w:marLeft w:val="0"/>
      <w:marRight w:val="0"/>
      <w:marTop w:val="0"/>
      <w:marBottom w:val="0"/>
      <w:divBdr>
        <w:top w:val="none" w:sz="0" w:space="0" w:color="auto"/>
        <w:left w:val="none" w:sz="0" w:space="0" w:color="auto"/>
        <w:bottom w:val="none" w:sz="0" w:space="0" w:color="auto"/>
        <w:right w:val="none" w:sz="0" w:space="0" w:color="auto"/>
      </w:divBdr>
    </w:div>
    <w:div w:id="2115128919">
      <w:bodyDiv w:val="1"/>
      <w:marLeft w:val="0"/>
      <w:marRight w:val="0"/>
      <w:marTop w:val="0"/>
      <w:marBottom w:val="0"/>
      <w:divBdr>
        <w:top w:val="none" w:sz="0" w:space="0" w:color="auto"/>
        <w:left w:val="none" w:sz="0" w:space="0" w:color="auto"/>
        <w:bottom w:val="none" w:sz="0" w:space="0" w:color="auto"/>
        <w:right w:val="none" w:sz="0" w:space="0" w:color="auto"/>
      </w:divBdr>
    </w:div>
    <w:div w:id="214449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wnloads\File_1_-_IMD2019_Index_of_Multiple_Depriv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Index of Multiple Depravation Distribution in Preston over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noFill/>
            <a:ln>
              <a:noFill/>
            </a:ln>
            <a:effectLst/>
          </c:spPr>
          <c:invertIfNegative val="0"/>
          <c:cat>
            <c:strRef>
              <c:f>'IMD 2010'!$P$7:$R$7</c:f>
              <c:strCache>
                <c:ptCount val="3"/>
                <c:pt idx="0">
                  <c:v>Preston 2010</c:v>
                </c:pt>
                <c:pt idx="1">
                  <c:v>Preston 2015</c:v>
                </c:pt>
                <c:pt idx="2">
                  <c:v>Preston 2019</c:v>
                </c:pt>
              </c:strCache>
            </c:strRef>
          </c:cat>
          <c:val>
            <c:numRef>
              <c:f>'IMD 2010'!$P$8:$R$8</c:f>
              <c:numCache>
                <c:formatCode>General</c:formatCode>
                <c:ptCount val="3"/>
                <c:pt idx="0">
                  <c:v>4.8800189999999999</c:v>
                </c:pt>
                <c:pt idx="1">
                  <c:v>4.1029999999999998</c:v>
                </c:pt>
                <c:pt idx="2">
                  <c:v>4.7149999999999999</c:v>
                </c:pt>
              </c:numCache>
            </c:numRef>
          </c:val>
          <c:extLst>
            <c:ext xmlns:c16="http://schemas.microsoft.com/office/drawing/2014/chart" uri="{C3380CC4-5D6E-409C-BE32-E72D297353CC}">
              <c16:uniqueId val="{00000000-7543-4810-8403-6DE2682C976F}"/>
            </c:ext>
          </c:extLst>
        </c:ser>
        <c:ser>
          <c:idx val="1"/>
          <c:order val="1"/>
          <c:spPr>
            <a:noFill/>
            <a:ln>
              <a:noFill/>
            </a:ln>
            <a:effectLst/>
          </c:spPr>
          <c:invertIfNegative val="0"/>
          <c:errBars>
            <c:errBarType val="minus"/>
            <c:errValType val="percentage"/>
            <c:noEndCap val="1"/>
            <c:val val="100"/>
            <c:spPr>
              <a:noFill/>
              <a:ln w="9525" cap="flat" cmpd="sng" algn="ctr">
                <a:solidFill>
                  <a:schemeClr val="tx1">
                    <a:lumMod val="65000"/>
                    <a:lumOff val="35000"/>
                  </a:schemeClr>
                </a:solidFill>
                <a:round/>
              </a:ln>
              <a:effectLst/>
            </c:spPr>
          </c:errBars>
          <c:cat>
            <c:strRef>
              <c:f>'IMD 2010'!$P$7:$R$7</c:f>
              <c:strCache>
                <c:ptCount val="3"/>
                <c:pt idx="0">
                  <c:v>Preston 2010</c:v>
                </c:pt>
                <c:pt idx="1">
                  <c:v>Preston 2015</c:v>
                </c:pt>
                <c:pt idx="2">
                  <c:v>Preston 2019</c:v>
                </c:pt>
              </c:strCache>
            </c:strRef>
          </c:cat>
          <c:val>
            <c:numRef>
              <c:f>'IMD 2010'!$P$9:$R$9</c:f>
              <c:numCache>
                <c:formatCode>General</c:formatCode>
                <c:ptCount val="3"/>
                <c:pt idx="0">
                  <c:v>6.5161059999999997</c:v>
                </c:pt>
                <c:pt idx="1">
                  <c:v>6.9897500000000008</c:v>
                </c:pt>
                <c:pt idx="2">
                  <c:v>8.4355000000000011</c:v>
                </c:pt>
              </c:numCache>
            </c:numRef>
          </c:val>
          <c:extLst>
            <c:ext xmlns:c16="http://schemas.microsoft.com/office/drawing/2014/chart" uri="{C3380CC4-5D6E-409C-BE32-E72D297353CC}">
              <c16:uniqueId val="{00000001-7543-4810-8403-6DE2682C976F}"/>
            </c:ext>
          </c:extLst>
        </c:ser>
        <c:ser>
          <c:idx val="2"/>
          <c:order val="2"/>
          <c:spPr>
            <a:noFill/>
            <a:ln>
              <a:solidFill>
                <a:schemeClr val="tx1"/>
              </a:solidFill>
            </a:ln>
            <a:effectLst/>
          </c:spPr>
          <c:invertIfNegative val="0"/>
          <c:cat>
            <c:strRef>
              <c:f>'IMD 2010'!$P$7:$R$7</c:f>
              <c:strCache>
                <c:ptCount val="3"/>
                <c:pt idx="0">
                  <c:v>Preston 2010</c:v>
                </c:pt>
                <c:pt idx="1">
                  <c:v>Preston 2015</c:v>
                </c:pt>
                <c:pt idx="2">
                  <c:v>Preston 2019</c:v>
                </c:pt>
              </c:strCache>
            </c:strRef>
          </c:cat>
          <c:val>
            <c:numRef>
              <c:f>'IMD 2010'!$P$10:$R$10</c:f>
              <c:numCache>
                <c:formatCode>General</c:formatCode>
                <c:ptCount val="3"/>
                <c:pt idx="0">
                  <c:v>14.023785000000002</c:v>
                </c:pt>
                <c:pt idx="1">
                  <c:v>15.398249999999999</c:v>
                </c:pt>
                <c:pt idx="2">
                  <c:v>16.675999999999998</c:v>
                </c:pt>
              </c:numCache>
            </c:numRef>
          </c:val>
          <c:extLst>
            <c:ext xmlns:c16="http://schemas.microsoft.com/office/drawing/2014/chart" uri="{C3380CC4-5D6E-409C-BE32-E72D297353CC}">
              <c16:uniqueId val="{00000002-7543-4810-8403-6DE2682C976F}"/>
            </c:ext>
          </c:extLst>
        </c:ser>
        <c:ser>
          <c:idx val="3"/>
          <c:order val="3"/>
          <c:spPr>
            <a:noFill/>
            <a:ln>
              <a:solidFill>
                <a:schemeClr val="tx1"/>
              </a:solidFill>
            </a:ln>
            <a:effectLst/>
          </c:spPr>
          <c:invertIfNegative val="0"/>
          <c:cat>
            <c:strRef>
              <c:f>'IMD 2010'!$P$7:$R$7</c:f>
              <c:strCache>
                <c:ptCount val="3"/>
                <c:pt idx="0">
                  <c:v>Preston 2010</c:v>
                </c:pt>
                <c:pt idx="1">
                  <c:v>Preston 2015</c:v>
                </c:pt>
                <c:pt idx="2">
                  <c:v>Preston 2019</c:v>
                </c:pt>
              </c:strCache>
            </c:strRef>
          </c:cat>
          <c:val>
            <c:numRef>
              <c:f>'IMD 2010'!$P$11:$R$11</c:f>
              <c:numCache>
                <c:formatCode>General</c:formatCode>
                <c:ptCount val="3"/>
                <c:pt idx="0">
                  <c:v>15.032657499999999</c:v>
                </c:pt>
                <c:pt idx="1">
                  <c:v>11.005249999999997</c:v>
                </c:pt>
                <c:pt idx="2">
                  <c:v>9.4824999999999982</c:v>
                </c:pt>
              </c:numCache>
            </c:numRef>
          </c:val>
          <c:extLst>
            <c:ext xmlns:c16="http://schemas.microsoft.com/office/drawing/2014/chart" uri="{C3380CC4-5D6E-409C-BE32-E72D297353CC}">
              <c16:uniqueId val="{00000003-7543-4810-8403-6DE2682C976F}"/>
            </c:ext>
          </c:extLst>
        </c:ser>
        <c:ser>
          <c:idx val="4"/>
          <c:order val="4"/>
          <c:spPr>
            <a:noFill/>
            <a:ln>
              <a:noFill/>
            </a:ln>
            <a:effectLst/>
          </c:spPr>
          <c:invertIfNegative val="0"/>
          <c:errBars>
            <c:errBarType val="minus"/>
            <c:errValType val="percentage"/>
            <c:noEndCap val="1"/>
            <c:val val="100"/>
            <c:spPr>
              <a:noFill/>
              <a:ln w="9525" cap="flat" cmpd="sng" algn="ctr">
                <a:solidFill>
                  <a:schemeClr val="tx1">
                    <a:lumMod val="65000"/>
                    <a:lumOff val="35000"/>
                  </a:schemeClr>
                </a:solidFill>
                <a:round/>
              </a:ln>
              <a:effectLst/>
            </c:spPr>
          </c:errBars>
          <c:cat>
            <c:strRef>
              <c:f>'IMD 2010'!$P$7:$R$7</c:f>
              <c:strCache>
                <c:ptCount val="3"/>
                <c:pt idx="0">
                  <c:v>Preston 2010</c:v>
                </c:pt>
                <c:pt idx="1">
                  <c:v>Preston 2015</c:v>
                </c:pt>
                <c:pt idx="2">
                  <c:v>Preston 2019</c:v>
                </c:pt>
              </c:strCache>
            </c:strRef>
          </c:cat>
          <c:val>
            <c:numRef>
              <c:f>'IMD 2010'!$P$12:$R$12</c:f>
              <c:numCache>
                <c:formatCode>General</c:formatCode>
                <c:ptCount val="3"/>
                <c:pt idx="0">
                  <c:v>34.586942500000006</c:v>
                </c:pt>
                <c:pt idx="1">
                  <c:v>29.324750000000002</c:v>
                </c:pt>
                <c:pt idx="2">
                  <c:v>21.635000000000005</c:v>
                </c:pt>
              </c:numCache>
            </c:numRef>
          </c:val>
          <c:extLst>
            <c:ext xmlns:c16="http://schemas.microsoft.com/office/drawing/2014/chart" uri="{C3380CC4-5D6E-409C-BE32-E72D297353CC}">
              <c16:uniqueId val="{00000004-7543-4810-8403-6DE2682C976F}"/>
            </c:ext>
          </c:extLst>
        </c:ser>
        <c:dLbls>
          <c:showLegendKey val="0"/>
          <c:showVal val="0"/>
          <c:showCatName val="0"/>
          <c:showSerName val="0"/>
          <c:showPercent val="0"/>
          <c:showBubbleSize val="0"/>
        </c:dLbls>
        <c:gapWidth val="150"/>
        <c:overlap val="100"/>
        <c:axId val="952361216"/>
        <c:axId val="952361696"/>
      </c:barChart>
      <c:catAx>
        <c:axId val="952361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361696"/>
        <c:crosses val="autoZero"/>
        <c:auto val="1"/>
        <c:lblAlgn val="ctr"/>
        <c:lblOffset val="100"/>
        <c:noMultiLvlLbl val="0"/>
      </c:catAx>
      <c:valAx>
        <c:axId val="952361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361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Pre19</b:Tag>
    <b:SourceType>InternetSite</b:SourceType>
    <b:Guid>{CDF5AFB5-D0A0-4F05-A0D1-B436E3AF9202}</b:Guid>
    <b:Title>What is Preston Model?</b:Title>
    <b:InternetSiteTitle>Preston City Council</b:InternetSiteTitle>
    <b:Year>2019</b:Year>
    <b:URL>https://www.preston.gov.uk/article/1339/What-is-Preston-Model</b:URL>
    <b:Author>
      <b:Author>
        <b:Corporate>Preston City Council</b:Corporate>
      </b:Author>
    </b:Author>
    <b:RefOrder>1</b:RefOrder>
  </b:Source>
  <b:Source>
    <b:Tag>Off23</b:Tag>
    <b:SourceType>InternetSite</b:SourceType>
    <b:Guid>{270C3EF2-0635-4DFE-B88D-EE5769590BD2}</b:Guid>
    <b:Author>
      <b:Author>
        <b:Corporate>Office for National Statistics</b:Corporate>
      </b:Author>
    </b:Author>
    <b:Title>Area type definitions Census 2021</b:Title>
    <b:InternetSiteTitle>Office for National Statistics</b:InternetSiteTitle>
    <b:Year>2023</b:Year>
    <b:Month>October</b:Month>
    <b:Day>26</b:Day>
    <b:URL>https://www.ons.gov.uk/census/census2021dictionary</b:URL>
    <b:RefOrder>2</b:RefOrder>
  </b:Source>
  <b:Source>
    <b:Tag>Lan12</b:Tag>
    <b:SourceType>DocumentFromInternetSite</b:SourceType>
    <b:Guid>{23EEF07B-FEB7-4D04-B1CA-A5FCD591EFE8}</b:Guid>
    <b:Title>Mental health and wellbeing in the Lancashire sub-region</b:Title>
    <b:InternetSiteTitle>Intelligence for Healthy Lancashire</b:InternetSiteTitle>
    <b:Year>2012</b:Year>
    <b:Month>January</b:Month>
    <b:URL>https://www.lancashire.gov.uk/media/899253/mental-health-and-wellbeing-jsna-final.pdf</b:URL>
    <b:Author>
      <b:Author>
        <b:Corporate>Lancashire JSNA</b:Corporate>
      </b:Author>
    </b:Author>
    <b:RefOrder>3</b:RefOrder>
  </b:Source>
  <b:Source>
    <b:Tag>Pre191</b:Tag>
    <b:SourceType>DocumentFromInternetSite</b:SourceType>
    <b:Guid>{6D8687A0-B430-451F-909A-94D4E592D20E}</b:Guid>
    <b:Author>
      <b:Author>
        <b:Corporate>Preston City Council</b:Corporate>
      </b:Author>
    </b:Author>
    <b:Title>How we built community Wealth in Preston</b:Title>
    <b:InternetSiteTitle>Preston City Council</b:InternetSiteTitle>
    <b:Year>2019</b:Year>
    <b:Month>May</b:Month>
    <b:URL>https://www.preston.gov.uk/media/1792/How-we-built-community-wealth-in-Preston/pdf/CLES_Preston_Document_WEB_AW.pdf?m=1563809932893</b:URL>
    <b:RefOrder>4</b:RefOrder>
  </b:Source>
  <b:Source>
    <b:Tag>Lee</b:Tag>
    <b:SourceType>InternetSite</b:SourceType>
    <b:Guid>{B618E47E-01D8-4458-85FD-69895682CB60}</b:Guid>
    <b:Title>Leeds Inclusive Anchors Network</b:Title>
    <b:InternetSiteTitle>Leeds Gov UK</b:InternetSiteTitle>
    <b:URL>https://news.leeds.gov.uk/leeds-spotlight/leeds-inclusive-anchors-network</b:URL>
    <b:Author>
      <b:Author>
        <b:Corporate>Leeds City Council</b:Corporate>
      </b:Author>
    </b:Author>
    <b:RefOrder>5</b:RefOrder>
  </b:Source>
  <b:Source>
    <b:Tag>Ros23</b:Tag>
    <b:SourceType>JournalArticle</b:SourceType>
    <b:Guid>{05295AD4-74B1-4830-BA99-5F6A5DD02197}</b:Guid>
    <b:Title>The mental health and wellbeing impact of a Community Wealth Building programme in England: a difference-in-differences study</b:Title>
    <b:Year>2023</b:Year>
    <b:JournalName>The Lancet Health</b:JournalName>
    <b:Pages>E403-E410</b:Pages>
    <b:Author>
      <b:Author>
        <b:NameList>
          <b:Person>
            <b:Last>Rose</b:Last>
            <b:First>Tanith</b:First>
          </b:Person>
          <b:Person>
            <b:Last>Daras</b:Last>
            <b:First>Konstantinos</b:First>
          </b:Person>
          <b:Person>
            <b:Last>Manley</b:Last>
            <b:First>Julian</b:First>
          </b:Person>
          <b:Person>
            <b:Last>McKeown</b:Last>
            <b:First>Mick</b:First>
          </b:Person>
          <b:Person>
            <b:Last>Halliday</b:Last>
            <b:First>Emma</b:First>
          </b:Person>
          <b:Person>
            <b:Last>Goodwin</b:Last>
            <b:Middle>Lloyd</b:Middle>
            <b:First>Tom</b:First>
          </b:Person>
          <b:Person>
            <b:Last>Hollingsworth</b:Last>
            <b:First>Bruce</b:First>
          </b:Person>
          <b:Person>
            <b:Last>Barr</b:Last>
            <b:First>Ben</b:First>
          </b:Person>
        </b:NameList>
      </b:Author>
    </b:Author>
    <b:RefOrder>22</b:RefOrder>
  </b:Source>
  <b:Source>
    <b:Tag>Why21</b:Tag>
    <b:SourceType>BookSection</b:SourceType>
    <b:Guid>{1DD2FEE8-6E21-413B-98C4-330D18B31A5D}</b:Guid>
    <b:Title>The economics of the Preston Model</b:Title>
    <b:Year>2021</b:Year>
    <b:City>London</b:City>
    <b:Publisher>Routledge</b:Publisher>
    <b:Author>
      <b:Author>
        <b:NameList>
          <b:Person>
            <b:Last>Whyman</b:Last>
            <b:First>Philip</b:First>
          </b:Person>
        </b:NameList>
      </b:Author>
      <b:BookAuthor>
        <b:NameList>
          <b:Person>
            <b:Last>Manley</b:Last>
            <b:First>Julian</b:First>
          </b:Person>
          <b:Person>
            <b:Last>Whyman</b:Last>
            <b:First>Philip</b:First>
          </b:Person>
        </b:NameList>
      </b:BookAuthor>
    </b:Author>
    <b:BookTitle>The Preston Model and Community Wealth Building</b:BookTitle>
    <b:RefOrder>23</b:RefOrder>
  </b:Source>
  <b:Source>
    <b:Tag>Fri04</b:Tag>
    <b:SourceType>Book</b:SourceType>
    <b:Guid>{0E994502-B562-40CB-9DC7-A3A915DF4DD8}</b:Guid>
    <b:Title>Pay Without Performance: The Unfulfilled Promise of Executive Compensation</b:Title>
    <b:Year>2004</b:Year>
    <b:City>Cambridge, Massachusetts</b:City>
    <b:Publisher>Harvard University Press</b:Publisher>
    <b:Author>
      <b:Author>
        <b:NameList>
          <b:Person>
            <b:Last>Fried</b:Last>
            <b:First>Jesse</b:First>
          </b:Person>
          <b:Person>
            <b:Last>Bebchuk</b:Last>
            <b:First>Lucian</b:First>
          </b:Person>
        </b:NameList>
      </b:Author>
    </b:Author>
    <b:RefOrder>6</b:RefOrder>
  </b:Source>
  <b:Source>
    <b:Tag>Dab01</b:Tag>
    <b:SourceType>Report</b:SourceType>
    <b:Guid>{40692923-1C41-4EBA-B9F1-1680929739FB}</b:Guid>
    <b:Title>Rent Seeking and Endogenous Income Inequality</b:Title>
    <b:Year>2001</b:Year>
    <b:Publisher>IMF</b:Publisher>
    <b:Author>
      <b:Author>
        <b:NameList>
          <b:Person>
            <b:Last>Dabla-Norris</b:Last>
            <b:First>Era</b:First>
          </b:Person>
          <b:Person>
            <b:Last>Wade</b:Last>
            <b:First>Paul</b:First>
          </b:Person>
        </b:NameList>
      </b:Author>
    </b:Author>
    <b:RefOrder>7</b:RefOrder>
  </b:Source>
  <b:Source>
    <b:Tag>Mur93</b:Tag>
    <b:SourceType>JournalArticle</b:SourceType>
    <b:Guid>{7C60567D-4AAB-4034-B830-D6D78DD1F2A1}</b:Guid>
    <b:Title>Why Is Rent-Seeking So Costly to Growth?</b:Title>
    <b:Year>1993</b:Year>
    <b:JournalName>The American Economic Review</b:JournalName>
    <b:Pages>409-414</b:Pages>
    <b:Author>
      <b:Author>
        <b:NameList>
          <b:Person>
            <b:Last>Murphy</b:Last>
            <b:Middle>M.</b:Middle>
            <b:First>Kevin</b:First>
          </b:Person>
          <b:Person>
            <b:Last>Shleifer</b:Last>
            <b:First>Andrei</b:First>
          </b:Person>
          <b:Person>
            <b:Last>Vishny</b:Last>
            <b:Middle>W.</b:Middle>
            <b:First>Robert</b:First>
          </b:Person>
        </b:NameList>
      </b:Author>
    </b:Author>
    <b:RefOrder>8</b:RefOrder>
  </b:Source>
  <b:Source>
    <b:Tag>Pre17</b:Tag>
    <b:SourceType>ArticleInAPeriodical</b:SourceType>
    <b:Guid>{CF797071-33BC-4A77-9155-E16849C51050}</b:Guid>
    <b:Title>Preston, Jeremy Corbyn’s model town</b:Title>
    <b:Year>2017</b:Year>
    <b:PeriodicalTitle>The right way to help declining places</b:PeriodicalTitle>
    <b:Month>October</b:Month>
    <b:Day>21</b:Day>
    <b:Author>
      <b:Author>
        <b:Corporate>The Economist</b:Corporate>
      </b:Author>
    </b:Author>
    <b:RefOrder>9</b:RefOrder>
  </b:Source>
  <b:Source>
    <b:Tag>UKG15</b:Tag>
    <b:SourceType>InternetSite</b:SourceType>
    <b:Guid>{D5A7DEC2-A0CD-42D0-87E7-DB2FCB06FE20}</b:Guid>
    <b:Author>
      <b:Author>
        <b:Corporate>UK Government</b:Corporate>
      </b:Author>
    </b:Author>
    <b:Title>English indices of deprivation 2015</b:Title>
    <b:InternetSiteTitle>UK Government</b:InternetSiteTitle>
    <b:Year>2015</b:Year>
    <b:Month>September</b:Month>
    <b:Day>30</b:Day>
    <b:URL>https://www.gov.uk/government/statistics/english-indices-of-deprivation-2015</b:URL>
    <b:RefOrder>11</b:RefOrder>
  </b:Source>
  <b:Source>
    <b:Tag>UKG11</b:Tag>
    <b:SourceType>InternetSite</b:SourceType>
    <b:Guid>{FBBD5A64-32BF-42AD-BD1D-C1E080F823AE}</b:Guid>
    <b:Author>
      <b:Author>
        <b:Corporate>UK Government</b:Corporate>
      </b:Author>
    </b:Author>
    <b:Title>English indices of deprivation 2010</b:Title>
    <b:InternetSiteTitle>UK Government</b:InternetSiteTitle>
    <b:Year>2011</b:Year>
    <b:Month>March</b:Month>
    <b:Day>24</b:Day>
    <b:URL>https://www.gov.uk/government/statistics/english-indices-of-deprivation-2010</b:URL>
    <b:RefOrder>12</b:RefOrder>
  </b:Source>
  <b:Source>
    <b:Tag>UKG19</b:Tag>
    <b:SourceType>InternetSite</b:SourceType>
    <b:Guid>{298FF6BA-A1F4-4DE0-B951-D43AB5801AA2}</b:Guid>
    <b:Title>English indices of deprivation 2019</b:Title>
    <b:Year>2019</b:Year>
    <b:Author>
      <b:Author>
        <b:Corporate>UK Government</b:Corporate>
      </b:Author>
    </b:Author>
    <b:InternetSiteTitle>UK Government</b:InternetSiteTitle>
    <b:URL>https://www.gov.uk/government/statistics/english-indices-of-deprivation-2019</b:URL>
    <b:Month>September</b:Month>
    <b:Day>26</b:Day>
    <b:RefOrder>10</b:RefOrder>
  </b:Source>
  <b:Source>
    <b:Tag>Off24</b:Tag>
    <b:SourceType>DocumentFromInternetSite</b:SourceType>
    <b:Guid>{20348924-395D-4B97-ABFE-B5DC5BE4655A}</b:Guid>
    <b:Title>Regional gross value added (balanced) by industry: city and enterprise regions</b:Title>
    <b:Year>2024</b:Year>
    <b:Author>
      <b:Author>
        <b:Corporate>Office of National Statistics</b:Corporate>
      </b:Author>
    </b:Author>
    <b:InternetSiteTitle>Office for National Statistics</b:InternetSiteTitle>
    <b:Month>April</b:Month>
    <b:Day>24</b:Day>
    <b:URL>https://www.ons.gov.uk/economy/grossvalueaddedgva/datasets/regionalgrossvalueaddedbalancedbycombinedauthoritycityregionsandothereconomicandenterpriseregionsoftheuk</b:URL>
    <b:RefOrder>13</b:RefOrder>
  </b:Source>
  <b:Source>
    <b:Tag>Cen</b:Tag>
    <b:SourceType>DocumentFromInternetSite</b:SourceType>
    <b:Guid>{594D42BC-6AD8-40C7-96EC-38BB8D2B78B5}</b:Guid>
    <b:Author>
      <b:Author>
        <b:Corporate>Centre for International Competitiveness</b:Corporate>
      </b:Author>
    </b:Author>
    <b:Title>Download Reports</b:Title>
    <b:InternetSiteTitle>Centre for International Competitiveness</b:InternetSiteTitle>
    <b:URL>https://cforic.org/downloads/</b:URL>
    <b:RefOrder>14</b:RefOrder>
  </b:Source>
  <b:Source>
    <b:Tag>Loc24</b:Tag>
    <b:SourceType>InternetSite</b:SourceType>
    <b:Guid>{7828D762-3866-4161-A45F-AB31EB2A8D86}</b:Guid>
    <b:Title>Must know guide: The statement of accounts</b:Title>
    <b:Year>2024</b:Year>
    <b:Month>Feb</b:Month>
    <b:Day>27</b:Day>
    <b:Author>
      <b:Author>
        <b:Corporate>Local Government Association</b:Corporate>
      </b:Author>
    </b:Author>
    <b:InternetSiteTitle>Local Government Association</b:InternetSiteTitle>
    <b:URL>https://www.local.gov.uk/publications/must-know-guide-statement-accounts#the-purpose-and-legislative-background-to-the-annual-statement-of-accounts</b:URL>
    <b:RefOrder>15</b:RefOrder>
  </b:Source>
  <b:Source>
    <b:Tag>Ste23</b:Tag>
    <b:SourceType>JournalArticle</b:SourceType>
    <b:Guid>{8850BB6A-C5FD-4CF2-A08F-A2A60F7156D7}</b:Guid>
    <b:Title>A method for measuring rents</b:Title>
    <b:Year>2023</b:Year>
    <b:Author>
      <b:Author>
        <b:NameList>
          <b:Person>
            <b:Last>Stemerding</b:Last>
            <b:First>Arend</b:First>
          </b:Person>
        </b:NameList>
      </b:Author>
    </b:Author>
    <b:JournalName>Cambridge Journal of Economics</b:JournalName>
    <b:Pages>747-762</b:Pages>
    <b:RefOrder>16</b:RefOrder>
  </b:Source>
  <b:Source>
    <b:Tag>Off18</b:Tag>
    <b:SourceType>DocumentFromInternetSite</b:SourceType>
    <b:Guid>{B60B8D58-0B23-4426-8E17-D861808E1979}</b:Guid>
    <b:Title>Annual Survey of Hours and Earnings (ASHE) place of work by local authority annual timeseries</b:Title>
    <b:Year>2018</b:Year>
    <b:Author>
      <b:Author>
        <b:Corporate>Office for National Statistics</b:Corporate>
      </b:Author>
    </b:Author>
    <b:InternetSiteTitle>Office for National Statistics</b:InternetSiteTitle>
    <b:Month>May</b:Month>
    <b:Day>24</b:Day>
    <b:URL>https://www.ons.gov.uk/employmentandlabourmarket/peopleinwork/earningsandworkinghours/adhocs/008485annualsurveyofhoursandearningsasheplaceofworkbylocalauthorityannualtimeseries</b:URL>
    <b:RefOrder>17</b:RefOrder>
  </b:Source>
  <b:Source>
    <b:Tag>Off23a</b:Tag>
    <b:SourceType>DocumentFromInternetSite</b:SourceType>
    <b:Guid>{C5EE8B89-D1CB-49A3-8039-9E68C2CB9DB5}</b:Guid>
    <b:Author>
      <b:Author>
        <b:Corporate>Office for National Statistics</b:Corporate>
      </b:Author>
    </b:Author>
    <b:Title>Experimental regional gross fixed capital formation (GFCF) estimates by asset type</b:Title>
    <b:InternetSiteTitle>Office for National Statistics</b:InternetSiteTitle>
    <b:Year>2023</b:Year>
    <b:Month>December</b:Month>
    <b:Day>08</b:Day>
    <b:URL>https://www.ons.gov.uk/economy/regionalaccounts/grossdisposablehouseholdincome/datasets/experimentalregionalgrossfixedcapitalformationgfcfestimatesbyassettype</b:URL>
    <b:RefOrder>18</b:RefOrder>
  </b:Source>
  <b:Source>
    <b:Tag>Pri09</b:Tag>
    <b:SourceType>DocumentFromInternetSite</b:SourceType>
    <b:Guid>{4D10A421-7B12-4CB9-9EB4-8FE15EF730B6}</b:Guid>
    <b:Author>
      <b:Author>
        <b:Corporate>PwC</b:Corporate>
      </b:Author>
    </b:Author>
    <b:Title>How vulnerable are different industry sectors to the downturn?</b:Title>
    <b:InternetSiteTitle>PricewaterhouseCoopers</b:InternetSiteTitle>
    <b:Year>2009</b:Year>
    <b:Month>March</b:Month>
    <b:URL>https://pwc.blogs.com/files/ukeo-section-iii-sector-vulnerability-march-2009.pdf</b:URL>
    <b:RefOrder>19</b:RefOrder>
  </b:Source>
  <b:Source>
    <b:Tag>Lan</b:Tag>
    <b:SourceType>DocumentFromInternetSite</b:SourceType>
    <b:Guid>{02CB0DFD-5A8C-4B8F-AC5B-90AAE50563BA}</b:Guid>
    <b:Author>
      <b:Author>
        <b:Corporate>Lancashire City Council</b:Corporate>
      </b:Author>
    </b:Author>
    <b:Title>Large employers</b:Title>
    <b:InternetSiteTitle>Lancashire City Council</b:InternetSiteTitle>
    <b:URL>https://www.lancashire.gov.uk/lancashire-insight/economy/major-employers/major-public-and-private-sector-employers/</b:URL>
    <b:RefOrder>20</b:RefOrder>
  </b:Source>
  <b:Source>
    <b:Tag>Tra24</b:Tag>
    <b:SourceType>InternetSite</b:SourceType>
    <b:Guid>{4000440B-A522-45E4-971F-6278087BB920}</b:Guid>
    <b:Title>UK 10 Year Gilt Bond Yield</b:Title>
    <b:InternetSiteTitle>Trading Economics</b:InternetSiteTitle>
    <b:Year>2024</b:Year>
    <b:Month>May</b:Month>
    <b:Day>10</b:Day>
    <b:URL>https://tradingeconomics.com/united-kingdom/government-bond-yield#:~:text=The%20UK%2010%20Year%20Gilt%20Bond%20Yield%20is%20expected%20to,4.14%20in%2012%20months%20time.</b:URL>
    <b:Author>
      <b:Author>
        <b:Corporate>Trading Economics</b:Corporate>
      </b:Author>
    </b:Author>
    <b:RefOrder>21</b:RefOrder>
  </b:Source>
</b:Sources>
</file>

<file path=customXml/itemProps1.xml><?xml version="1.0" encoding="utf-8"?>
<ds:datastoreItem xmlns:ds="http://schemas.openxmlformats.org/officeDocument/2006/customXml" ds:itemID="{F47C56BC-9622-42F0-9902-E7B294AB4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6028</TotalTime>
  <Pages>7</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6</cp:revision>
  <dcterms:created xsi:type="dcterms:W3CDTF">2024-04-27T17:54:00Z</dcterms:created>
  <dcterms:modified xsi:type="dcterms:W3CDTF">2024-05-10T15:27:00Z</dcterms:modified>
</cp:coreProperties>
</file>