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ED614" w14:textId="77777777" w:rsidR="00931372" w:rsidRDefault="005617FA" w:rsidP="00DF1BDE">
      <w:pPr>
        <w:pStyle w:val="Title"/>
        <w:spacing w:line="480" w:lineRule="auto"/>
      </w:pPr>
      <w:r w:rsidRPr="005617FA">
        <w:t xml:space="preserve">Assume an economy that starts with </w:t>
      </w:r>
      <w:r w:rsidRPr="005617FA">
        <w:rPr>
          <w:rFonts w:ascii="Cambria Math" w:hAnsi="Cambria Math" w:cs="Cambria Math"/>
        </w:rPr>
        <w:t>𝑌</w:t>
      </w:r>
      <w:r w:rsidRPr="005617FA">
        <w:t xml:space="preserve"> = </w:t>
      </w:r>
      <w:r w:rsidRPr="005617FA">
        <w:rPr>
          <w:rFonts w:ascii="Cambria Math" w:hAnsi="Cambria Math" w:cs="Cambria Math"/>
        </w:rPr>
        <w:t>𝑌𝑛</w:t>
      </w:r>
      <w:r w:rsidRPr="005617FA">
        <w:t>. Illustrate graphically, explain, and critically discuss the impact of an expansionary monetary policy shock (e.g., arise in the money supply or a fall in the interest rate) depending on whether we use a Simple Classical Model, the Blanchard IS-LM-PC model with anchored expectations and endogenous money, or the Anti-Blanchard IS-LM-PC model with anchored expectations and endogenous money where firms have the power to adjust the economy after a shock. You can assume that nominal interest rates will not reach the zero lower bound. Considering empirical evidence and the model’s theoretical assumptions, provide a full and broad critical discussion of the strengths and limitations of the Blanchard IS-LM-PC model.</w:t>
      </w:r>
    </w:p>
    <w:p w14:paraId="2D5A1081" w14:textId="186BA0A7" w:rsidR="002E2779" w:rsidRDefault="002E2779" w:rsidP="00DF1BDE">
      <w:pPr>
        <w:spacing w:line="480" w:lineRule="auto"/>
        <w:rPr>
          <w:rFonts w:eastAsiaTheme="minorEastAsia"/>
        </w:rPr>
      </w:pPr>
      <w:r>
        <w:t>In this essay, I will demonstrate that the Simple Classical Model (SCM) takes the position of monetary neutrality, meaning that it predicts that a monetary shock will have no impact on output in an economy. I will show that both the Blanchard and anti-Blanchard IS-LM-PC</w:t>
      </w:r>
      <w:r>
        <w:rPr>
          <w:rFonts w:eastAsiaTheme="minorEastAsia"/>
        </w:rPr>
        <w:t xml:space="preserve"> </w:t>
      </w:r>
      <w:r>
        <w:rPr>
          <w:rFonts w:eastAsiaTheme="minorEastAsia"/>
        </w:rPr>
        <w:t xml:space="preserve">models </w:t>
      </w:r>
      <w:r>
        <w:rPr>
          <w:rFonts w:eastAsiaTheme="minorEastAsia"/>
        </w:rPr>
        <w:t xml:space="preserve">model </w:t>
      </w:r>
      <w:r>
        <w:rPr>
          <w:rFonts w:eastAsiaTheme="minorEastAsia"/>
        </w:rPr>
        <w:t xml:space="preserve">expansionary monetary shocks as </w:t>
      </w:r>
      <w:r>
        <w:rPr>
          <w:rFonts w:eastAsiaTheme="minorEastAsia"/>
        </w:rPr>
        <w:t>impactful</w:t>
      </w:r>
      <w:r>
        <w:rPr>
          <w:rFonts w:eastAsiaTheme="minorEastAsia"/>
        </w:rPr>
        <w:t xml:space="preserve"> with respect to current levels of output, inflation and wages and profit.</w:t>
      </w:r>
      <w:r>
        <w:rPr>
          <w:rFonts w:eastAsiaTheme="minorEastAsia"/>
        </w:rPr>
        <w:t xml:space="preserve"> Finally, I will consider a broad range of points for and against the Blanchard IS-LM-PC.</w:t>
      </w:r>
    </w:p>
    <w:p w14:paraId="070D1565" w14:textId="7337E513" w:rsidR="002E2779" w:rsidRDefault="002E2779" w:rsidP="00DF1BDE">
      <w:pPr>
        <w:spacing w:line="480" w:lineRule="auto"/>
      </w:pPr>
      <w:r>
        <w:t xml:space="preserve"> </w:t>
      </w:r>
    </w:p>
    <w:p w14:paraId="6F4FAD0D" w14:textId="6570BF07" w:rsidR="00606BA9" w:rsidRDefault="003B1CB4" w:rsidP="00DF1BDE">
      <w:pPr>
        <w:spacing w:after="0" w:line="480" w:lineRule="auto"/>
        <w:jc w:val="center"/>
      </w:pPr>
      <w:r>
        <w:rPr>
          <w:noProof/>
        </w:rPr>
        <w:lastRenderedPageBreak/>
        <w:drawing>
          <wp:inline distT="0" distB="0" distL="0" distR="0" wp14:anchorId="315D60C3" wp14:editId="0CCDFED6">
            <wp:extent cx="4724400" cy="3652433"/>
            <wp:effectExtent l="0" t="0" r="0" b="5715"/>
            <wp:docPr id="1162555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555707" name=""/>
                    <pic:cNvPicPr/>
                  </pic:nvPicPr>
                  <pic:blipFill>
                    <a:blip r:embed="rId6"/>
                    <a:stretch>
                      <a:fillRect/>
                    </a:stretch>
                  </pic:blipFill>
                  <pic:spPr>
                    <a:xfrm>
                      <a:off x="0" y="0"/>
                      <a:ext cx="4729034" cy="3656016"/>
                    </a:xfrm>
                    <a:prstGeom prst="rect">
                      <a:avLst/>
                    </a:prstGeom>
                  </pic:spPr>
                </pic:pic>
              </a:graphicData>
            </a:graphic>
          </wp:inline>
        </w:drawing>
      </w:r>
    </w:p>
    <w:p w14:paraId="486512C9" w14:textId="0D5B44D6" w:rsidR="00606BA9" w:rsidRDefault="00606BA9" w:rsidP="00DF1BDE">
      <w:pPr>
        <w:spacing w:line="480" w:lineRule="auto"/>
        <w:jc w:val="center"/>
        <w:rPr>
          <w:i/>
          <w:iCs/>
        </w:rPr>
      </w:pPr>
      <w:r>
        <w:rPr>
          <w:i/>
          <w:iCs/>
        </w:rPr>
        <w:t>Figure 1</w:t>
      </w:r>
    </w:p>
    <w:p w14:paraId="5C2E5E1F" w14:textId="256FFB92" w:rsidR="00770AFB" w:rsidRDefault="00606BA9" w:rsidP="00DF1BDE">
      <w:pPr>
        <w:spacing w:line="480" w:lineRule="auto"/>
        <w:rPr>
          <w:rFonts w:eastAsiaTheme="minorEastAsia"/>
        </w:rPr>
      </w:pPr>
      <w:r>
        <w:t>In figure 1</w:t>
      </w:r>
      <w:r w:rsidR="003B1CB4">
        <w:t>.1</w:t>
      </w:r>
      <w:r>
        <w:t xml:space="preserve">, we find that the equilibrium between </w:t>
      </w:r>
      <w:r w:rsidR="00A33A99">
        <w:t xml:space="preserve">labour supply, </w:t>
      </w:r>
      <w:r>
        <w:rPr>
          <w:i/>
          <w:iCs/>
        </w:rPr>
        <w:t>Ls</w:t>
      </w:r>
      <w:r w:rsidR="00A33A99">
        <w:t>,</w:t>
      </w:r>
      <w:r>
        <w:t xml:space="preserve"> and </w:t>
      </w:r>
      <w:r w:rsidR="00A33A99">
        <w:t xml:space="preserve">labour demand, </w:t>
      </w:r>
      <w:r>
        <w:rPr>
          <w:i/>
          <w:iCs/>
        </w:rPr>
        <w:t>Ld</w:t>
      </w:r>
      <w:r w:rsidR="00A33A99">
        <w:rPr>
          <w:i/>
          <w:iCs/>
        </w:rPr>
        <w:t>,</w:t>
      </w:r>
      <w:r>
        <w:t xml:space="preserve"> determines the amount of labo</w:t>
      </w:r>
      <w:r w:rsidR="00FE73C6">
        <w:t xml:space="preserve">ur currently being employed, </w:t>
      </w:r>
      <w:r w:rsidR="00FE73C6" w:rsidRPr="00FE73C6">
        <w:rPr>
          <w:i/>
          <w:iCs/>
        </w:rPr>
        <w:t>N*</w:t>
      </w:r>
      <w:r w:rsidR="00FE73C6">
        <w:t xml:space="preserve">. </w:t>
      </w:r>
      <w:r w:rsidR="003B1CB4">
        <w:t>In figure 1.2, t</w:t>
      </w:r>
      <w:r w:rsidR="00FE73C6">
        <w:t xml:space="preserve">he equilibrium between N* and our production function </w:t>
      </w:r>
      <m:oMath>
        <m:r>
          <w:rPr>
            <w:rFonts w:ascii="Cambria Math" w:eastAsiaTheme="minorEastAsia" w:hAnsi="Cambria Math"/>
          </w:rPr>
          <m:t>Y=A</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1-α</m:t>
            </m:r>
          </m:sup>
        </m:sSup>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α</m:t>
            </m:r>
          </m:sup>
        </m:sSup>
      </m:oMath>
      <w:r w:rsidR="00FE73C6">
        <w:rPr>
          <w:rFonts w:eastAsiaTheme="minorEastAsia"/>
        </w:rPr>
        <w:t xml:space="preserve"> determines</w:t>
      </w:r>
      <w:r w:rsidR="00117E92">
        <w:rPr>
          <w:rFonts w:eastAsiaTheme="minorEastAsia"/>
        </w:rPr>
        <w:t xml:space="preserve"> current output</w:t>
      </w:r>
      <w:r w:rsidR="00FE73C6">
        <w:rPr>
          <w:rFonts w:eastAsiaTheme="minorEastAsia"/>
        </w:rPr>
        <w:t xml:space="preserve"> </w:t>
      </w:r>
      <m:oMath>
        <m:acc>
          <m:accPr>
            <m:chr m:val="̅"/>
            <m:ctrlPr>
              <w:rPr>
                <w:rFonts w:ascii="Cambria Math" w:hAnsi="Cambria Math"/>
                <w:i/>
              </w:rPr>
            </m:ctrlPr>
          </m:accPr>
          <m:e>
            <m:r>
              <w:rPr>
                <w:rFonts w:ascii="Cambria Math" w:hAnsi="Cambria Math"/>
              </w:rPr>
              <m:t>Y</m:t>
            </m:r>
          </m:e>
        </m:acc>
      </m:oMath>
      <w:r w:rsidR="00FE73C6">
        <w:rPr>
          <w:rFonts w:eastAsiaTheme="minorEastAsia"/>
        </w:rPr>
        <w:t xml:space="preserve">; this determination is possible because we are assuming that </w:t>
      </w:r>
      <m:oMath>
        <m:r>
          <w:rPr>
            <w:rFonts w:ascii="Cambria Math" w:eastAsiaTheme="minorEastAsia" w:hAnsi="Cambria Math"/>
          </w:rPr>
          <m:t>A=K=1</m:t>
        </m:r>
      </m:oMath>
      <w:r w:rsidR="00FE73C6">
        <w:rPr>
          <w:rFonts w:eastAsiaTheme="minorEastAsia"/>
        </w:rPr>
        <w:t>.</w:t>
      </w:r>
    </w:p>
    <w:p w14:paraId="23B6377E" w14:textId="77DE955C" w:rsidR="00FE73C6" w:rsidRDefault="0052152E" w:rsidP="00DF1BDE">
      <w:pPr>
        <w:spacing w:line="480" w:lineRule="auto"/>
        <w:rPr>
          <w:rFonts w:eastAsiaTheme="minorEastAsia"/>
        </w:rPr>
      </w:pPr>
      <w:r>
        <w:rPr>
          <w:rFonts w:eastAsiaTheme="minorEastAsia"/>
        </w:rPr>
        <w:t>O</w:t>
      </w:r>
      <w:r w:rsidR="00A33A99">
        <w:rPr>
          <w:rFonts w:eastAsiaTheme="minorEastAsia"/>
        </w:rPr>
        <w:t>utput in the economy is</w:t>
      </w:r>
      <w:r w:rsidR="00A33A99">
        <w:rPr>
          <w:rFonts w:eastAsiaTheme="minorEastAsia"/>
          <w:i/>
          <w:iCs/>
        </w:rPr>
        <w:t xml:space="preserve"> </w:t>
      </w:r>
      <w:r w:rsidR="00A33A99">
        <w:rPr>
          <w:rFonts w:eastAsiaTheme="minorEastAsia"/>
        </w:rPr>
        <w:t xml:space="preserve">determined by labour supply and demand, </w:t>
      </w:r>
      <w:r w:rsidR="00770AFB">
        <w:rPr>
          <w:rFonts w:eastAsiaTheme="minorEastAsia"/>
        </w:rPr>
        <w:t xml:space="preserve">which, in the SCM, have no relationship with the money supply </w:t>
      </w:r>
      <w:r w:rsidR="00FC1059">
        <w:rPr>
          <w:rFonts w:eastAsiaTheme="minorEastAsia"/>
        </w:rPr>
        <w:t xml:space="preserve">or the </w:t>
      </w:r>
      <w:r w:rsidR="00770AFB">
        <w:rPr>
          <w:rFonts w:eastAsiaTheme="minorEastAsia"/>
        </w:rPr>
        <w:t>interest</w:t>
      </w:r>
      <w:r w:rsidR="00FC1059">
        <w:rPr>
          <w:rFonts w:eastAsiaTheme="minorEastAsia"/>
        </w:rPr>
        <w:t xml:space="preserve"> rate</w:t>
      </w:r>
      <w:r>
        <w:rPr>
          <w:rFonts w:eastAsiaTheme="minorEastAsia"/>
        </w:rPr>
        <w:t xml:space="preserve">. Instead, </w:t>
      </w:r>
      <w:r w:rsidR="003F4063">
        <w:rPr>
          <w:rFonts w:eastAsiaTheme="minorEastAsia"/>
        </w:rPr>
        <w:t xml:space="preserve">changes in monetary policy only affect aggregate demand, which is defined by the </w:t>
      </w:r>
      <w:r w:rsidR="003B1CB4">
        <w:rPr>
          <w:rFonts w:eastAsiaTheme="minorEastAsia"/>
        </w:rPr>
        <w:t>relationship between</w:t>
      </w:r>
      <w:r w:rsidR="00FC1059">
        <w:rPr>
          <w:rFonts w:eastAsiaTheme="minorEastAsia"/>
        </w:rPr>
        <w:t xml:space="preserve"> money supply and the price level, </w:t>
      </w:r>
      <m:oMath>
        <m:r>
          <w:rPr>
            <w:rFonts w:ascii="Cambria Math" w:eastAsiaTheme="minorEastAsia" w:hAnsi="Cambria Math"/>
          </w:rPr>
          <m:t>MV=PY</m:t>
        </m:r>
      </m:oMath>
      <w:r w:rsidR="00FC1059">
        <w:rPr>
          <w:rFonts w:eastAsiaTheme="minorEastAsia"/>
        </w:rPr>
        <w:t xml:space="preserve">, where we assume </w:t>
      </w:r>
      <m:oMath>
        <m:r>
          <w:rPr>
            <w:rFonts w:ascii="Cambria Math" w:eastAsiaTheme="minorEastAsia" w:hAnsi="Cambria Math"/>
          </w:rPr>
          <m:t>V=1</m:t>
        </m:r>
      </m:oMath>
      <w:r w:rsidR="00FC1059">
        <w:rPr>
          <w:rFonts w:eastAsiaTheme="minorEastAsia"/>
        </w:rPr>
        <w:t xml:space="preserve">. </w:t>
      </w:r>
      <w:r w:rsidR="003B1CB4">
        <w:rPr>
          <w:rFonts w:eastAsiaTheme="minorEastAsia"/>
        </w:rPr>
        <w:t xml:space="preserve">In figure 1.3, AD is defined by the equation </w:t>
      </w:r>
      <m:oMath>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P</m:t>
            </m:r>
          </m:den>
        </m:f>
      </m:oMath>
      <w:r w:rsidR="003B1CB4">
        <w:rPr>
          <w:rFonts w:eastAsiaTheme="minorEastAsia"/>
        </w:rPr>
        <w:t xml:space="preserve">, however this relationship is often </w:t>
      </w:r>
      <w:r w:rsidR="00AE7D71">
        <w:rPr>
          <w:rFonts w:eastAsiaTheme="minorEastAsia"/>
        </w:rPr>
        <w:t>approximated</w:t>
      </w:r>
      <w:r w:rsidR="003B1CB4">
        <w:rPr>
          <w:rFonts w:eastAsiaTheme="minorEastAsia"/>
        </w:rPr>
        <w:t xml:space="preserve"> to the straight line seen in figure 1.4</w:t>
      </w:r>
      <w:r w:rsidR="00AE7D71">
        <w:rPr>
          <w:rFonts w:eastAsiaTheme="minorEastAsia"/>
        </w:rPr>
        <w:t>. In the SCM,</w:t>
      </w:r>
      <w:r w:rsidR="00AE7D71">
        <w:rPr>
          <w:rFonts w:eastAsiaTheme="minorEastAsia"/>
          <w:i/>
          <w:iCs/>
        </w:rPr>
        <w:t xml:space="preserve"> Y</w:t>
      </w:r>
      <w:r w:rsidR="00AE7D71">
        <w:rPr>
          <w:rFonts w:eastAsiaTheme="minorEastAsia"/>
        </w:rPr>
        <w:t xml:space="preserve"> is always fixed where</w:t>
      </w:r>
      <w:r w:rsidR="003B1CB4">
        <w:rPr>
          <w:rFonts w:eastAsiaTheme="minorEastAsia"/>
        </w:rPr>
        <w:t xml:space="preserve"> </w:t>
      </w:r>
      <m:oMath>
        <m:r>
          <w:rPr>
            <w:rFonts w:ascii="Cambria Math" w:eastAsiaTheme="minorEastAsia" w:hAnsi="Cambria Math"/>
          </w:rPr>
          <m:t>Y=</m:t>
        </m:r>
        <m:acc>
          <m:accPr>
            <m:chr m:val="̅"/>
            <m:ctrlPr>
              <w:rPr>
                <w:rFonts w:ascii="Cambria Math" w:eastAsiaTheme="minorEastAsia" w:hAnsi="Cambria Math"/>
                <w:i/>
              </w:rPr>
            </m:ctrlPr>
          </m:accPr>
          <m:e>
            <m:r>
              <w:rPr>
                <w:rFonts w:ascii="Cambria Math" w:eastAsiaTheme="minorEastAsia" w:hAnsi="Cambria Math"/>
              </w:rPr>
              <m:t>Y</m:t>
            </m:r>
          </m:e>
        </m:acc>
      </m:oMath>
      <w:r w:rsidR="003B1CB4">
        <w:rPr>
          <w:rFonts w:eastAsiaTheme="minorEastAsia"/>
        </w:rPr>
        <w:t xml:space="preserve">, </w:t>
      </w:r>
      <w:r w:rsidR="00AE7D71">
        <w:rPr>
          <w:rFonts w:eastAsiaTheme="minorEastAsia"/>
        </w:rPr>
        <w:t xml:space="preserve">so we substitute </w:t>
      </w:r>
      <m:oMath>
        <m:acc>
          <m:accPr>
            <m:chr m:val="̅"/>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P</m:t>
            </m:r>
          </m:den>
        </m:f>
      </m:oMath>
      <w:r w:rsidR="00AE7D71">
        <w:rPr>
          <w:rFonts w:eastAsiaTheme="minorEastAsia"/>
        </w:rPr>
        <w:t>.</w:t>
      </w:r>
      <w:r w:rsidR="0031729E">
        <w:rPr>
          <w:rFonts w:eastAsiaTheme="minorEastAsia"/>
        </w:rPr>
        <w:t xml:space="preserve"> </w:t>
      </w:r>
      <w:r w:rsidR="003F4063">
        <w:rPr>
          <w:rFonts w:eastAsiaTheme="minorEastAsia"/>
        </w:rPr>
        <w:t>This implies that</w:t>
      </w:r>
      <w:r w:rsidR="0031729E">
        <w:rPr>
          <w:rFonts w:eastAsiaTheme="minorEastAsia"/>
        </w:rPr>
        <w:t xml:space="preserve">, to maintain output fixed at </w:t>
      </w:r>
      <m:oMath>
        <m:acc>
          <m:accPr>
            <m:chr m:val="̅"/>
            <m:ctrlPr>
              <w:rPr>
                <w:rFonts w:ascii="Cambria Math" w:eastAsiaTheme="minorEastAsia" w:hAnsi="Cambria Math"/>
                <w:i/>
              </w:rPr>
            </m:ctrlPr>
          </m:accPr>
          <m:e>
            <m:r>
              <w:rPr>
                <w:rFonts w:ascii="Cambria Math" w:eastAsiaTheme="minorEastAsia" w:hAnsi="Cambria Math"/>
              </w:rPr>
              <m:t>Y</m:t>
            </m:r>
          </m:e>
        </m:acc>
      </m:oMath>
      <w:r w:rsidR="0031729E">
        <w:rPr>
          <w:rFonts w:eastAsiaTheme="minorEastAsia"/>
        </w:rPr>
        <w:t>, a rise in the money supply requires an equal rise in the price level and vice versa</w:t>
      </w:r>
      <w:r w:rsidR="002E2779">
        <w:rPr>
          <w:rFonts w:eastAsiaTheme="minorEastAsia"/>
        </w:rPr>
        <w:t>, so P1 shifts to P2</w:t>
      </w:r>
      <w:r w:rsidR="0031729E">
        <w:rPr>
          <w:rFonts w:eastAsiaTheme="minorEastAsia"/>
        </w:rPr>
        <w:t>.</w:t>
      </w:r>
      <w:r w:rsidR="00563D4B">
        <w:rPr>
          <w:rFonts w:eastAsiaTheme="minorEastAsia"/>
        </w:rPr>
        <w:t xml:space="preserve"> </w:t>
      </w:r>
      <w:r w:rsidR="0031729E">
        <w:rPr>
          <w:rFonts w:eastAsiaTheme="minorEastAsia"/>
        </w:rPr>
        <w:t>To summarise</w:t>
      </w:r>
      <w:r w:rsidR="00AE7D71">
        <w:rPr>
          <w:rFonts w:eastAsiaTheme="minorEastAsia"/>
        </w:rPr>
        <w:t xml:space="preserve">, </w:t>
      </w:r>
      <w:r w:rsidR="0031729E">
        <w:rPr>
          <w:rFonts w:eastAsiaTheme="minorEastAsia"/>
        </w:rPr>
        <w:t xml:space="preserve">the </w:t>
      </w:r>
      <w:r w:rsidR="00AE7D71">
        <w:rPr>
          <w:rFonts w:eastAsiaTheme="minorEastAsia"/>
        </w:rPr>
        <w:t xml:space="preserve">SCM predicts that an </w:t>
      </w:r>
      <w:r w:rsidR="00AE7D71">
        <w:rPr>
          <w:rFonts w:eastAsiaTheme="minorEastAsia"/>
        </w:rPr>
        <w:lastRenderedPageBreak/>
        <w:t>economy experiencing an expansionary monetary shock will face an increased price level, while their level of output will stay the same.</w:t>
      </w:r>
    </w:p>
    <w:p w14:paraId="7A7688E2" w14:textId="750A9ED1" w:rsidR="00AE7D71" w:rsidRDefault="00563D4B" w:rsidP="00DF1BDE">
      <w:pPr>
        <w:spacing w:line="480" w:lineRule="auto"/>
        <w:rPr>
          <w:rFonts w:eastAsiaTheme="minorEastAsia"/>
        </w:rPr>
      </w:pPr>
      <w:r>
        <w:rPr>
          <w:rFonts w:eastAsiaTheme="minorEastAsia"/>
        </w:rPr>
        <w:t>Blanchard’s IS-LM-PC models expansionary monetary shocks as influential with respect to current levels of output</w:t>
      </w:r>
      <w:r w:rsidR="003F4063">
        <w:rPr>
          <w:rFonts w:eastAsiaTheme="minorEastAsia"/>
        </w:rPr>
        <w:t xml:space="preserve">, </w:t>
      </w:r>
      <w:r>
        <w:rPr>
          <w:rFonts w:eastAsiaTheme="minorEastAsia"/>
        </w:rPr>
        <w:t>inflation</w:t>
      </w:r>
      <w:r w:rsidR="003F4063">
        <w:rPr>
          <w:rFonts w:eastAsiaTheme="minorEastAsia"/>
        </w:rPr>
        <w:t xml:space="preserve"> and wages and profit</w:t>
      </w:r>
      <w:r>
        <w:rPr>
          <w:rFonts w:eastAsiaTheme="minorEastAsia"/>
        </w:rPr>
        <w:t>.</w:t>
      </w:r>
    </w:p>
    <w:p w14:paraId="62134477" w14:textId="36A36720" w:rsidR="00563D4B" w:rsidRDefault="00CC4D82" w:rsidP="00DF1BDE">
      <w:pPr>
        <w:spacing w:after="0" w:line="480" w:lineRule="auto"/>
        <w:jc w:val="center"/>
        <w:rPr>
          <w:rFonts w:eastAsiaTheme="minorEastAsia"/>
        </w:rPr>
      </w:pPr>
      <w:r>
        <w:rPr>
          <w:noProof/>
        </w:rPr>
        <w:drawing>
          <wp:inline distT="0" distB="0" distL="0" distR="0" wp14:anchorId="35B7FAE3" wp14:editId="26EAC229">
            <wp:extent cx="4640899" cy="5314462"/>
            <wp:effectExtent l="0" t="0" r="7620" b="635"/>
            <wp:docPr id="197436479" name="Picture 1" descr="A diagram of a mathematical equ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36479" name="Picture 1" descr="A diagram of a mathematical equation&#10;&#10;Description automatically generated with medium confidence"/>
                    <pic:cNvPicPr/>
                  </pic:nvPicPr>
                  <pic:blipFill>
                    <a:blip r:embed="rId7"/>
                    <a:stretch>
                      <a:fillRect/>
                    </a:stretch>
                  </pic:blipFill>
                  <pic:spPr>
                    <a:xfrm>
                      <a:off x="0" y="0"/>
                      <a:ext cx="4647851" cy="5322424"/>
                    </a:xfrm>
                    <a:prstGeom prst="rect">
                      <a:avLst/>
                    </a:prstGeom>
                  </pic:spPr>
                </pic:pic>
              </a:graphicData>
            </a:graphic>
          </wp:inline>
        </w:drawing>
      </w:r>
    </w:p>
    <w:p w14:paraId="5B7F357E" w14:textId="0741AE24" w:rsidR="00563D4B" w:rsidRDefault="00563D4B" w:rsidP="00DF1BDE">
      <w:pPr>
        <w:spacing w:line="480" w:lineRule="auto"/>
        <w:jc w:val="center"/>
        <w:rPr>
          <w:rFonts w:eastAsiaTheme="minorEastAsia"/>
        </w:rPr>
      </w:pPr>
      <w:r>
        <w:rPr>
          <w:rFonts w:eastAsiaTheme="minorEastAsia"/>
          <w:i/>
          <w:iCs/>
        </w:rPr>
        <w:t>Figure 2</w:t>
      </w:r>
    </w:p>
    <w:p w14:paraId="251DEECD" w14:textId="7D16BC80" w:rsidR="00563D4B" w:rsidRDefault="00C87249" w:rsidP="00DF1BDE">
      <w:pPr>
        <w:spacing w:line="480" w:lineRule="auto"/>
        <w:rPr>
          <w:rFonts w:eastAsiaTheme="minorEastAsia"/>
        </w:rPr>
      </w:pPr>
      <w:r>
        <w:rPr>
          <w:rFonts w:eastAsiaTheme="minorEastAsia"/>
        </w:rPr>
        <w:t>In figure 2</w:t>
      </w:r>
      <w:r w:rsidR="00CC4D82">
        <w:rPr>
          <w:rFonts w:eastAsiaTheme="minorEastAsia"/>
        </w:rPr>
        <w:t>.1</w:t>
      </w:r>
      <w:r>
        <w:rPr>
          <w:rFonts w:eastAsiaTheme="minorEastAsia"/>
        </w:rPr>
        <w:t xml:space="preserve">, an expansionary monetary shock is modelled as the central bank decreasing the interest rate from </w:t>
      </w:r>
      <m:oMath>
        <m:acc>
          <m:accPr>
            <m:chr m:val="̅"/>
            <m:ctrlPr>
              <w:rPr>
                <w:rFonts w:ascii="Cambria Math" w:eastAsiaTheme="minorEastAsia" w:hAnsi="Cambria Math"/>
                <w:i/>
              </w:rPr>
            </m:ctrlPr>
          </m:accPr>
          <m:e>
            <m:r>
              <w:rPr>
                <w:rFonts w:ascii="Cambria Math" w:eastAsiaTheme="minorEastAsia" w:hAnsi="Cambria Math"/>
              </w:rPr>
              <m:t>r</m:t>
            </m:r>
          </m:e>
        </m:acc>
      </m:oMath>
      <w:r>
        <w:rPr>
          <w:rFonts w:eastAsiaTheme="minorEastAsia"/>
        </w:rPr>
        <w:t xml:space="preserve"> to </w:t>
      </w:r>
      <m:oMath>
        <m:acc>
          <m:accPr>
            <m:chr m:val="̅"/>
            <m:ctrlPr>
              <w:rPr>
                <w:rFonts w:ascii="Cambria Math" w:eastAsiaTheme="minorEastAsia" w:hAnsi="Cambria Math"/>
                <w:i/>
              </w:rPr>
            </m:ctrlPr>
          </m:accPr>
          <m:e>
            <m:r>
              <w:rPr>
                <w:rFonts w:ascii="Cambria Math" w:eastAsiaTheme="minorEastAsia" w:hAnsi="Cambria Math"/>
              </w:rPr>
              <m:t>r</m:t>
            </m:r>
          </m:e>
        </m:acc>
        <m:r>
          <w:rPr>
            <w:rFonts w:ascii="Cambria Math" w:eastAsiaTheme="minorEastAsia" w:hAnsi="Cambria Math"/>
          </w:rPr>
          <m:t>2</m:t>
        </m:r>
      </m:oMath>
      <w:r>
        <w:rPr>
          <w:rFonts w:eastAsiaTheme="minorEastAsia"/>
        </w:rPr>
        <w:t xml:space="preserve">. In endogenous money theory, the LM curve is perfectly elastic at the real interest rate, so the LM curve also shifts downwards. The IS-LM relationship, previously determining output at Yn, now determines output at level Y. </w:t>
      </w:r>
      <w:r w:rsidR="00CC4D82">
        <w:rPr>
          <w:rFonts w:eastAsiaTheme="minorEastAsia"/>
        </w:rPr>
        <w:t xml:space="preserve">When </w:t>
      </w:r>
      <m:oMath>
        <m:r>
          <w:rPr>
            <w:rFonts w:ascii="Cambria Math" w:eastAsiaTheme="minorEastAsia" w:hAnsi="Cambria Math"/>
          </w:rPr>
          <m:t>Y&gt;Yn</m:t>
        </m:r>
      </m:oMath>
      <w:r>
        <w:rPr>
          <w:rFonts w:eastAsiaTheme="minorEastAsia"/>
        </w:rPr>
        <w:t xml:space="preserve">, the </w:t>
      </w:r>
      <w:r>
        <w:rPr>
          <w:rFonts w:eastAsiaTheme="minorEastAsia"/>
        </w:rPr>
        <w:lastRenderedPageBreak/>
        <w:t>Phillips curve relationship models an inflationary period in the economy</w:t>
      </w:r>
      <w:r w:rsidR="00CC4D82">
        <w:rPr>
          <w:rFonts w:eastAsiaTheme="minorEastAsia"/>
        </w:rPr>
        <w:t>, exemplified in figure 2.4. In figure 2.5, we model the impacts of inflationary interest rates on workers and firms in the economy. Before the monetary shock,</w:t>
      </w:r>
      <w:r w:rsidR="00AE7F0C">
        <w:rPr>
          <w:rFonts w:eastAsiaTheme="minorEastAsia"/>
        </w:rPr>
        <w:t xml:space="preserve"> the total product in the economy is represented by the blue and yellow areas. The yellow portion is given to workers in the form of wages, and the blue portion </w:t>
      </w:r>
      <w:r w:rsidR="00940AA3">
        <w:rPr>
          <w:rFonts w:eastAsiaTheme="minorEastAsia"/>
        </w:rPr>
        <w:t xml:space="preserve">earned by </w:t>
      </w:r>
      <w:r w:rsidR="00AE7F0C">
        <w:rPr>
          <w:rFonts w:eastAsiaTheme="minorEastAsia"/>
        </w:rPr>
        <w:t>firms in the form of profit.</w:t>
      </w:r>
      <w:r w:rsidR="00CC4D82">
        <w:rPr>
          <w:rFonts w:eastAsiaTheme="minorEastAsia"/>
        </w:rPr>
        <w:t xml:space="preserve"> </w:t>
      </w:r>
      <w:r w:rsidR="00AE7F0C">
        <w:rPr>
          <w:rFonts w:eastAsiaTheme="minorEastAsia"/>
        </w:rPr>
        <w:t xml:space="preserve">After output increases, the total product of the economy is represented by blue, green, </w:t>
      </w:r>
      <w:r w:rsidR="00A71FF1">
        <w:rPr>
          <w:rFonts w:eastAsiaTheme="minorEastAsia"/>
        </w:rPr>
        <w:t>yellow,</w:t>
      </w:r>
      <w:r w:rsidR="00AE7F0C">
        <w:rPr>
          <w:rFonts w:eastAsiaTheme="minorEastAsia"/>
        </w:rPr>
        <w:t xml:space="preserve"> and orange areas, with workers</w:t>
      </w:r>
      <w:r w:rsidR="00940AA3">
        <w:rPr>
          <w:rFonts w:eastAsiaTheme="minorEastAsia"/>
        </w:rPr>
        <w:t xml:space="preserve"> and firms gaining the orange and green areas, respectively</w:t>
      </w:r>
      <w:r w:rsidR="00AE7F0C">
        <w:rPr>
          <w:rFonts w:eastAsiaTheme="minorEastAsia"/>
        </w:rPr>
        <w:t>. The distribution of the total product of the economy, then, is dependent on the price setting curve, as this curve delineates the workers’ section from the firms’ section</w:t>
      </w:r>
      <w:r w:rsidR="00A71FF1">
        <w:rPr>
          <w:rFonts w:eastAsiaTheme="minorEastAsia"/>
        </w:rPr>
        <w:t>. To summarise, Blanchard’s IS-LM-PC model posits that an expansionary monetary shock will lead to inflation and an increase in the total output of the economy. The benefits of this extra output will be distributed to workers and firms depending on the price-setting relation, and thus the mark-up</w:t>
      </w:r>
      <w:r w:rsidR="00940AA3">
        <w:rPr>
          <w:rFonts w:eastAsiaTheme="minorEastAsia"/>
        </w:rPr>
        <w:t>.</w:t>
      </w:r>
    </w:p>
    <w:p w14:paraId="50415E05" w14:textId="2A9BC59E" w:rsidR="003F4063" w:rsidRDefault="003F4063" w:rsidP="00DF1BDE">
      <w:pPr>
        <w:spacing w:line="480" w:lineRule="auto"/>
        <w:rPr>
          <w:rFonts w:eastAsiaTheme="minorEastAsia"/>
        </w:rPr>
      </w:pPr>
      <w:r>
        <w:rPr>
          <w:rFonts w:eastAsiaTheme="minorEastAsia"/>
        </w:rPr>
        <w:t>The anti-Blanchard IS-LM-PC agrees with the Blanchard model, insofar as it concerns the process I have already explained. However, the anti-Blanchard model argues that following this process, the potential output Yn in figure 2.5 will adjust to the output Y, because of a desire among workers and firms to lower inflation. This adjustment can happen in two different ways, and will be determined by whether firms or workers have the most power in a given economy.</w:t>
      </w:r>
    </w:p>
    <w:p w14:paraId="7907ABAD" w14:textId="5DE493E5" w:rsidR="00940AA3" w:rsidRDefault="0052152E" w:rsidP="00DF1BDE">
      <w:pPr>
        <w:spacing w:after="0" w:line="480" w:lineRule="auto"/>
        <w:jc w:val="center"/>
        <w:rPr>
          <w:rFonts w:eastAsiaTheme="minorEastAsia"/>
        </w:rPr>
      </w:pPr>
      <w:r>
        <w:rPr>
          <w:noProof/>
        </w:rPr>
        <w:lastRenderedPageBreak/>
        <w:drawing>
          <wp:inline distT="0" distB="0" distL="0" distR="0" wp14:anchorId="250A9734" wp14:editId="4041725F">
            <wp:extent cx="3805311" cy="4319235"/>
            <wp:effectExtent l="0" t="0" r="5080" b="5715"/>
            <wp:docPr id="926348206" name="Picture 1" descr="A diagram of a mathematical equ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348206" name="Picture 1" descr="A diagram of a mathematical equation&#10;&#10;Description automatically generated with medium confidence"/>
                    <pic:cNvPicPr/>
                  </pic:nvPicPr>
                  <pic:blipFill>
                    <a:blip r:embed="rId8"/>
                    <a:stretch>
                      <a:fillRect/>
                    </a:stretch>
                  </pic:blipFill>
                  <pic:spPr>
                    <a:xfrm>
                      <a:off x="0" y="0"/>
                      <a:ext cx="3816703" cy="4332166"/>
                    </a:xfrm>
                    <a:prstGeom prst="rect">
                      <a:avLst/>
                    </a:prstGeom>
                  </pic:spPr>
                </pic:pic>
              </a:graphicData>
            </a:graphic>
          </wp:inline>
        </w:drawing>
      </w:r>
    </w:p>
    <w:p w14:paraId="5D32854A" w14:textId="10986729" w:rsidR="00940AA3" w:rsidRDefault="00940AA3" w:rsidP="00DF1BDE">
      <w:pPr>
        <w:spacing w:line="480" w:lineRule="auto"/>
        <w:jc w:val="center"/>
        <w:rPr>
          <w:rFonts w:eastAsiaTheme="minorEastAsia"/>
          <w:i/>
          <w:iCs/>
        </w:rPr>
      </w:pPr>
      <w:r>
        <w:rPr>
          <w:rFonts w:eastAsiaTheme="minorEastAsia"/>
          <w:i/>
          <w:iCs/>
        </w:rPr>
        <w:t xml:space="preserve">Figure </w:t>
      </w:r>
      <w:r w:rsidR="005A257F">
        <w:rPr>
          <w:rFonts w:eastAsiaTheme="minorEastAsia"/>
          <w:i/>
          <w:iCs/>
        </w:rPr>
        <w:t>3</w:t>
      </w:r>
    </w:p>
    <w:p w14:paraId="103DF890" w14:textId="5BF85FF9" w:rsidR="00940AA3" w:rsidRPr="00940AA3" w:rsidRDefault="00940AA3" w:rsidP="00DF1BDE">
      <w:pPr>
        <w:spacing w:line="480" w:lineRule="auto"/>
        <w:rPr>
          <w:rFonts w:eastAsiaTheme="minorEastAsia"/>
        </w:rPr>
      </w:pPr>
      <w:r>
        <w:rPr>
          <w:rFonts w:eastAsiaTheme="minorEastAsia"/>
        </w:rPr>
        <w:t xml:space="preserve">In figure </w:t>
      </w:r>
      <w:r w:rsidR="002E2779">
        <w:rPr>
          <w:rFonts w:eastAsiaTheme="minorEastAsia"/>
        </w:rPr>
        <w:t>3</w:t>
      </w:r>
      <w:r>
        <w:rPr>
          <w:rFonts w:eastAsiaTheme="minorEastAsia"/>
        </w:rPr>
        <w:t xml:space="preserve">, we see what happens </w:t>
      </w:r>
      <w:r w:rsidR="0052152E">
        <w:rPr>
          <w:rFonts w:eastAsiaTheme="minorEastAsia"/>
        </w:rPr>
        <w:t xml:space="preserve">when </w:t>
      </w:r>
      <w:r w:rsidR="0052152E" w:rsidRPr="002E2779">
        <w:rPr>
          <w:rFonts w:eastAsiaTheme="minorEastAsia"/>
        </w:rPr>
        <w:t>firms</w:t>
      </w:r>
      <w:r w:rsidR="0052152E">
        <w:rPr>
          <w:rFonts w:eastAsiaTheme="minorEastAsia"/>
        </w:rPr>
        <w:t xml:space="preserve"> dominate the economy. Rather than reduce mark-up, firms force workers to accept lower wages, which is modelled as a fall in their bargaining power. This shifts WS to WS2, causing Yn(t-1) to shift to Yn and PC to shift to PC2, ending the inflationary period as seen in figure </w:t>
      </w:r>
      <w:r w:rsidR="002E2779">
        <w:rPr>
          <w:rFonts w:eastAsiaTheme="minorEastAsia"/>
        </w:rPr>
        <w:t>3</w:t>
      </w:r>
      <w:r w:rsidR="0052152E">
        <w:rPr>
          <w:rFonts w:eastAsiaTheme="minorEastAsia"/>
        </w:rPr>
        <w:t xml:space="preserve">.4. </w:t>
      </w:r>
    </w:p>
    <w:p w14:paraId="3632F158" w14:textId="63CF8D3C" w:rsidR="00A71FF1" w:rsidRPr="007D3522" w:rsidRDefault="00776193" w:rsidP="00DF1BDE">
      <w:pPr>
        <w:spacing w:line="480" w:lineRule="auto"/>
        <w:rPr>
          <w:rFonts w:eastAsiaTheme="minorEastAsia"/>
        </w:rPr>
      </w:pPr>
      <w:r>
        <w:rPr>
          <w:rFonts w:eastAsiaTheme="minorEastAsia"/>
        </w:rPr>
        <w:t>In general, Blanchard’s IS-LM-PC has a few key strengths over other models, when realistically modelling economies</w:t>
      </w:r>
      <w:r w:rsidR="00001807">
        <w:rPr>
          <w:rFonts w:eastAsiaTheme="minorEastAsia"/>
        </w:rPr>
        <w:t xml:space="preserve"> and making predictions</w:t>
      </w:r>
      <w:r>
        <w:rPr>
          <w:rFonts w:eastAsiaTheme="minorEastAsia"/>
        </w:rPr>
        <w:t xml:space="preserve">. First, considering assumptions, both IS-LM-PC models share a strength over the SCM, since the formers’ implicit time dynamics and assumption of imperfectly competitive markets </w:t>
      </w:r>
      <w:r w:rsidR="001575D9">
        <w:rPr>
          <w:rFonts w:eastAsiaTheme="minorEastAsia"/>
        </w:rPr>
        <w:t>are more realistic than the latter’s complete sta</w:t>
      </w:r>
      <w:r w:rsidR="00001807">
        <w:rPr>
          <w:rFonts w:eastAsiaTheme="minorEastAsia"/>
        </w:rPr>
        <w:t>s</w:t>
      </w:r>
      <w:r w:rsidR="001575D9">
        <w:rPr>
          <w:rFonts w:eastAsiaTheme="minorEastAsia"/>
        </w:rPr>
        <w:t>i</w:t>
      </w:r>
      <w:r w:rsidR="00001807">
        <w:rPr>
          <w:rFonts w:eastAsiaTheme="minorEastAsia"/>
        </w:rPr>
        <w:t xml:space="preserve">s </w:t>
      </w:r>
      <w:r w:rsidR="001575D9">
        <w:rPr>
          <w:rFonts w:eastAsiaTheme="minorEastAsia"/>
        </w:rPr>
        <w:t xml:space="preserve">and assumption of perfect competition. Second, considering empirical data, the consensus on monetary neutrality seems to be that it is false, i.e., contrary to what </w:t>
      </w:r>
      <w:r w:rsidR="001575D9">
        <w:rPr>
          <w:rFonts w:eastAsiaTheme="minorEastAsia"/>
        </w:rPr>
        <w:lastRenderedPageBreak/>
        <w:t>the SCM predicts, monetary shocks do affect output. This is supported by Romer and Romer (1989), Christiano et al. (1999, 2005) and Coibon (2012).</w:t>
      </w:r>
    </w:p>
    <w:p w14:paraId="47B6B819" w14:textId="294F66F5" w:rsidR="00387344" w:rsidRPr="00387344" w:rsidRDefault="000F012C" w:rsidP="00DF1BDE">
      <w:pPr>
        <w:spacing w:line="480" w:lineRule="auto"/>
        <w:rPr>
          <w:rFonts w:eastAsiaTheme="minorEastAsia"/>
        </w:rPr>
      </w:pPr>
      <w:r>
        <w:rPr>
          <w:rFonts w:eastAsiaTheme="minorEastAsia"/>
        </w:rPr>
        <w:t>The Blanchard IS-LM-PC model also has some weaknesses.</w:t>
      </w:r>
      <w:r w:rsidR="00877536">
        <w:rPr>
          <w:rFonts w:eastAsiaTheme="minorEastAsia"/>
        </w:rPr>
        <w:t xml:space="preserve"> First, Blanchard’s IS-LM-PC differs from the </w:t>
      </w:r>
      <w:r w:rsidR="002E2779">
        <w:rPr>
          <w:rFonts w:eastAsiaTheme="minorEastAsia"/>
        </w:rPr>
        <w:t>simple</w:t>
      </w:r>
      <w:r w:rsidR="00877536">
        <w:rPr>
          <w:rFonts w:eastAsiaTheme="minorEastAsia"/>
        </w:rPr>
        <w:t xml:space="preserve"> IS-LM-PC model in an important way, that it </w:t>
      </w:r>
      <w:r w:rsidR="002E2779">
        <w:rPr>
          <w:rFonts w:eastAsiaTheme="minorEastAsia"/>
        </w:rPr>
        <w:t xml:space="preserve">includes </w:t>
      </w:r>
      <w:r w:rsidR="00877536">
        <w:rPr>
          <w:rFonts w:eastAsiaTheme="minorEastAsia"/>
        </w:rPr>
        <w:t>the theory of hysteresis</w:t>
      </w:r>
      <w:r w:rsidR="002E2779">
        <w:rPr>
          <w:rFonts w:eastAsiaTheme="minorEastAsia"/>
        </w:rPr>
        <w:t>, pioneered by Blanchard</w:t>
      </w:r>
      <w:r w:rsidR="00877536">
        <w:rPr>
          <w:rFonts w:eastAsiaTheme="minorEastAsia"/>
        </w:rPr>
        <w:t xml:space="preserve">. Essentially, the theory suggests that a shock in the economy may continue to have an effect, even after the shock has been dealt with, e.g., unemployment may bounce back </w:t>
      </w:r>
      <w:r w:rsidR="00877536">
        <w:rPr>
          <w:rFonts w:eastAsiaTheme="minorEastAsia"/>
          <w:i/>
          <w:iCs/>
        </w:rPr>
        <w:t>lower</w:t>
      </w:r>
      <w:r w:rsidR="00877536">
        <w:rPr>
          <w:rFonts w:eastAsiaTheme="minorEastAsia"/>
        </w:rPr>
        <w:t xml:space="preserve"> after a</w:t>
      </w:r>
      <w:r w:rsidR="005A257F">
        <w:rPr>
          <w:rFonts w:eastAsiaTheme="minorEastAsia"/>
        </w:rPr>
        <w:t xml:space="preserve"> full</w:t>
      </w:r>
      <w:r w:rsidR="00877536">
        <w:rPr>
          <w:rFonts w:eastAsiaTheme="minorEastAsia"/>
        </w:rPr>
        <w:t xml:space="preserve"> recovery from a recession. However, this theory </w:t>
      </w:r>
      <w:r w:rsidR="005F7C98">
        <w:rPr>
          <w:rFonts w:eastAsiaTheme="minorEastAsia"/>
        </w:rPr>
        <w:t>lacks strong evidential support: Liew et al. (2009) found that an analysis of 14 different OECD countries rejects the hysteresis hypothesis.</w:t>
      </w:r>
      <w:r w:rsidR="005A257F">
        <w:rPr>
          <w:rFonts w:eastAsiaTheme="minorEastAsia"/>
        </w:rPr>
        <w:t xml:space="preserve"> Another weakness exists in the fact that changes in wages in the labour market in figure 3.5 don’t lead to a change in consumption in the economy, which would shift the IS curve</w:t>
      </w:r>
      <w:r w:rsidR="00205B6B">
        <w:rPr>
          <w:rFonts w:eastAsiaTheme="minorEastAsia"/>
        </w:rPr>
        <w:t>, making the model less realistic.</w:t>
      </w:r>
    </w:p>
    <w:p w14:paraId="47F3CA98" w14:textId="77777777" w:rsidR="00E16330" w:rsidRDefault="00E16330" w:rsidP="00DF1BDE">
      <w:pPr>
        <w:spacing w:line="480" w:lineRule="auto"/>
        <w:rPr>
          <w:b/>
          <w:bCs/>
        </w:rPr>
      </w:pPr>
      <w:r>
        <w:br w:type="page"/>
      </w:r>
    </w:p>
    <w:p w14:paraId="5A755C0C" w14:textId="51F1E53A" w:rsidR="00934F24" w:rsidRDefault="00934F24" w:rsidP="00DF1BDE">
      <w:pPr>
        <w:pStyle w:val="Title"/>
        <w:spacing w:line="480" w:lineRule="auto"/>
      </w:pPr>
      <w:r w:rsidRPr="00934F24">
        <w:lastRenderedPageBreak/>
        <w:t>Use the three-panel internal economies of scale diagram to show the overall</w:t>
      </w:r>
      <w:r>
        <w:t xml:space="preserve"> </w:t>
      </w:r>
      <w:r w:rsidRPr="00934F24">
        <w:t>impact of trade integration between two identical economies. Now, assume the</w:t>
      </w:r>
      <w:r>
        <w:t xml:space="preserve"> </w:t>
      </w:r>
      <w:r w:rsidRPr="00934F24">
        <w:t xml:space="preserve">UK was at </w:t>
      </w:r>
      <w:r w:rsidRPr="00934F24">
        <w:rPr>
          <w:rFonts w:ascii="Cambria Math" w:hAnsi="Cambria Math" w:cs="Cambria Math"/>
        </w:rPr>
        <w:t>𝑌</w:t>
      </w:r>
      <w:r w:rsidRPr="00934F24">
        <w:t xml:space="preserve"> = </w:t>
      </w:r>
      <w:r w:rsidRPr="00934F24">
        <w:rPr>
          <w:rFonts w:ascii="Cambria Math" w:hAnsi="Cambria Math" w:cs="Cambria Math"/>
        </w:rPr>
        <w:t>𝑌𝑛</w:t>
      </w:r>
      <w:r w:rsidRPr="00934F24">
        <w:t xml:space="preserve"> when the UK left the European Union. Given the change in</w:t>
      </w:r>
      <w:r>
        <w:t xml:space="preserve"> </w:t>
      </w:r>
      <w:r w:rsidRPr="00934F24">
        <w:t>the average mark-up in the UK due to Brexit implied by your analysis in the</w:t>
      </w:r>
      <w:r>
        <w:t xml:space="preserve"> </w:t>
      </w:r>
      <w:r w:rsidRPr="00934F24">
        <w:t>first part of your answer, use the Blanchard IS-LM-PC model alongside a</w:t>
      </w:r>
      <w:r>
        <w:t xml:space="preserve"> </w:t>
      </w:r>
      <w:r w:rsidRPr="00934F24">
        <w:t>graph of inflation over time to explain the impact of this change in the mark-upon the UK economy under two scenarios: i) if the central bank responds by</w:t>
      </w:r>
      <w:r>
        <w:t xml:space="preserve"> </w:t>
      </w:r>
      <w:r w:rsidRPr="00934F24">
        <w:t>raising interest rates versus ii) if there is higher immigration to the UK. Discuss</w:t>
      </w:r>
      <w:r>
        <w:t xml:space="preserve"> </w:t>
      </w:r>
      <w:r w:rsidRPr="00934F24">
        <w:t>the overall macroeconomic impact of Brexit on the UK economy between 2016</w:t>
      </w:r>
      <w:r>
        <w:t xml:space="preserve"> </w:t>
      </w:r>
      <w:r w:rsidRPr="00934F24">
        <w:t>and 2022.</w:t>
      </w:r>
    </w:p>
    <w:p w14:paraId="40CF8D07" w14:textId="3CEBF57A" w:rsidR="00274149" w:rsidRDefault="00274149" w:rsidP="00DF1BDE">
      <w:pPr>
        <w:spacing w:line="480" w:lineRule="auto"/>
      </w:pPr>
      <w:r>
        <w:t xml:space="preserve">In this essay, I will demonstrate that the overall impact of trade integration in two identical economies is a decrease in mark-up and an increase in the number of companies. Next, I will </w:t>
      </w:r>
      <w:r w:rsidR="00FA6F14">
        <w:t>extend my analysis to</w:t>
      </w:r>
      <w:r>
        <w:t xml:space="preserve"> trade </w:t>
      </w:r>
      <w:r>
        <w:rPr>
          <w:i/>
          <w:iCs/>
        </w:rPr>
        <w:t>disintegration</w:t>
      </w:r>
      <w:r>
        <w:t xml:space="preserve"> between the UK and the EU during Brexit, that being that mark-up is increased and the number of firms decreases, although not to pre-EU levels. As a result of this increased mark-up, the UK economy could respond in one of two ways. First, I will show the effects of the central bank responding by changing interest rates, and second, I will show the alternative effect of increase immigration. Finally, I will demonstrate that the overall macroeconomic impact of Brexit on the UK economy has been negative.</w:t>
      </w:r>
    </w:p>
    <w:p w14:paraId="7CD2B30F" w14:textId="54AD4A78" w:rsidR="00274149" w:rsidRDefault="000104FA" w:rsidP="00DF1BDE">
      <w:pPr>
        <w:spacing w:after="0" w:line="480" w:lineRule="auto"/>
        <w:jc w:val="center"/>
      </w:pPr>
      <w:r>
        <w:rPr>
          <w:noProof/>
        </w:rPr>
        <w:drawing>
          <wp:inline distT="0" distB="0" distL="0" distR="0" wp14:anchorId="170EBD94" wp14:editId="1B2566DF">
            <wp:extent cx="5731510" cy="2312035"/>
            <wp:effectExtent l="0" t="0" r="2540" b="0"/>
            <wp:docPr id="126204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04835" name=""/>
                    <pic:cNvPicPr/>
                  </pic:nvPicPr>
                  <pic:blipFill>
                    <a:blip r:embed="rId9"/>
                    <a:stretch>
                      <a:fillRect/>
                    </a:stretch>
                  </pic:blipFill>
                  <pic:spPr>
                    <a:xfrm>
                      <a:off x="0" y="0"/>
                      <a:ext cx="5731510" cy="2312035"/>
                    </a:xfrm>
                    <a:prstGeom prst="rect">
                      <a:avLst/>
                    </a:prstGeom>
                  </pic:spPr>
                </pic:pic>
              </a:graphicData>
            </a:graphic>
          </wp:inline>
        </w:drawing>
      </w:r>
    </w:p>
    <w:p w14:paraId="53EB6E19" w14:textId="1C82918A" w:rsidR="00DC6D10" w:rsidRDefault="00DC6D10" w:rsidP="00DF1BDE">
      <w:pPr>
        <w:spacing w:line="480" w:lineRule="auto"/>
        <w:jc w:val="center"/>
        <w:rPr>
          <w:i/>
          <w:iCs/>
        </w:rPr>
      </w:pPr>
      <w:r>
        <w:rPr>
          <w:i/>
          <w:iCs/>
        </w:rPr>
        <w:lastRenderedPageBreak/>
        <w:t>Figure 1</w:t>
      </w:r>
    </w:p>
    <w:p w14:paraId="65547923" w14:textId="3731B026" w:rsidR="00DC6D10" w:rsidRDefault="00DC6D10" w:rsidP="00DF1BDE">
      <w:pPr>
        <w:spacing w:line="480" w:lineRule="auto"/>
      </w:pPr>
      <w:r>
        <w:t>In figure 1, the effect of integrating two identical economies is expressed by internally analysing</w:t>
      </w:r>
      <w:r w:rsidR="00FE1D81">
        <w:t xml:space="preserve"> the number and size of firms, and mark-up</w:t>
      </w:r>
      <w:r>
        <w:t xml:space="preserve">. </w:t>
      </w:r>
      <w:r w:rsidR="00E376B7">
        <w:t xml:space="preserve">There are two important effects when it comes to integration: first, the customer base which firms sell to doubles in size, meaning it is easier for firms to break-even as they sell more products and can retain the same level of revenue even while lowering mark-up. This has the effect of shifting the break-even curve from BE1 to BE2. Second, the total number of firms doubles from n to 2n. At this number of firms, the competition curve CC determines that they must sell at </w:t>
      </w:r>
      <w:r w:rsidR="000104FA">
        <w:t>price B, but they require price A to break even. So, firms</w:t>
      </w:r>
      <w:r w:rsidR="004F6F39">
        <w:t xml:space="preserve"> either</w:t>
      </w:r>
      <w:r w:rsidR="000104FA">
        <w:t xml:space="preserve"> leave the market </w:t>
      </w:r>
      <w:r w:rsidR="004F6F39">
        <w:t>completely, are acquired</w:t>
      </w:r>
      <w:r w:rsidR="00FA6F14">
        <w:t xml:space="preserve">, or </w:t>
      </w:r>
      <w:r w:rsidR="004F6F39">
        <w:t>merge</w:t>
      </w:r>
      <w:r w:rsidR="00FA6F14">
        <w:t xml:space="preserve"> with others</w:t>
      </w:r>
      <w:r w:rsidR="004F6F39">
        <w:t xml:space="preserve"> </w:t>
      </w:r>
      <w:r w:rsidR="000104FA">
        <w:t xml:space="preserve">until the </w:t>
      </w:r>
      <w:r w:rsidR="004F6F39">
        <w:t xml:space="preserve">number of firms decreases and the </w:t>
      </w:r>
      <w:r w:rsidR="000104FA">
        <w:t>equilibrium between CC and BE2 is reached – at this point, the price given by competition is enough to break even and we reach a steady state. To summarise, integration of two identical economies will lower prices and increase the number of firms, however this number will not be double the original number.</w:t>
      </w:r>
    </w:p>
    <w:p w14:paraId="155CF9D0" w14:textId="68526D84" w:rsidR="000104FA" w:rsidRDefault="004F6F39" w:rsidP="00DF1BDE">
      <w:pPr>
        <w:spacing w:after="0" w:line="480" w:lineRule="auto"/>
        <w:jc w:val="center"/>
      </w:pPr>
      <w:r>
        <w:rPr>
          <w:noProof/>
        </w:rPr>
        <w:drawing>
          <wp:inline distT="0" distB="0" distL="0" distR="0" wp14:anchorId="3D404FEC" wp14:editId="304CAA12">
            <wp:extent cx="5731510" cy="2294255"/>
            <wp:effectExtent l="0" t="0" r="2540" b="0"/>
            <wp:docPr id="16385289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528925" name=""/>
                    <pic:cNvPicPr/>
                  </pic:nvPicPr>
                  <pic:blipFill>
                    <a:blip r:embed="rId10"/>
                    <a:stretch>
                      <a:fillRect/>
                    </a:stretch>
                  </pic:blipFill>
                  <pic:spPr>
                    <a:xfrm>
                      <a:off x="0" y="0"/>
                      <a:ext cx="5731510" cy="2294255"/>
                    </a:xfrm>
                    <a:prstGeom prst="rect">
                      <a:avLst/>
                    </a:prstGeom>
                  </pic:spPr>
                </pic:pic>
              </a:graphicData>
            </a:graphic>
          </wp:inline>
        </w:drawing>
      </w:r>
    </w:p>
    <w:p w14:paraId="39D4A1CB" w14:textId="19630985" w:rsidR="00DB421D" w:rsidRDefault="00DB421D" w:rsidP="00DF1BDE">
      <w:pPr>
        <w:spacing w:line="480" w:lineRule="auto"/>
        <w:jc w:val="center"/>
        <w:rPr>
          <w:i/>
          <w:iCs/>
        </w:rPr>
      </w:pPr>
      <w:r>
        <w:rPr>
          <w:i/>
          <w:iCs/>
        </w:rPr>
        <w:t>Figure 2</w:t>
      </w:r>
    </w:p>
    <w:p w14:paraId="29E98E5E" w14:textId="4CFC47E9" w:rsidR="00DB421D" w:rsidRDefault="00DB421D" w:rsidP="00DF1BDE">
      <w:pPr>
        <w:spacing w:line="480" w:lineRule="auto"/>
        <w:rPr>
          <w:rFonts w:eastAsiaTheme="minorEastAsia"/>
        </w:rPr>
      </w:pPr>
      <w:r>
        <w:t xml:space="preserve">In figure 2, we see the effects of the UK disintegrating from the EU. BE1 represents the break-even curve </w:t>
      </w:r>
      <w:r>
        <w:rPr>
          <w:i/>
          <w:iCs/>
        </w:rPr>
        <w:t>before</w:t>
      </w:r>
      <w:r>
        <w:t xml:space="preserve"> the UK joined the EU, BE2 represents the break-even curve </w:t>
      </w:r>
      <w:r w:rsidR="004F6F39">
        <w:t>during EU membership</w:t>
      </w:r>
      <w:r w:rsidR="001E7A6B">
        <w:t xml:space="preserve">, and BE3 represents the break-even curve </w:t>
      </w:r>
      <w:r w:rsidR="001E7A6B">
        <w:rPr>
          <w:i/>
          <w:iCs/>
        </w:rPr>
        <w:t>after</w:t>
      </w:r>
      <w:r w:rsidR="001E7A6B">
        <w:t xml:space="preserve"> Brexit. BE3 lies between </w:t>
      </w:r>
      <w:r w:rsidR="001E7A6B">
        <w:lastRenderedPageBreak/>
        <w:t>BE1 and BE2 because, post-Brexit, the customer base for firms is still greater than the customer base pre-integration due to the post-Brexit free trade agreement with the EU</w:t>
      </w:r>
      <w:r w:rsidR="004F6F39">
        <w:t>.</w:t>
      </w:r>
      <w:r w:rsidR="00001807">
        <w:t xml:space="preserve"> </w:t>
      </w:r>
      <w:proofErr w:type="gramStart"/>
      <w:r w:rsidR="004F6F39">
        <w:t>Following</w:t>
      </w:r>
      <w:proofErr w:type="gramEnd"/>
      <w:r w:rsidR="004F6F39">
        <w:t xml:space="preserve"> disintegration, the number of firms is unstable at </w:t>
      </w:r>
      <m:oMath>
        <m:sSub>
          <m:sSubPr>
            <m:ctrlPr>
              <w:rPr>
                <w:rFonts w:ascii="Cambria Math" w:hAnsi="Cambria Math"/>
                <w:i/>
              </w:rPr>
            </m:ctrlPr>
          </m:sSubPr>
          <m:e>
            <m:r>
              <w:rPr>
                <w:rFonts w:ascii="Cambria Math" w:hAnsi="Cambria Math"/>
              </w:rPr>
              <m:t>n</m:t>
            </m:r>
          </m:e>
          <m:sub>
            <m:r>
              <w:rPr>
                <w:rFonts w:ascii="Cambria Math" w:hAnsi="Cambria Math"/>
              </w:rPr>
              <m:t>2</m:t>
            </m:r>
          </m:sub>
        </m:sSub>
      </m:oMath>
      <w:r w:rsidR="004F6F39">
        <w:rPr>
          <w:rFonts w:eastAsiaTheme="minorEastAsia"/>
        </w:rPr>
        <w:t xml:space="preserve"> because firms require price A for their goods but can only set price B because of competition. Like before, firms leave and are acquired until a new equilibrium is reached at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3</m:t>
            </m:r>
          </m:sub>
        </m:sSub>
      </m:oMath>
      <w:r w:rsidR="004F6F39">
        <w:rPr>
          <w:rFonts w:eastAsiaTheme="minorEastAsia"/>
        </w:rPr>
        <w:t>. Thus, Brexit results in a higher mark-up, fewer firms</w:t>
      </w:r>
      <w:r w:rsidR="00001807">
        <w:rPr>
          <w:rFonts w:eastAsiaTheme="minorEastAsia"/>
        </w:rPr>
        <w:t xml:space="preserve"> and possibly larger firms</w:t>
      </w:r>
      <w:r w:rsidR="004F6F39">
        <w:rPr>
          <w:rFonts w:eastAsiaTheme="minorEastAsia"/>
        </w:rPr>
        <w:t xml:space="preserve">, and less total sales in the British </w:t>
      </w:r>
      <w:r w:rsidR="00DB240B">
        <w:rPr>
          <w:rFonts w:eastAsiaTheme="minorEastAsia"/>
        </w:rPr>
        <w:t>e</w:t>
      </w:r>
      <w:r w:rsidR="004F6F39">
        <w:rPr>
          <w:rFonts w:eastAsiaTheme="minorEastAsia"/>
        </w:rPr>
        <w:t>conomy.</w:t>
      </w:r>
    </w:p>
    <w:p w14:paraId="72EBE819" w14:textId="63BAC005" w:rsidR="00FE1D81" w:rsidRDefault="00FC59FE" w:rsidP="00DF1BDE">
      <w:pPr>
        <w:spacing w:after="0" w:line="480" w:lineRule="auto"/>
        <w:jc w:val="center"/>
      </w:pPr>
      <w:r>
        <w:rPr>
          <w:noProof/>
        </w:rPr>
        <w:drawing>
          <wp:inline distT="0" distB="0" distL="0" distR="0" wp14:anchorId="0E656280" wp14:editId="0F4BB79A">
            <wp:extent cx="4741880" cy="5465298"/>
            <wp:effectExtent l="0" t="0" r="1905" b="2540"/>
            <wp:docPr id="1229690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690173" name=""/>
                    <pic:cNvPicPr/>
                  </pic:nvPicPr>
                  <pic:blipFill>
                    <a:blip r:embed="rId11"/>
                    <a:stretch>
                      <a:fillRect/>
                    </a:stretch>
                  </pic:blipFill>
                  <pic:spPr>
                    <a:xfrm>
                      <a:off x="0" y="0"/>
                      <a:ext cx="4753672" cy="5478889"/>
                    </a:xfrm>
                    <a:prstGeom prst="rect">
                      <a:avLst/>
                    </a:prstGeom>
                  </pic:spPr>
                </pic:pic>
              </a:graphicData>
            </a:graphic>
          </wp:inline>
        </w:drawing>
      </w:r>
    </w:p>
    <w:p w14:paraId="5FD8FB77" w14:textId="2233E377" w:rsidR="00FE1D81" w:rsidRDefault="00FE1D81" w:rsidP="00DF1BDE">
      <w:pPr>
        <w:spacing w:line="480" w:lineRule="auto"/>
        <w:jc w:val="center"/>
        <w:rPr>
          <w:i/>
          <w:iCs/>
        </w:rPr>
      </w:pPr>
      <w:r>
        <w:rPr>
          <w:i/>
          <w:iCs/>
        </w:rPr>
        <w:t>Figure 3</w:t>
      </w:r>
    </w:p>
    <w:p w14:paraId="7952DC47" w14:textId="078CFA5A" w:rsidR="00A527DA" w:rsidRDefault="00FE1D81" w:rsidP="00DF1BDE">
      <w:pPr>
        <w:spacing w:line="480" w:lineRule="auto"/>
        <w:rPr>
          <w:rFonts w:eastAsiaTheme="minorEastAsia"/>
        </w:rPr>
      </w:pPr>
      <w:r>
        <w:t>Figure 3 shows the effects of a greater mark-up in the British economy</w:t>
      </w:r>
      <w:r w:rsidR="00916C6D">
        <w:t xml:space="preserve"> and a subsequent response by the central bank</w:t>
      </w:r>
      <w:r>
        <w:t xml:space="preserve">. </w:t>
      </w:r>
      <w:r w:rsidR="00916C6D">
        <w:t xml:space="preserve">Mark-up increases from m to m2, shifting PS1 down to PS2. </w:t>
      </w:r>
      <w:r w:rsidR="00916C6D">
        <w:lastRenderedPageBreak/>
        <w:t xml:space="preserve">This changes the natural rate of output Yn1 to Yn2, shifting the Phillips curve PC to PC2. Because our level of actual output is determined by the IS-LM relation, Y remains the same and consequently </w:t>
      </w:r>
      <m:oMath>
        <m:r>
          <w:rPr>
            <w:rFonts w:ascii="Cambria Math" w:hAnsi="Cambria Math"/>
          </w:rPr>
          <m:t>Y&gt;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916C6D">
        <w:rPr>
          <w:rFonts w:eastAsiaTheme="minorEastAsia"/>
        </w:rPr>
        <w:t>, meaning we are in an inflationary period</w:t>
      </w:r>
      <w:r w:rsidR="00DE49D9">
        <w:rPr>
          <w:rFonts w:eastAsiaTheme="minorEastAsia"/>
        </w:rPr>
        <w:t>. I</w:t>
      </w:r>
      <w:r w:rsidR="00916C6D">
        <w:rPr>
          <w:rFonts w:eastAsiaTheme="minorEastAsia"/>
        </w:rPr>
        <w:t xml:space="preserve">nflation jumps up to a new level, shown in figure 3.4. As a response to inflation, the central bank increases the interest rate from </w:t>
      </w:r>
      <m:oMath>
        <m:acc>
          <m:accPr>
            <m:chr m:val="̅"/>
            <m:ctrlPr>
              <w:rPr>
                <w:rFonts w:ascii="Cambria Math" w:eastAsiaTheme="minorEastAsia" w:hAnsi="Cambria Math"/>
                <w:i/>
              </w:rPr>
            </m:ctrlPr>
          </m:accPr>
          <m:e>
            <m:r>
              <w:rPr>
                <w:rFonts w:ascii="Cambria Math" w:eastAsiaTheme="minorEastAsia" w:hAnsi="Cambria Math"/>
              </w:rPr>
              <m:t>r</m:t>
            </m:r>
          </m:e>
        </m:acc>
        <m:r>
          <w:rPr>
            <w:rFonts w:ascii="Cambria Math" w:eastAsiaTheme="minorEastAsia" w:hAnsi="Cambria Math"/>
          </w:rPr>
          <m:t xml:space="preserve"> to </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2</m:t>
            </m:r>
          </m:sub>
        </m:sSub>
      </m:oMath>
      <w:r w:rsidR="00916C6D">
        <w:rPr>
          <w:rFonts w:eastAsiaTheme="minorEastAsia"/>
        </w:rPr>
        <w:t>. We assume an endogenous theory of money, meaning that the LM curve will always be perfectly elastic at the interest rate set by the central bank, and thus LM shifts up to LM2. This lowers the current level of output from the previous natural rate Yn1 to the new natural rate Yn2</w:t>
      </w:r>
      <w:r w:rsidR="00DE49D9">
        <w:rPr>
          <w:rFonts w:eastAsiaTheme="minorEastAsia"/>
        </w:rPr>
        <w:t>; this lowers inflation down to its previous level.</w:t>
      </w:r>
      <w:r w:rsidR="00916C6D">
        <w:rPr>
          <w:rFonts w:eastAsiaTheme="minorEastAsia"/>
        </w:rPr>
        <w:t xml:space="preserve"> Before the change in mark-up, the workers’ share of the total economic product was the purple, green and orange areas; the firms’ share was the </w:t>
      </w:r>
      <w:r w:rsidR="00DE49D9">
        <w:rPr>
          <w:rFonts w:eastAsiaTheme="minorEastAsia"/>
        </w:rPr>
        <w:t>turquoise and light blue areas. After the central bank response, the total product has shrunk and mark-up has increased so the workers’ share has unambiguously fallen to the purple area. Meanwhile, firms have lost the light blue area but gained the purple area. To summarise, a central bank response to an increase in mark-up curbs inflationary effects but unambiguously cuts worker compensation. The change to firm profits is less clear: it could be the case that the new area gained is smaller than the area lost, or vice versa.</w:t>
      </w:r>
    </w:p>
    <w:p w14:paraId="60C50EF6" w14:textId="2A509A6C" w:rsidR="00A527DA" w:rsidRDefault="00FC59FE" w:rsidP="00DF1BDE">
      <w:pPr>
        <w:spacing w:after="0" w:line="480" w:lineRule="auto"/>
        <w:jc w:val="center"/>
        <w:rPr>
          <w:rFonts w:eastAsiaTheme="minorEastAsia"/>
        </w:rPr>
      </w:pPr>
      <w:r>
        <w:rPr>
          <w:noProof/>
        </w:rPr>
        <w:lastRenderedPageBreak/>
        <w:drawing>
          <wp:inline distT="0" distB="0" distL="0" distR="0" wp14:anchorId="7140DEBF" wp14:editId="4F841923">
            <wp:extent cx="3997451" cy="4382086"/>
            <wp:effectExtent l="0" t="0" r="3175" b="0"/>
            <wp:docPr id="1949733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733135" name=""/>
                    <pic:cNvPicPr/>
                  </pic:nvPicPr>
                  <pic:blipFill>
                    <a:blip r:embed="rId12"/>
                    <a:stretch>
                      <a:fillRect/>
                    </a:stretch>
                  </pic:blipFill>
                  <pic:spPr>
                    <a:xfrm>
                      <a:off x="0" y="0"/>
                      <a:ext cx="4005452" cy="4390857"/>
                    </a:xfrm>
                    <a:prstGeom prst="rect">
                      <a:avLst/>
                    </a:prstGeom>
                  </pic:spPr>
                </pic:pic>
              </a:graphicData>
            </a:graphic>
          </wp:inline>
        </w:drawing>
      </w:r>
    </w:p>
    <w:p w14:paraId="499B52C6" w14:textId="301C8A84" w:rsidR="006808F8" w:rsidRDefault="006808F8" w:rsidP="00DF1BDE">
      <w:pPr>
        <w:spacing w:line="480" w:lineRule="auto"/>
        <w:jc w:val="center"/>
        <w:rPr>
          <w:rFonts w:eastAsiaTheme="minorEastAsia"/>
          <w:i/>
          <w:iCs/>
        </w:rPr>
      </w:pPr>
      <w:r>
        <w:rPr>
          <w:rFonts w:eastAsiaTheme="minorEastAsia"/>
          <w:i/>
          <w:iCs/>
        </w:rPr>
        <w:t>Figure 4</w:t>
      </w:r>
    </w:p>
    <w:p w14:paraId="376B808B" w14:textId="77777777" w:rsidR="00FC59FE" w:rsidRDefault="006808F8" w:rsidP="00DF1BDE">
      <w:pPr>
        <w:spacing w:line="480" w:lineRule="auto"/>
        <w:rPr>
          <w:rFonts w:eastAsiaTheme="minorEastAsia"/>
        </w:rPr>
      </w:pPr>
      <w:r>
        <w:rPr>
          <w:rFonts w:eastAsiaTheme="minorEastAsia"/>
        </w:rPr>
        <w:t>Figure 4 shows the impact of immigration on the British economy following a rise in mark-up.</w:t>
      </w:r>
      <w:r w:rsidR="00FC59FE">
        <w:rPr>
          <w:rFonts w:eastAsiaTheme="minorEastAsia"/>
        </w:rPr>
        <w:t xml:space="preserve"> The process is the same as I described earlier, however, rather than the central bank intervening, a rise in immigration happens instead. This rise in immigration weakens worker bargaining power by increasing competition amongst workers, causing WS to shift downwards to WS2. This causes Yn2 to return to Yn1, shifting PC2 back to PC and ending the inflationary period. In total, the workers lose the green and yellow areas to firms: there has been an unambiguous fall and gain in workers’ and firms’ shares, respectively.</w:t>
      </w:r>
    </w:p>
    <w:p w14:paraId="191F97FC" w14:textId="27569184" w:rsidR="006808F8" w:rsidRPr="006808F8" w:rsidRDefault="0007114E" w:rsidP="00DF1BDE">
      <w:pPr>
        <w:spacing w:line="480" w:lineRule="auto"/>
        <w:rPr>
          <w:rFonts w:eastAsiaTheme="minorEastAsia"/>
        </w:rPr>
      </w:pPr>
      <w:r>
        <w:rPr>
          <w:rFonts w:eastAsiaTheme="minorEastAsia"/>
        </w:rPr>
        <w:t>Because of the numerous shocks that the UK has experienced following the decision to leave the EU in 2016, data surrounding Brexit is hard to quantify. However, we can synthesise key criticisms from the theory and data. First, while net migration in the UK has increased in recent years, this is very unlikely to sufficiently shift the natural rate of output back to its pre-</w:t>
      </w:r>
      <w:r>
        <w:rPr>
          <w:rFonts w:eastAsiaTheme="minorEastAsia"/>
        </w:rPr>
        <w:lastRenderedPageBreak/>
        <w:t>Brexit levels, as seen in figure 4. Second, the EU-UK</w:t>
      </w:r>
      <w:r w:rsidR="00DF1BDE">
        <w:rPr>
          <w:rFonts w:eastAsiaTheme="minorEastAsia"/>
        </w:rPr>
        <w:t xml:space="preserve"> Trade and Cooperation Agreement distances our trade relationship with the EU, strengthening the conclusions reached from figure 2. Technical barriers to trade are the key problem – for example, the trade between the EU and UK must pay VAT on import rather than at the point of service. These technical barriers strengthen the conclusion that UK firms’ customer base has shrunk, leading to an increased mark-up and smaller economy.</w:t>
      </w:r>
    </w:p>
    <w:sectPr w:rsidR="006808F8" w:rsidRPr="006808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D47000"/>
    <w:multiLevelType w:val="hybridMultilevel"/>
    <w:tmpl w:val="B0202714"/>
    <w:lvl w:ilvl="0" w:tplc="EA460172">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987448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7FA"/>
    <w:rsid w:val="00001807"/>
    <w:rsid w:val="000104FA"/>
    <w:rsid w:val="0007114E"/>
    <w:rsid w:val="000F012C"/>
    <w:rsid w:val="00117E92"/>
    <w:rsid w:val="001575D9"/>
    <w:rsid w:val="001E7A6B"/>
    <w:rsid w:val="001F07CE"/>
    <w:rsid w:val="00205B6B"/>
    <w:rsid w:val="00247F8A"/>
    <w:rsid w:val="00274149"/>
    <w:rsid w:val="002E2779"/>
    <w:rsid w:val="0031729E"/>
    <w:rsid w:val="00387344"/>
    <w:rsid w:val="003B1CB4"/>
    <w:rsid w:val="003F4063"/>
    <w:rsid w:val="0042468D"/>
    <w:rsid w:val="00463FFD"/>
    <w:rsid w:val="004F6F39"/>
    <w:rsid w:val="0052152E"/>
    <w:rsid w:val="005617FA"/>
    <w:rsid w:val="00563D4B"/>
    <w:rsid w:val="00586D14"/>
    <w:rsid w:val="005A257F"/>
    <w:rsid w:val="005F7C98"/>
    <w:rsid w:val="00606BA9"/>
    <w:rsid w:val="006808F8"/>
    <w:rsid w:val="0070123D"/>
    <w:rsid w:val="00770AFB"/>
    <w:rsid w:val="00776193"/>
    <w:rsid w:val="007D3522"/>
    <w:rsid w:val="00877536"/>
    <w:rsid w:val="00916C6D"/>
    <w:rsid w:val="00925765"/>
    <w:rsid w:val="00931372"/>
    <w:rsid w:val="00934F24"/>
    <w:rsid w:val="00940AA3"/>
    <w:rsid w:val="009C5C07"/>
    <w:rsid w:val="00A33A99"/>
    <w:rsid w:val="00A527DA"/>
    <w:rsid w:val="00A71FF1"/>
    <w:rsid w:val="00AE7D71"/>
    <w:rsid w:val="00AE7F0C"/>
    <w:rsid w:val="00B00AD6"/>
    <w:rsid w:val="00B075AC"/>
    <w:rsid w:val="00BC2F38"/>
    <w:rsid w:val="00C57D32"/>
    <w:rsid w:val="00C87249"/>
    <w:rsid w:val="00CC4D82"/>
    <w:rsid w:val="00DB240B"/>
    <w:rsid w:val="00DB421D"/>
    <w:rsid w:val="00DC6D10"/>
    <w:rsid w:val="00DE3E38"/>
    <w:rsid w:val="00DE49D9"/>
    <w:rsid w:val="00DF1BDE"/>
    <w:rsid w:val="00E16330"/>
    <w:rsid w:val="00E376B7"/>
    <w:rsid w:val="00F450A1"/>
    <w:rsid w:val="00FA6F14"/>
    <w:rsid w:val="00FC1059"/>
    <w:rsid w:val="00FC59FE"/>
    <w:rsid w:val="00FE1D81"/>
    <w:rsid w:val="00FE73C6"/>
    <w:rsid w:val="00FF08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45318"/>
  <w15:chartTrackingRefBased/>
  <w15:docId w15:val="{81C13C6C-A69A-413C-934E-035374626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17FA"/>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617FA"/>
    <w:rPr>
      <w:b/>
      <w:bCs/>
    </w:rPr>
  </w:style>
  <w:style w:type="character" w:customStyle="1" w:styleId="TitleChar">
    <w:name w:val="Title Char"/>
    <w:basedOn w:val="DefaultParagraphFont"/>
    <w:link w:val="Title"/>
    <w:uiPriority w:val="10"/>
    <w:rsid w:val="005617FA"/>
    <w:rPr>
      <w:rFonts w:ascii="Times New Roman" w:hAnsi="Times New Roman" w:cs="Times New Roman"/>
      <w:b/>
      <w:bCs/>
      <w:sz w:val="24"/>
      <w:szCs w:val="24"/>
    </w:rPr>
  </w:style>
  <w:style w:type="paragraph" w:styleId="ListParagraph">
    <w:name w:val="List Paragraph"/>
    <w:basedOn w:val="Normal"/>
    <w:uiPriority w:val="34"/>
    <w:qFormat/>
    <w:rsid w:val="005617FA"/>
    <w:pPr>
      <w:ind w:left="720"/>
      <w:contextualSpacing/>
    </w:pPr>
  </w:style>
  <w:style w:type="character" w:styleId="PlaceholderText">
    <w:name w:val="Placeholder Text"/>
    <w:basedOn w:val="DefaultParagraphFont"/>
    <w:uiPriority w:val="99"/>
    <w:semiHidden/>
    <w:rsid w:val="00FE73C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5B5D53-3BEF-41CD-B11C-69617C8D4A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570</TotalTime>
  <Pages>12</Pages>
  <Words>1918</Words>
  <Characters>10935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Diogo Trindade Ferreira [pr22dtf]</dc:creator>
  <cp:keywords/>
  <dc:description/>
  <cp:lastModifiedBy>Diogo Trindade Ferreira [pr22dtf]</cp:lastModifiedBy>
  <cp:revision>9</cp:revision>
  <cp:lastPrinted>2024-01-18T23:30:00Z</cp:lastPrinted>
  <dcterms:created xsi:type="dcterms:W3CDTF">2024-01-17T13:09:00Z</dcterms:created>
  <dcterms:modified xsi:type="dcterms:W3CDTF">2024-01-18T23:30:00Z</dcterms:modified>
</cp:coreProperties>
</file>