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0BE66" w14:textId="155E0DC4" w:rsidR="0099236B" w:rsidRDefault="0099236B">
      <w:pPr>
        <w:rPr>
          <w:b/>
          <w:bCs/>
          <w:sz w:val="36"/>
          <w:szCs w:val="36"/>
        </w:rPr>
      </w:pPr>
    </w:p>
    <w:tbl>
      <w:tblPr>
        <w:tblStyle w:val="TableGrid"/>
        <w:tblW w:w="10642" w:type="dxa"/>
        <w:tblInd w:w="-856" w:type="dxa"/>
        <w:tblLook w:val="04A0" w:firstRow="1" w:lastRow="0" w:firstColumn="1" w:lastColumn="0" w:noHBand="0" w:noVBand="1"/>
      </w:tblPr>
      <w:tblGrid>
        <w:gridCol w:w="2842"/>
        <w:gridCol w:w="283"/>
        <w:gridCol w:w="583"/>
        <w:gridCol w:w="867"/>
        <w:gridCol w:w="867"/>
        <w:gridCol w:w="866"/>
        <w:gridCol w:w="867"/>
        <w:gridCol w:w="867"/>
        <w:gridCol w:w="866"/>
        <w:gridCol w:w="867"/>
        <w:gridCol w:w="867"/>
      </w:tblGrid>
      <w:tr w:rsidR="0099236B" w:rsidRPr="00B02C9E" w14:paraId="5B7124A9" w14:textId="77777777" w:rsidTr="00560280">
        <w:tc>
          <w:tcPr>
            <w:tcW w:w="3125" w:type="dxa"/>
            <w:gridSpan w:val="2"/>
            <w:tcBorders>
              <w:top w:val="nil"/>
              <w:left w:val="nil"/>
              <w:bottom w:val="single" w:sz="4" w:space="0" w:color="auto"/>
              <w:right w:val="nil"/>
            </w:tcBorders>
            <w:vAlign w:val="bottom"/>
          </w:tcPr>
          <w:p w14:paraId="109512F1" w14:textId="77777777" w:rsidR="0099236B" w:rsidRPr="00B02C9E" w:rsidRDefault="0099236B" w:rsidP="00560280">
            <w:pPr>
              <w:rPr>
                <w:rFonts w:ascii="Arial" w:hAnsi="Arial" w:cs="Arial"/>
                <w:b/>
                <w:sz w:val="36"/>
                <w:szCs w:val="36"/>
              </w:rPr>
            </w:pPr>
            <w:r w:rsidRPr="00B02C9E">
              <w:rPr>
                <w:rFonts w:ascii="Arial" w:hAnsi="Arial" w:cs="Arial"/>
                <w:b/>
                <w:sz w:val="36"/>
                <w:szCs w:val="36"/>
              </w:rPr>
              <w:t xml:space="preserve">Leeds University </w:t>
            </w:r>
          </w:p>
          <w:p w14:paraId="420470C2" w14:textId="77777777" w:rsidR="0099236B" w:rsidRPr="00B02C9E" w:rsidRDefault="0099236B" w:rsidP="00560280">
            <w:pPr>
              <w:rPr>
                <w:rFonts w:ascii="Arial" w:hAnsi="Arial" w:cs="Arial"/>
                <w:b/>
                <w:sz w:val="36"/>
                <w:szCs w:val="36"/>
              </w:rPr>
            </w:pPr>
            <w:r w:rsidRPr="00B02C9E">
              <w:rPr>
                <w:rFonts w:ascii="Arial" w:hAnsi="Arial" w:cs="Arial"/>
                <w:b/>
                <w:sz w:val="36"/>
                <w:szCs w:val="36"/>
              </w:rPr>
              <w:t>Business School</w:t>
            </w:r>
          </w:p>
        </w:tc>
        <w:tc>
          <w:tcPr>
            <w:tcW w:w="7517" w:type="dxa"/>
            <w:gridSpan w:val="9"/>
            <w:tcBorders>
              <w:top w:val="nil"/>
              <w:left w:val="nil"/>
              <w:bottom w:val="single" w:sz="4" w:space="0" w:color="auto"/>
              <w:right w:val="nil"/>
            </w:tcBorders>
            <w:vAlign w:val="bottom"/>
          </w:tcPr>
          <w:p w14:paraId="3F6687B6" w14:textId="77777777" w:rsidR="0099236B" w:rsidRPr="00B02C9E" w:rsidRDefault="0099236B" w:rsidP="00560280">
            <w:pPr>
              <w:jc w:val="right"/>
            </w:pPr>
            <w:r w:rsidRPr="00B02C9E">
              <w:rPr>
                <w:rFonts w:ascii="Arial" w:hAnsi="Arial" w:cs="Arial"/>
                <w:noProof/>
                <w:sz w:val="36"/>
                <w:szCs w:val="36"/>
                <w:lang w:eastAsia="zh-CN"/>
              </w:rPr>
              <w:drawing>
                <wp:inline distT="0" distB="0" distL="0" distR="0" wp14:anchorId="53C40FF0" wp14:editId="443873DA">
                  <wp:extent cx="2162175" cy="771525"/>
                  <wp:effectExtent l="0" t="0" r="9525" b="9525"/>
                  <wp:docPr id="2" name="Picture 2"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sign&#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2175" cy="771525"/>
                          </a:xfrm>
                          <a:prstGeom prst="rect">
                            <a:avLst/>
                          </a:prstGeom>
                          <a:noFill/>
                        </pic:spPr>
                      </pic:pic>
                    </a:graphicData>
                  </a:graphic>
                </wp:inline>
              </w:drawing>
            </w:r>
          </w:p>
        </w:tc>
      </w:tr>
      <w:tr w:rsidR="0099236B" w:rsidRPr="00B02C9E" w14:paraId="57D7295A" w14:textId="77777777" w:rsidTr="00560280">
        <w:tc>
          <w:tcPr>
            <w:tcW w:w="10642" w:type="dxa"/>
            <w:gridSpan w:val="11"/>
            <w:tcBorders>
              <w:top w:val="single" w:sz="4" w:space="0" w:color="auto"/>
              <w:left w:val="nil"/>
              <w:bottom w:val="nil"/>
              <w:right w:val="nil"/>
            </w:tcBorders>
          </w:tcPr>
          <w:p w14:paraId="1E98558B" w14:textId="77777777" w:rsidR="0099236B" w:rsidRPr="00B02C9E" w:rsidRDefault="0099236B" w:rsidP="00560280">
            <w:pPr>
              <w:rPr>
                <w:rFonts w:ascii="Arial" w:hAnsi="Arial"/>
                <w:sz w:val="28"/>
                <w:szCs w:val="28"/>
              </w:rPr>
            </w:pPr>
          </w:p>
          <w:p w14:paraId="5516696C" w14:textId="77777777" w:rsidR="0099236B" w:rsidRPr="00B02C9E" w:rsidRDefault="0099236B" w:rsidP="00560280">
            <w:pPr>
              <w:rPr>
                <w:rFonts w:ascii="Arial" w:hAnsi="Arial"/>
                <w:b/>
                <w:sz w:val="52"/>
                <w:szCs w:val="52"/>
              </w:rPr>
            </w:pPr>
            <w:r w:rsidRPr="00B02C9E">
              <w:rPr>
                <w:rFonts w:ascii="Arial" w:hAnsi="Arial"/>
                <w:b/>
                <w:sz w:val="52"/>
                <w:szCs w:val="52"/>
              </w:rPr>
              <w:t>Online Examination Coversheet</w:t>
            </w:r>
          </w:p>
        </w:tc>
      </w:tr>
      <w:tr w:rsidR="0099236B" w:rsidRPr="00B02C9E" w14:paraId="46A4B1AE" w14:textId="77777777" w:rsidTr="00560280">
        <w:trPr>
          <w:trHeight w:val="686"/>
        </w:trPr>
        <w:tc>
          <w:tcPr>
            <w:tcW w:w="10642" w:type="dxa"/>
            <w:gridSpan w:val="11"/>
            <w:tcBorders>
              <w:top w:val="nil"/>
              <w:left w:val="nil"/>
              <w:right w:val="nil"/>
            </w:tcBorders>
          </w:tcPr>
          <w:p w14:paraId="745A48B8" w14:textId="77777777" w:rsidR="0099236B" w:rsidRPr="00B02C9E" w:rsidRDefault="0099236B" w:rsidP="00560280"/>
        </w:tc>
      </w:tr>
      <w:tr w:rsidR="0099236B" w:rsidRPr="00B02C9E" w14:paraId="7009BD70" w14:textId="77777777" w:rsidTr="00560280">
        <w:trPr>
          <w:trHeight w:val="567"/>
        </w:trPr>
        <w:tc>
          <w:tcPr>
            <w:tcW w:w="2842" w:type="dxa"/>
            <w:vAlign w:val="center"/>
          </w:tcPr>
          <w:p w14:paraId="37413D59" w14:textId="77777777" w:rsidR="0099236B" w:rsidRPr="00B02C9E" w:rsidRDefault="0099236B" w:rsidP="00560280">
            <w:pPr>
              <w:pStyle w:val="SectionTitle"/>
              <w:framePr w:hSpace="0" w:wrap="auto" w:vAnchor="margin" w:xAlign="left" w:yAlign="inline"/>
              <w:suppressOverlap w:val="0"/>
              <w:jc w:val="left"/>
              <w:rPr>
                <w:rFonts w:ascii="Arial" w:hAnsi="Arial" w:cs="Arial"/>
                <w:color w:val="auto"/>
                <w:szCs w:val="24"/>
              </w:rPr>
            </w:pPr>
            <w:r w:rsidRPr="00B02C9E">
              <w:rPr>
                <w:rFonts w:ascii="Arial" w:hAnsi="Arial" w:cs="Arial"/>
                <w:color w:val="auto"/>
                <w:szCs w:val="24"/>
              </w:rPr>
              <w:t>Student ID Number:</w:t>
            </w:r>
          </w:p>
        </w:tc>
        <w:tc>
          <w:tcPr>
            <w:tcW w:w="866" w:type="dxa"/>
            <w:gridSpan w:val="2"/>
            <w:vAlign w:val="center"/>
          </w:tcPr>
          <w:p w14:paraId="5CDB50B4" w14:textId="44C1534D" w:rsidR="0099236B" w:rsidRPr="00B02C9E" w:rsidRDefault="0099236B" w:rsidP="00560280">
            <w:pPr>
              <w:jc w:val="center"/>
              <w:rPr>
                <w:rFonts w:ascii="Arial" w:hAnsi="Arial" w:cs="Arial"/>
                <w:sz w:val="22"/>
                <w:szCs w:val="22"/>
              </w:rPr>
            </w:pPr>
            <w:r w:rsidRPr="00B02C9E">
              <w:rPr>
                <w:rFonts w:ascii="Arial" w:hAnsi="Arial" w:cs="Arial"/>
                <w:sz w:val="22"/>
                <w:szCs w:val="22"/>
              </w:rPr>
              <w:t>2</w:t>
            </w:r>
          </w:p>
        </w:tc>
        <w:tc>
          <w:tcPr>
            <w:tcW w:w="867" w:type="dxa"/>
            <w:vAlign w:val="center"/>
          </w:tcPr>
          <w:p w14:paraId="64B3ED45" w14:textId="47A59A66" w:rsidR="0099236B" w:rsidRPr="00B02C9E" w:rsidRDefault="0099236B" w:rsidP="00560280">
            <w:pPr>
              <w:jc w:val="center"/>
              <w:rPr>
                <w:rFonts w:ascii="Arial" w:hAnsi="Arial" w:cs="Arial"/>
                <w:sz w:val="22"/>
                <w:szCs w:val="22"/>
              </w:rPr>
            </w:pPr>
            <w:r w:rsidRPr="00B02C9E">
              <w:rPr>
                <w:rFonts w:ascii="Arial" w:hAnsi="Arial" w:cs="Arial"/>
                <w:sz w:val="22"/>
                <w:szCs w:val="22"/>
              </w:rPr>
              <w:t>0</w:t>
            </w:r>
          </w:p>
        </w:tc>
        <w:tc>
          <w:tcPr>
            <w:tcW w:w="867" w:type="dxa"/>
            <w:vAlign w:val="center"/>
          </w:tcPr>
          <w:p w14:paraId="65A24EC6" w14:textId="37210456" w:rsidR="0099236B" w:rsidRPr="00B02C9E" w:rsidRDefault="0099236B" w:rsidP="00560280">
            <w:pPr>
              <w:jc w:val="center"/>
              <w:rPr>
                <w:rFonts w:ascii="Arial" w:hAnsi="Arial" w:cs="Arial"/>
                <w:sz w:val="22"/>
                <w:szCs w:val="22"/>
              </w:rPr>
            </w:pPr>
            <w:r w:rsidRPr="00B02C9E">
              <w:rPr>
                <w:rFonts w:ascii="Arial" w:hAnsi="Arial" w:cs="Arial"/>
                <w:sz w:val="22"/>
                <w:szCs w:val="22"/>
              </w:rPr>
              <w:t>1</w:t>
            </w:r>
          </w:p>
        </w:tc>
        <w:tc>
          <w:tcPr>
            <w:tcW w:w="866" w:type="dxa"/>
            <w:vAlign w:val="center"/>
          </w:tcPr>
          <w:p w14:paraId="1EB4F28D" w14:textId="08B02373" w:rsidR="0099236B" w:rsidRPr="00B02C9E" w:rsidRDefault="0099236B" w:rsidP="00560280">
            <w:pPr>
              <w:jc w:val="center"/>
              <w:rPr>
                <w:rFonts w:ascii="Arial" w:hAnsi="Arial" w:cs="Arial"/>
                <w:sz w:val="22"/>
                <w:szCs w:val="22"/>
              </w:rPr>
            </w:pPr>
            <w:r w:rsidRPr="00B02C9E">
              <w:rPr>
                <w:rFonts w:ascii="Arial" w:hAnsi="Arial" w:cs="Arial"/>
                <w:sz w:val="22"/>
                <w:szCs w:val="22"/>
              </w:rPr>
              <w:t>5</w:t>
            </w:r>
          </w:p>
        </w:tc>
        <w:tc>
          <w:tcPr>
            <w:tcW w:w="867" w:type="dxa"/>
            <w:vAlign w:val="center"/>
          </w:tcPr>
          <w:p w14:paraId="1EC9BEED" w14:textId="684C9BD6" w:rsidR="0099236B" w:rsidRPr="00B02C9E" w:rsidRDefault="0099236B" w:rsidP="00560280">
            <w:pPr>
              <w:jc w:val="center"/>
              <w:rPr>
                <w:rFonts w:ascii="Arial" w:hAnsi="Arial" w:cs="Arial"/>
                <w:sz w:val="22"/>
                <w:szCs w:val="22"/>
              </w:rPr>
            </w:pPr>
            <w:r w:rsidRPr="00B02C9E">
              <w:rPr>
                <w:rFonts w:ascii="Arial" w:hAnsi="Arial" w:cs="Arial"/>
                <w:sz w:val="22"/>
                <w:szCs w:val="22"/>
              </w:rPr>
              <w:t>9</w:t>
            </w:r>
          </w:p>
        </w:tc>
        <w:tc>
          <w:tcPr>
            <w:tcW w:w="867" w:type="dxa"/>
            <w:vAlign w:val="center"/>
          </w:tcPr>
          <w:p w14:paraId="3CAE4A50" w14:textId="5E034F43" w:rsidR="0099236B" w:rsidRPr="00B02C9E" w:rsidRDefault="0099236B" w:rsidP="00560280">
            <w:pPr>
              <w:jc w:val="center"/>
              <w:rPr>
                <w:rFonts w:ascii="Arial" w:hAnsi="Arial" w:cs="Arial"/>
                <w:sz w:val="22"/>
                <w:szCs w:val="22"/>
              </w:rPr>
            </w:pPr>
            <w:r w:rsidRPr="00B02C9E">
              <w:rPr>
                <w:rFonts w:ascii="Arial" w:hAnsi="Arial" w:cs="Arial"/>
                <w:sz w:val="22"/>
                <w:szCs w:val="22"/>
              </w:rPr>
              <w:t>6</w:t>
            </w:r>
          </w:p>
        </w:tc>
        <w:tc>
          <w:tcPr>
            <w:tcW w:w="866" w:type="dxa"/>
            <w:vAlign w:val="center"/>
          </w:tcPr>
          <w:p w14:paraId="0565AC18" w14:textId="4004941B" w:rsidR="0099236B" w:rsidRPr="00B02C9E" w:rsidRDefault="0099236B" w:rsidP="00560280">
            <w:pPr>
              <w:jc w:val="center"/>
              <w:rPr>
                <w:rFonts w:ascii="Arial" w:hAnsi="Arial" w:cs="Arial"/>
                <w:sz w:val="22"/>
                <w:szCs w:val="22"/>
              </w:rPr>
            </w:pPr>
            <w:r w:rsidRPr="00B02C9E">
              <w:rPr>
                <w:rFonts w:ascii="Arial" w:hAnsi="Arial" w:cs="Arial"/>
                <w:sz w:val="22"/>
                <w:szCs w:val="22"/>
              </w:rPr>
              <w:t>9</w:t>
            </w:r>
          </w:p>
        </w:tc>
        <w:tc>
          <w:tcPr>
            <w:tcW w:w="867" w:type="dxa"/>
            <w:vAlign w:val="center"/>
          </w:tcPr>
          <w:p w14:paraId="2887BDB5" w14:textId="0AB2B6B0" w:rsidR="0099236B" w:rsidRPr="00B02C9E" w:rsidRDefault="0099236B" w:rsidP="00560280">
            <w:pPr>
              <w:jc w:val="center"/>
              <w:rPr>
                <w:rFonts w:ascii="Arial" w:hAnsi="Arial" w:cs="Arial"/>
                <w:sz w:val="22"/>
                <w:szCs w:val="22"/>
              </w:rPr>
            </w:pPr>
            <w:r w:rsidRPr="00B02C9E">
              <w:rPr>
                <w:rFonts w:ascii="Arial" w:hAnsi="Arial" w:cs="Arial"/>
                <w:sz w:val="22"/>
                <w:szCs w:val="22"/>
              </w:rPr>
              <w:t>1</w:t>
            </w:r>
          </w:p>
        </w:tc>
        <w:tc>
          <w:tcPr>
            <w:tcW w:w="867" w:type="dxa"/>
            <w:vAlign w:val="center"/>
          </w:tcPr>
          <w:p w14:paraId="7A8589F0" w14:textId="0517407A" w:rsidR="0099236B" w:rsidRPr="00B02C9E" w:rsidRDefault="0099236B" w:rsidP="00560280">
            <w:pPr>
              <w:jc w:val="center"/>
              <w:rPr>
                <w:rFonts w:ascii="Arial" w:hAnsi="Arial" w:cs="Arial"/>
                <w:sz w:val="22"/>
                <w:szCs w:val="22"/>
              </w:rPr>
            </w:pPr>
            <w:r w:rsidRPr="00B02C9E">
              <w:rPr>
                <w:rFonts w:ascii="Arial" w:hAnsi="Arial" w:cs="Arial"/>
                <w:sz w:val="22"/>
                <w:szCs w:val="22"/>
              </w:rPr>
              <w:t>8</w:t>
            </w:r>
          </w:p>
        </w:tc>
      </w:tr>
      <w:tr w:rsidR="0099236B" w:rsidRPr="00B02C9E" w14:paraId="346DB628" w14:textId="77777777" w:rsidTr="00560280">
        <w:trPr>
          <w:trHeight w:val="567"/>
        </w:trPr>
        <w:tc>
          <w:tcPr>
            <w:tcW w:w="2842" w:type="dxa"/>
            <w:vAlign w:val="center"/>
          </w:tcPr>
          <w:p w14:paraId="40B55844" w14:textId="77777777" w:rsidR="0099236B" w:rsidRPr="00B02C9E" w:rsidRDefault="0099236B" w:rsidP="00560280">
            <w:pPr>
              <w:pStyle w:val="SectionTitle"/>
              <w:framePr w:hSpace="0" w:wrap="auto" w:vAnchor="margin" w:xAlign="left" w:yAlign="inline"/>
              <w:suppressOverlap w:val="0"/>
              <w:jc w:val="left"/>
              <w:rPr>
                <w:rFonts w:ascii="Arial" w:hAnsi="Arial" w:cs="Arial"/>
                <w:color w:val="auto"/>
                <w:szCs w:val="24"/>
              </w:rPr>
            </w:pPr>
            <w:r w:rsidRPr="00B02C9E">
              <w:rPr>
                <w:rFonts w:ascii="Arial" w:hAnsi="Arial" w:cs="Arial"/>
                <w:color w:val="auto"/>
                <w:szCs w:val="24"/>
              </w:rPr>
              <w:t>Module Code:</w:t>
            </w:r>
          </w:p>
        </w:tc>
        <w:tc>
          <w:tcPr>
            <w:tcW w:w="7800" w:type="dxa"/>
            <w:gridSpan w:val="10"/>
            <w:vAlign w:val="center"/>
          </w:tcPr>
          <w:p w14:paraId="0807F5CF" w14:textId="59B01FE7" w:rsidR="0099236B" w:rsidRPr="00B02C9E" w:rsidRDefault="0099236B" w:rsidP="00560280">
            <w:pPr>
              <w:rPr>
                <w:rFonts w:ascii="Arial" w:hAnsi="Arial" w:cs="Arial"/>
                <w:sz w:val="22"/>
                <w:szCs w:val="22"/>
              </w:rPr>
            </w:pPr>
            <w:r w:rsidRPr="00B02C9E">
              <w:rPr>
                <w:rFonts w:ascii="Arial" w:hAnsi="Arial" w:cs="Arial"/>
                <w:sz w:val="22"/>
                <w:szCs w:val="22"/>
              </w:rPr>
              <w:t>LUBS3005</w:t>
            </w:r>
          </w:p>
        </w:tc>
      </w:tr>
      <w:tr w:rsidR="0099236B" w:rsidRPr="00B02C9E" w14:paraId="1FF54A9A" w14:textId="77777777" w:rsidTr="00560280">
        <w:trPr>
          <w:trHeight w:val="567"/>
        </w:trPr>
        <w:tc>
          <w:tcPr>
            <w:tcW w:w="2842" w:type="dxa"/>
            <w:vAlign w:val="center"/>
          </w:tcPr>
          <w:p w14:paraId="6FF1D998" w14:textId="77777777" w:rsidR="0099236B" w:rsidRPr="00B02C9E" w:rsidRDefault="0099236B" w:rsidP="00560280">
            <w:pPr>
              <w:pStyle w:val="SectionTitle"/>
              <w:framePr w:hSpace="0" w:wrap="auto" w:vAnchor="margin" w:xAlign="left" w:yAlign="inline"/>
              <w:suppressOverlap w:val="0"/>
              <w:jc w:val="left"/>
              <w:rPr>
                <w:rFonts w:ascii="Arial" w:hAnsi="Arial" w:cs="Arial"/>
                <w:color w:val="auto"/>
                <w:szCs w:val="24"/>
              </w:rPr>
            </w:pPr>
            <w:r w:rsidRPr="00B02C9E">
              <w:rPr>
                <w:rFonts w:ascii="Arial" w:hAnsi="Arial" w:cs="Arial"/>
                <w:color w:val="auto"/>
                <w:szCs w:val="24"/>
              </w:rPr>
              <w:t>Module Title:</w:t>
            </w:r>
          </w:p>
        </w:tc>
        <w:tc>
          <w:tcPr>
            <w:tcW w:w="7800" w:type="dxa"/>
            <w:gridSpan w:val="10"/>
            <w:vAlign w:val="center"/>
          </w:tcPr>
          <w:p w14:paraId="2C359DD9" w14:textId="0118C5D6" w:rsidR="0099236B" w:rsidRPr="00B02C9E" w:rsidRDefault="0099236B" w:rsidP="00560280">
            <w:pPr>
              <w:rPr>
                <w:rFonts w:ascii="Arial" w:hAnsi="Arial" w:cs="Arial"/>
                <w:sz w:val="22"/>
                <w:szCs w:val="22"/>
              </w:rPr>
            </w:pPr>
            <w:r w:rsidRPr="00B02C9E">
              <w:rPr>
                <w:rFonts w:ascii="Arial" w:hAnsi="Arial" w:cs="Arial"/>
                <w:sz w:val="22"/>
                <w:szCs w:val="22"/>
              </w:rPr>
              <w:t>Advanced Microeconomics</w:t>
            </w:r>
          </w:p>
        </w:tc>
      </w:tr>
      <w:tr w:rsidR="0099236B" w:rsidRPr="00B02C9E" w14:paraId="3211134A" w14:textId="77777777" w:rsidTr="00560280">
        <w:trPr>
          <w:trHeight w:val="567"/>
        </w:trPr>
        <w:tc>
          <w:tcPr>
            <w:tcW w:w="2842" w:type="dxa"/>
            <w:vAlign w:val="center"/>
          </w:tcPr>
          <w:p w14:paraId="203BB556" w14:textId="77777777" w:rsidR="0099236B" w:rsidRPr="00B02C9E" w:rsidRDefault="0099236B" w:rsidP="00560280">
            <w:pPr>
              <w:pStyle w:val="SectionTitle"/>
              <w:framePr w:hSpace="0" w:wrap="auto" w:vAnchor="margin" w:xAlign="left" w:yAlign="inline"/>
              <w:suppressOverlap w:val="0"/>
              <w:jc w:val="left"/>
              <w:rPr>
                <w:color w:val="auto"/>
              </w:rPr>
            </w:pPr>
            <w:r w:rsidRPr="00B02C9E">
              <w:rPr>
                <w:rFonts w:ascii="Arial" w:hAnsi="Arial" w:cs="Arial"/>
                <w:color w:val="auto"/>
                <w:szCs w:val="24"/>
              </w:rPr>
              <w:t>Module Leader:</w:t>
            </w:r>
          </w:p>
        </w:tc>
        <w:tc>
          <w:tcPr>
            <w:tcW w:w="7800" w:type="dxa"/>
            <w:gridSpan w:val="10"/>
            <w:vAlign w:val="center"/>
          </w:tcPr>
          <w:p w14:paraId="2DA87158" w14:textId="4BC85F3E" w:rsidR="0099236B" w:rsidRPr="00B02C9E" w:rsidRDefault="0099236B" w:rsidP="00560280">
            <w:pPr>
              <w:rPr>
                <w:rFonts w:ascii="Arial" w:hAnsi="Arial" w:cs="Arial"/>
                <w:sz w:val="22"/>
                <w:szCs w:val="22"/>
              </w:rPr>
            </w:pPr>
            <w:r w:rsidRPr="00B02C9E">
              <w:rPr>
                <w:rFonts w:ascii="Arial" w:hAnsi="Arial" w:cs="Arial"/>
                <w:sz w:val="22"/>
                <w:szCs w:val="22"/>
              </w:rPr>
              <w:t>Dr. Alan Piper</w:t>
            </w:r>
          </w:p>
        </w:tc>
      </w:tr>
      <w:tr w:rsidR="0099236B" w:rsidRPr="00B02C9E" w14:paraId="0FEEAC1E" w14:textId="77777777" w:rsidTr="00560280">
        <w:trPr>
          <w:trHeight w:val="567"/>
        </w:trPr>
        <w:tc>
          <w:tcPr>
            <w:tcW w:w="2842" w:type="dxa"/>
            <w:tcBorders>
              <w:bottom w:val="single" w:sz="4" w:space="0" w:color="auto"/>
            </w:tcBorders>
            <w:vAlign w:val="center"/>
          </w:tcPr>
          <w:p w14:paraId="541DBAF3" w14:textId="77777777" w:rsidR="0099236B" w:rsidRPr="00B02C9E" w:rsidRDefault="0099236B" w:rsidP="00560280">
            <w:pPr>
              <w:pStyle w:val="SectionTitle"/>
              <w:framePr w:hSpace="0" w:wrap="auto" w:vAnchor="margin" w:xAlign="left" w:yAlign="inline"/>
              <w:suppressOverlap w:val="0"/>
              <w:jc w:val="left"/>
              <w:rPr>
                <w:rFonts w:ascii="Arial" w:hAnsi="Arial" w:cs="Arial"/>
                <w:color w:val="auto"/>
                <w:szCs w:val="24"/>
              </w:rPr>
            </w:pPr>
            <w:r w:rsidRPr="00B02C9E">
              <w:rPr>
                <w:rFonts w:ascii="Arial" w:hAnsi="Arial" w:cs="Arial"/>
                <w:color w:val="auto"/>
                <w:szCs w:val="24"/>
              </w:rPr>
              <w:t>Declared Word Count:</w:t>
            </w:r>
          </w:p>
        </w:tc>
        <w:tc>
          <w:tcPr>
            <w:tcW w:w="7800" w:type="dxa"/>
            <w:gridSpan w:val="10"/>
            <w:tcBorders>
              <w:bottom w:val="single" w:sz="4" w:space="0" w:color="auto"/>
            </w:tcBorders>
            <w:vAlign w:val="center"/>
          </w:tcPr>
          <w:p w14:paraId="1399D78B" w14:textId="173AFBC4" w:rsidR="0099236B" w:rsidRPr="00B02C9E" w:rsidRDefault="0099236B" w:rsidP="00560280">
            <w:pPr>
              <w:rPr>
                <w:rFonts w:ascii="Arial" w:hAnsi="Arial" w:cs="Arial"/>
                <w:sz w:val="22"/>
                <w:szCs w:val="22"/>
              </w:rPr>
            </w:pPr>
            <w:r w:rsidRPr="00B02C9E">
              <w:rPr>
                <w:rFonts w:ascii="Arial" w:hAnsi="Arial" w:cs="Arial"/>
                <w:sz w:val="22"/>
                <w:szCs w:val="22"/>
              </w:rPr>
              <w:t>1,99</w:t>
            </w:r>
            <w:r w:rsidR="001B37EC">
              <w:rPr>
                <w:rFonts w:ascii="Arial" w:hAnsi="Arial" w:cs="Arial"/>
                <w:sz w:val="22"/>
                <w:szCs w:val="22"/>
              </w:rPr>
              <w:t>7</w:t>
            </w:r>
          </w:p>
        </w:tc>
      </w:tr>
      <w:tr w:rsidR="0099236B" w:rsidRPr="00B02C9E" w14:paraId="6FC6E273" w14:textId="77777777" w:rsidTr="00560280">
        <w:trPr>
          <w:trHeight w:val="6327"/>
        </w:trPr>
        <w:tc>
          <w:tcPr>
            <w:tcW w:w="10642" w:type="dxa"/>
            <w:gridSpan w:val="11"/>
            <w:tcBorders>
              <w:left w:val="nil"/>
              <w:right w:val="nil"/>
            </w:tcBorders>
          </w:tcPr>
          <w:p w14:paraId="524DAC5A" w14:textId="77777777" w:rsidR="0099236B" w:rsidRPr="00B02C9E" w:rsidRDefault="0099236B" w:rsidP="00560280">
            <w:pPr>
              <w:pStyle w:val="PartyorEventName"/>
              <w:rPr>
                <w:rFonts w:ascii="Arial" w:hAnsi="Arial" w:cs="Arial"/>
              </w:rPr>
            </w:pPr>
          </w:p>
          <w:p w14:paraId="08D9CE0B" w14:textId="77777777" w:rsidR="0099236B" w:rsidRPr="00B02C9E" w:rsidRDefault="0099236B" w:rsidP="00560280">
            <w:pPr>
              <w:pStyle w:val="PartyorEventName"/>
              <w:rPr>
                <w:rFonts w:ascii="Arial" w:hAnsi="Arial" w:cs="Arial"/>
              </w:rPr>
            </w:pPr>
            <w:r w:rsidRPr="00B02C9E">
              <w:rPr>
                <w:rFonts w:ascii="Arial" w:hAnsi="Arial" w:cs="Arial"/>
              </w:rPr>
              <w:t>Please Note:</w:t>
            </w:r>
          </w:p>
          <w:p w14:paraId="26C22B34" w14:textId="77777777" w:rsidR="0099236B" w:rsidRPr="00B02C9E" w:rsidRDefault="0099236B" w:rsidP="00560280">
            <w:pPr>
              <w:pStyle w:val="PartyorEventName"/>
              <w:rPr>
                <w:rFonts w:ascii="Arial" w:hAnsi="Arial" w:cs="Arial"/>
              </w:rPr>
            </w:pPr>
          </w:p>
          <w:p w14:paraId="02002E01" w14:textId="77777777" w:rsidR="0099236B" w:rsidRPr="00B02C9E" w:rsidRDefault="0099236B" w:rsidP="00560280">
            <w:pPr>
              <w:pStyle w:val="PartyorEventName"/>
              <w:rPr>
                <w:rFonts w:ascii="Arial" w:hAnsi="Arial" w:cs="Arial"/>
              </w:rPr>
            </w:pPr>
            <w:r w:rsidRPr="00B02C9E">
              <w:rPr>
                <w:rFonts w:ascii="Arial" w:hAnsi="Arial" w:cs="Arial"/>
              </w:rPr>
              <w:t>Your declared word count must be accurate, and should not mislead. Making a fraudulent statement concerning the work submitted for assessment could be considered academic malpractice and investigated as such.  If the amount of work submitted is higher than that specified by the word limit or that declared on your word count, this may be reflected in the mark awarded and noted through individual feedback given to you.</w:t>
            </w:r>
          </w:p>
          <w:p w14:paraId="5BF1941C" w14:textId="77777777" w:rsidR="0099236B" w:rsidRPr="00B02C9E" w:rsidRDefault="0099236B" w:rsidP="00560280">
            <w:pPr>
              <w:pStyle w:val="PartyorEventName"/>
              <w:rPr>
                <w:rFonts w:ascii="Arial" w:hAnsi="Arial" w:cs="Arial"/>
              </w:rPr>
            </w:pPr>
          </w:p>
          <w:p w14:paraId="5DCBD568" w14:textId="77777777" w:rsidR="0099236B" w:rsidRPr="00B02C9E" w:rsidRDefault="0099236B" w:rsidP="00560280">
            <w:r w:rsidRPr="00B02C9E">
              <w:rPr>
                <w:rFonts w:ascii="Arial" w:hAnsi="Arial" w:cs="Arial"/>
              </w:rPr>
              <w:t xml:space="preserve"> It is not acceptable to present matters of substance, which should be included in the main body of the text, in the appendices (“appendix abuse”).  It is not acceptable to attempt to hide words in graphs and diagrams; only text which is strictly necessary should be included in graphs and diagrams.</w:t>
            </w:r>
          </w:p>
        </w:tc>
      </w:tr>
      <w:tr w:rsidR="0099236B" w:rsidRPr="00B02C9E" w14:paraId="500B16F7" w14:textId="77777777" w:rsidTr="00560280">
        <w:trPr>
          <w:trHeight w:val="1116"/>
        </w:trPr>
        <w:tc>
          <w:tcPr>
            <w:tcW w:w="10642" w:type="dxa"/>
            <w:gridSpan w:val="11"/>
            <w:shd w:val="clear" w:color="auto" w:fill="BFBFBF" w:themeFill="background1" w:themeFillShade="BF"/>
            <w:vAlign w:val="center"/>
          </w:tcPr>
          <w:p w14:paraId="3BEA56A8" w14:textId="77777777" w:rsidR="0099236B" w:rsidRPr="00B02C9E" w:rsidRDefault="0099236B" w:rsidP="00560280">
            <w:pPr>
              <w:rPr>
                <w:rFonts w:ascii="Arial" w:hAnsi="Arial" w:cs="Arial"/>
                <w:b/>
                <w:u w:val="single"/>
              </w:rPr>
            </w:pPr>
            <w:r w:rsidRPr="00B02C9E">
              <w:rPr>
                <w:rFonts w:ascii="Arial" w:hAnsi="Arial" w:cs="Arial"/>
              </w:rPr>
              <w:t>By submitting an assignment you confirm you have read and understood the University of Leeds </w:t>
            </w:r>
            <w:hyperlink r:id="rId7" w:tgtFrame="_blank" w:history="1">
              <w:r w:rsidRPr="00B02C9E">
                <w:rPr>
                  <w:rFonts w:ascii="Arial" w:hAnsi="Arial" w:cs="Arial"/>
                  <w:b/>
                  <w:u w:val="single"/>
                </w:rPr>
                <w:t>Declaration of Academic Integrity</w:t>
              </w:r>
            </w:hyperlink>
            <w:r w:rsidRPr="00B02C9E">
              <w:rPr>
                <w:rFonts w:ascii="Arial" w:hAnsi="Arial" w:cs="Arial"/>
              </w:rPr>
              <w:t xml:space="preserve"> (</w:t>
            </w:r>
            <w:r w:rsidRPr="00B02C9E">
              <w:t xml:space="preserve"> </w:t>
            </w:r>
            <w:hyperlink r:id="rId8" w:history="1">
              <w:r w:rsidRPr="00B02C9E">
                <w:rPr>
                  <w:rStyle w:val="Hyperlink"/>
                  <w:rFonts w:ascii="Arial" w:hAnsi="Arial" w:cs="Arial"/>
                  <w:color w:val="0070C0"/>
                </w:rPr>
                <w:t>http://www.leeds.ac.uk/secretariat/documents/academic_integrity.pdf</w:t>
              </w:r>
            </w:hyperlink>
            <w:r w:rsidRPr="00B02C9E">
              <w:rPr>
                <w:rFonts w:ascii="Arial" w:hAnsi="Arial" w:cs="Arial"/>
              </w:rPr>
              <w:t>).</w:t>
            </w:r>
          </w:p>
          <w:p w14:paraId="280B2EB1" w14:textId="77777777" w:rsidR="0099236B" w:rsidRPr="00B02C9E" w:rsidRDefault="0099236B" w:rsidP="00560280"/>
        </w:tc>
      </w:tr>
    </w:tbl>
    <w:p w14:paraId="018E91B2" w14:textId="56A4707F" w:rsidR="0035443B" w:rsidRPr="00E428F3" w:rsidRDefault="00E428F3" w:rsidP="00B02C9E">
      <w:pPr>
        <w:pStyle w:val="Title"/>
        <w:spacing w:line="480" w:lineRule="auto"/>
      </w:pPr>
      <w:r w:rsidRPr="00E428F3">
        <w:lastRenderedPageBreak/>
        <w:t>Advanced Microeconomics Assessment</w:t>
      </w:r>
    </w:p>
    <w:p w14:paraId="64FCF82D" w14:textId="0B7BA136" w:rsidR="00E428F3" w:rsidRDefault="00E428F3" w:rsidP="000D52DC">
      <w:pPr>
        <w:pStyle w:val="Heading1"/>
        <w:spacing w:line="480" w:lineRule="auto"/>
      </w:pPr>
      <w:r w:rsidRPr="00E428F3">
        <w:t>Question 1A</w:t>
      </w:r>
    </w:p>
    <w:p w14:paraId="71D8D070" w14:textId="69C646C6" w:rsidR="00CA761B" w:rsidRDefault="00CA761B" w:rsidP="000D52DC">
      <w:pPr>
        <w:pStyle w:val="Heading2"/>
        <w:spacing w:line="480" w:lineRule="auto"/>
      </w:pPr>
      <w:r w:rsidRPr="00CA761B">
        <w:t>Question 1.i</w:t>
      </w:r>
    </w:p>
    <w:p w14:paraId="066DC124" w14:textId="44A21E8D" w:rsidR="000D52DC" w:rsidRDefault="00CA761B" w:rsidP="000D52DC">
      <w:pPr>
        <w:spacing w:line="480" w:lineRule="auto"/>
      </w:pPr>
      <w:r>
        <w:t>The equation for the PPF is</w:t>
      </w:r>
      <w:r w:rsidR="000D52DC">
        <w:t>:</w:t>
      </w:r>
    </w:p>
    <w:p w14:paraId="68D566F0" w14:textId="3C7256CB" w:rsidR="000D52DC" w:rsidRPr="000D52DC" w:rsidRDefault="00000000" w:rsidP="000D52DC">
      <w:pPr>
        <w:spacing w:line="480" w:lineRule="auto"/>
        <w:rPr>
          <w:rFonts w:eastAsiaTheme="minorEastAsia"/>
        </w:rPr>
      </w:pPr>
      <m:oMathPara>
        <m:oMath>
          <m:eqArr>
            <m:eqArrPr>
              <m:maxDist m:val="1"/>
              <m:ctrlPr>
                <w:rPr>
                  <w:rFonts w:ascii="Cambria Math" w:eastAsiaTheme="minorEastAsia" w:hAnsi="Cambria Math"/>
                  <w:i/>
                </w:rPr>
              </m:ctrlPr>
            </m:eqArrPr>
            <m:e>
              <m:r>
                <w:rPr>
                  <w:rFonts w:ascii="Cambria Math" w:hAnsi="Cambria Math"/>
                </w:rPr>
                <m:t>5x+20y=1000#(</m:t>
              </m:r>
              <m:r>
                <w:rPr>
                  <w:rFonts w:ascii="Cambria Math" w:eastAsiaTheme="minorEastAsia" w:hAnsi="Cambria Math"/>
                </w:rPr>
                <m:t>1)</m:t>
              </m:r>
            </m:e>
          </m:eqArr>
        </m:oMath>
      </m:oMathPara>
    </w:p>
    <w:p w14:paraId="42A9AF4D" w14:textId="02B6EBF3" w:rsidR="000D52DC" w:rsidRDefault="000D52DC" w:rsidP="00DD546B">
      <w:pPr>
        <w:spacing w:after="0" w:line="480" w:lineRule="auto"/>
        <w:jc w:val="center"/>
        <w:rPr>
          <w:rFonts w:eastAsiaTheme="minorEastAsia"/>
        </w:rPr>
      </w:pPr>
      <w:r>
        <w:rPr>
          <w:noProof/>
        </w:rPr>
        <w:drawing>
          <wp:inline distT="0" distB="0" distL="0" distR="0" wp14:anchorId="3562D268" wp14:editId="77455733">
            <wp:extent cx="4123426" cy="2924224"/>
            <wp:effectExtent l="0" t="0" r="0" b="0"/>
            <wp:docPr id="1695699302" name="Picture 1" descr="A diagram of a blue tri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699302" name="Picture 1" descr="A diagram of a blue triangle&#10;&#10;AI-generated content may be incorrect."/>
                    <pic:cNvPicPr/>
                  </pic:nvPicPr>
                  <pic:blipFill>
                    <a:blip r:embed="rId9"/>
                    <a:stretch>
                      <a:fillRect/>
                    </a:stretch>
                  </pic:blipFill>
                  <pic:spPr>
                    <a:xfrm>
                      <a:off x="0" y="0"/>
                      <a:ext cx="4130639" cy="2929339"/>
                    </a:xfrm>
                    <a:prstGeom prst="rect">
                      <a:avLst/>
                    </a:prstGeom>
                  </pic:spPr>
                </pic:pic>
              </a:graphicData>
            </a:graphic>
          </wp:inline>
        </w:drawing>
      </w:r>
    </w:p>
    <w:p w14:paraId="303CC30A" w14:textId="26132C21" w:rsidR="000D52DC" w:rsidRPr="000D52DC" w:rsidRDefault="000D52DC" w:rsidP="000D52DC">
      <w:pPr>
        <w:spacing w:line="480" w:lineRule="auto"/>
        <w:jc w:val="center"/>
        <w:rPr>
          <w:rFonts w:eastAsiaTheme="minorEastAsia"/>
          <w:i/>
          <w:iCs/>
        </w:rPr>
      </w:pPr>
      <w:r w:rsidRPr="000D52DC">
        <w:rPr>
          <w:rFonts w:eastAsiaTheme="minorEastAsia"/>
          <w:i/>
          <w:iCs/>
        </w:rPr>
        <w:t>Figure 1</w:t>
      </w:r>
    </w:p>
    <w:p w14:paraId="52937FD3" w14:textId="3EC2233B" w:rsidR="000D52DC" w:rsidRDefault="000D52DC" w:rsidP="000D52DC">
      <w:pPr>
        <w:spacing w:line="480" w:lineRule="auto"/>
        <w:rPr>
          <w:rFonts w:eastAsiaTheme="minorEastAsia"/>
        </w:rPr>
      </w:pPr>
      <w:r>
        <w:rPr>
          <w:rFonts w:eastAsiaTheme="minorEastAsia"/>
        </w:rPr>
        <w:t xml:space="preserve">Figure 1 plots the PPF given </w:t>
      </w:r>
      <w:r w:rsidR="00DE6195">
        <w:rPr>
          <w:rFonts w:eastAsiaTheme="minorEastAsia"/>
        </w:rPr>
        <w:t>(1)</w:t>
      </w:r>
      <w:r>
        <w:rPr>
          <w:rFonts w:eastAsiaTheme="minorEastAsia"/>
        </w:rPr>
        <w:t xml:space="preserve">. The PPF a negative constant slope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Pr>
          <w:rFonts w:eastAsiaTheme="minorEastAsia"/>
        </w:rPr>
        <w:t xml:space="preserve"> because of a few reasons.</w:t>
      </w:r>
    </w:p>
    <w:p w14:paraId="7ED3E9D9" w14:textId="49DFC0F4" w:rsidR="000D52DC" w:rsidRDefault="000D52DC" w:rsidP="000D52DC">
      <w:pPr>
        <w:spacing w:line="480" w:lineRule="auto"/>
        <w:rPr>
          <w:rFonts w:eastAsiaTheme="minorEastAsia"/>
        </w:rPr>
      </w:pPr>
      <w:r>
        <w:rPr>
          <w:rFonts w:eastAsiaTheme="minorEastAsia"/>
        </w:rPr>
        <w:t xml:space="preserve">First,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exhibit constant returns to scale with labour inputs</w:t>
      </w:r>
      <w:r w:rsidR="004B13A6">
        <w:rPr>
          <w:rFonts w:eastAsiaTheme="minorEastAsia"/>
        </w:rPr>
        <w:t>, see (2) and (3).</w:t>
      </w:r>
    </w:p>
    <w:p w14:paraId="6691433F" w14:textId="4A67ABD6" w:rsidR="000D52DC" w:rsidRPr="000D52DC" w:rsidRDefault="00000000" w:rsidP="000D52DC">
      <w:pPr>
        <w:spacing w:line="480" w:lineRule="auto"/>
        <w:jc w:val="center"/>
        <w:rPr>
          <w:rFonts w:eastAsiaTheme="minorEastAsia"/>
        </w:rPr>
      </w:pPr>
      <m:oMathPara>
        <m:oMath>
          <m:eqArr>
            <m:eqArrPr>
              <m:maxDist m:val="1"/>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∂L</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m:t>
                  </m:r>
                </m:e>
              </m:d>
            </m:e>
          </m:eqArr>
        </m:oMath>
      </m:oMathPara>
    </w:p>
    <w:p w14:paraId="5129698D" w14:textId="184EA24D" w:rsidR="000D52DC" w:rsidRPr="000D52DC" w:rsidRDefault="00000000" w:rsidP="000D52DC">
      <w:pPr>
        <w:spacing w:line="480" w:lineRule="auto"/>
        <w:jc w:val="center"/>
        <w:rPr>
          <w:rFonts w:eastAsiaTheme="minorEastAsia"/>
        </w:rPr>
      </w:pPr>
      <m:oMathPara>
        <m:oMath>
          <m:eqArr>
            <m:eqArrPr>
              <m:maxDist m:val="1"/>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∂L</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3</m:t>
                  </m:r>
                </m:e>
              </m:d>
            </m:e>
          </m:eqArr>
        </m:oMath>
      </m:oMathPara>
    </w:p>
    <w:p w14:paraId="5FE2DD9A" w14:textId="5B6D79F4" w:rsidR="00CA761B" w:rsidRDefault="000D52DC" w:rsidP="000D52DC">
      <w:pPr>
        <w:spacing w:line="480" w:lineRule="auto"/>
        <w:rPr>
          <w:rFonts w:eastAsiaTheme="minorEastAsia"/>
        </w:rPr>
      </w:pPr>
      <w:r>
        <w:rPr>
          <w:rFonts w:eastAsiaTheme="minorEastAsia"/>
        </w:rPr>
        <w:lastRenderedPageBreak/>
        <w:t xml:space="preserve">This fact, combined with the fact that we only have a single factor input (labour) produces a straight-line graph. If the production equations for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had increasing returns to scale</w:t>
      </w:r>
      <w:r w:rsidR="004B13A6">
        <w:rPr>
          <w:rFonts w:eastAsiaTheme="minorEastAsia"/>
        </w:rPr>
        <w:t xml:space="preserve"> (as in (4))</w:t>
      </w:r>
      <w:r>
        <w:rPr>
          <w:rFonts w:eastAsiaTheme="minorEastAsia"/>
        </w:rPr>
        <w:t xml:space="preserve">, </w:t>
      </w:r>
      <w:r w:rsidR="004B13A6">
        <w:rPr>
          <w:rFonts w:eastAsiaTheme="minorEastAsia"/>
        </w:rPr>
        <w:t>then the PPF would be convex.</w:t>
      </w:r>
    </w:p>
    <w:p w14:paraId="4E5AED2E" w14:textId="5C990CF9" w:rsidR="000D52DC" w:rsidRPr="000D52DC" w:rsidRDefault="00000000" w:rsidP="000D52DC">
      <w:pPr>
        <w:spacing w:line="480" w:lineRule="auto"/>
        <w:rPr>
          <w:rFonts w:eastAsiaTheme="minorEastAsia"/>
        </w:rPr>
      </w:pPr>
      <m:oMathPara>
        <m:oMath>
          <m:eqArr>
            <m:eqArrPr>
              <m:maxDist m:val="1"/>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4</m:t>
                  </m:r>
                </m:e>
              </m:d>
            </m:e>
          </m:eqArr>
        </m:oMath>
      </m:oMathPara>
    </w:p>
    <w:p w14:paraId="063EDF3D" w14:textId="4B1A7608" w:rsidR="000D52DC" w:rsidRPr="004B13A6" w:rsidRDefault="00FC6C09" w:rsidP="004B13A6">
      <w:pPr>
        <w:pStyle w:val="ListParagraph"/>
        <w:numPr>
          <w:ilvl w:val="0"/>
          <w:numId w:val="1"/>
        </w:numPr>
        <w:spacing w:line="480" w:lineRule="auto"/>
        <w:rPr>
          <w:rFonts w:eastAsiaTheme="minorEastAsia"/>
        </w:rPr>
      </w:pPr>
      <w:r w:rsidRPr="004B13A6">
        <w:rPr>
          <w:rFonts w:eastAsiaTheme="minorEastAsia"/>
        </w:rPr>
        <w:t xml:space="preserve">Where </w:t>
      </w:r>
      <m:oMath>
        <m:r>
          <w:rPr>
            <w:rFonts w:ascii="Cambria Math" w:eastAsiaTheme="minorEastAsia" w:hAnsi="Cambria Math"/>
          </w:rPr>
          <m:t>L</m:t>
        </m:r>
      </m:oMath>
      <w:r w:rsidRPr="004B13A6">
        <w:rPr>
          <w:rFonts w:eastAsiaTheme="minorEastAsia"/>
        </w:rPr>
        <w:t xml:space="preserve"> represents labour units</w:t>
      </w:r>
      <w:r w:rsidR="004B13A6">
        <w:rPr>
          <w:rFonts w:eastAsiaTheme="minorEastAsia"/>
        </w:rPr>
        <w:t>.</w:t>
      </w:r>
    </w:p>
    <w:p w14:paraId="61FBD1AB" w14:textId="22F08A57" w:rsidR="00DE6195" w:rsidRDefault="00FC6C09" w:rsidP="000D52DC">
      <w:pPr>
        <w:spacing w:line="480" w:lineRule="auto"/>
        <w:rPr>
          <w:rFonts w:eastAsiaTheme="minorEastAsia"/>
        </w:rPr>
      </w:pPr>
      <w:r>
        <w:rPr>
          <w:rFonts w:eastAsiaTheme="minorEastAsia"/>
        </w:rPr>
        <w:t xml:space="preserve">Furthermore, </w:t>
      </w:r>
      <w:r w:rsidR="00DE6195">
        <w:rPr>
          <w:rFonts w:eastAsiaTheme="minorEastAsia"/>
        </w:rPr>
        <w:t xml:space="preserve">the PPF changes when marginal costs are changed – figure 2 shows the PPF where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r>
          <w:rPr>
            <w:rFonts w:ascii="Cambria Math" w:eastAsiaTheme="minorEastAsia" w:hAnsi="Cambria Math"/>
          </w:rPr>
          <m:t>=10</m:t>
        </m:r>
      </m:oMath>
      <w:r w:rsidR="00DE6195">
        <w:rPr>
          <w:rFonts w:eastAsiaTheme="minorEastAsia"/>
        </w:rPr>
        <w:t>.</w:t>
      </w:r>
    </w:p>
    <w:p w14:paraId="01A8ED9C" w14:textId="48BC87B6" w:rsidR="00DD546B" w:rsidRDefault="00DD546B" w:rsidP="00DD546B">
      <w:pPr>
        <w:spacing w:after="0" w:line="480" w:lineRule="auto"/>
        <w:jc w:val="center"/>
        <w:rPr>
          <w:rFonts w:eastAsiaTheme="minorEastAsia"/>
        </w:rPr>
      </w:pPr>
      <w:r>
        <w:rPr>
          <w:noProof/>
        </w:rPr>
        <w:drawing>
          <wp:inline distT="0" distB="0" distL="0" distR="0" wp14:anchorId="03AF3B25" wp14:editId="162E214D">
            <wp:extent cx="4122000" cy="2888962"/>
            <wp:effectExtent l="0" t="0" r="0" b="6985"/>
            <wp:docPr id="1726661117" name="Picture 1" descr="A diagram of a blue tri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61117" name="Picture 1" descr="A diagram of a blue triangle&#10;&#10;AI-generated content may be incorrect."/>
                    <pic:cNvPicPr/>
                  </pic:nvPicPr>
                  <pic:blipFill>
                    <a:blip r:embed="rId10"/>
                    <a:stretch>
                      <a:fillRect/>
                    </a:stretch>
                  </pic:blipFill>
                  <pic:spPr>
                    <a:xfrm>
                      <a:off x="0" y="0"/>
                      <a:ext cx="4122000" cy="2888962"/>
                    </a:xfrm>
                    <a:prstGeom prst="rect">
                      <a:avLst/>
                    </a:prstGeom>
                  </pic:spPr>
                </pic:pic>
              </a:graphicData>
            </a:graphic>
          </wp:inline>
        </w:drawing>
      </w:r>
    </w:p>
    <w:p w14:paraId="687BD4D6" w14:textId="1D41EDB7" w:rsidR="00DD546B" w:rsidRPr="000D52DC" w:rsidRDefault="00DD546B" w:rsidP="00DD546B">
      <w:pPr>
        <w:spacing w:line="480" w:lineRule="auto"/>
        <w:jc w:val="center"/>
        <w:rPr>
          <w:rFonts w:eastAsiaTheme="minorEastAsia"/>
          <w:i/>
          <w:iCs/>
        </w:rPr>
      </w:pPr>
      <w:r w:rsidRPr="000D52DC">
        <w:rPr>
          <w:rFonts w:eastAsiaTheme="minorEastAsia"/>
          <w:i/>
          <w:iCs/>
        </w:rPr>
        <w:t xml:space="preserve">Figure </w:t>
      </w:r>
      <w:r>
        <w:rPr>
          <w:rFonts w:eastAsiaTheme="minorEastAsia"/>
          <w:i/>
          <w:iCs/>
        </w:rPr>
        <w:t>2</w:t>
      </w:r>
    </w:p>
    <w:p w14:paraId="2E63B9FB" w14:textId="2BE48190" w:rsidR="00DD546B" w:rsidRDefault="00DD546B" w:rsidP="00DD546B">
      <w:pPr>
        <w:spacing w:line="480" w:lineRule="auto"/>
        <w:rPr>
          <w:rFonts w:eastAsiaTheme="minorEastAsia"/>
        </w:rPr>
      </w:pPr>
      <w:r>
        <w:rPr>
          <w:rFonts w:eastAsiaTheme="minorEastAsia"/>
        </w:rPr>
        <w:t xml:space="preserve">Finally, </w:t>
      </w:r>
      <w:r w:rsidR="00DE6195">
        <w:rPr>
          <w:rFonts w:eastAsiaTheme="minorEastAsia"/>
        </w:rPr>
        <w:t xml:space="preserve">different </w:t>
      </w:r>
      <w:r>
        <w:rPr>
          <w:rFonts w:eastAsiaTheme="minorEastAsia"/>
        </w:rPr>
        <w:t>production techniques can generate a convex PPF. For example, if labour could be spent according to two different production techniques:</w:t>
      </w:r>
    </w:p>
    <w:p w14:paraId="4E4BDC6A" w14:textId="684F2E91" w:rsidR="00DD546B" w:rsidRPr="00DD546B" w:rsidRDefault="00000000" w:rsidP="00DD546B">
      <w:pPr>
        <w:spacing w:line="480" w:lineRule="auto"/>
        <w:jc w:val="cente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5x+20y=500#</m:t>
              </m:r>
              <m:d>
                <m:dPr>
                  <m:ctrlPr>
                    <w:rPr>
                      <w:rFonts w:ascii="Cambria Math" w:eastAsiaTheme="minorEastAsia" w:hAnsi="Cambria Math"/>
                      <w:i/>
                    </w:rPr>
                  </m:ctrlPr>
                </m:dPr>
                <m:e>
                  <m:r>
                    <w:rPr>
                      <w:rFonts w:ascii="Cambria Math" w:eastAsiaTheme="minorEastAsia" w:hAnsi="Cambria Math"/>
                    </w:rPr>
                    <m:t>5</m:t>
                  </m:r>
                </m:e>
              </m:d>
            </m:e>
          </m:eqArr>
        </m:oMath>
      </m:oMathPara>
    </w:p>
    <w:p w14:paraId="4AFD2FD1" w14:textId="7EA63828" w:rsidR="00DD546B" w:rsidRPr="00DD546B" w:rsidRDefault="00000000" w:rsidP="00DD546B">
      <w:pPr>
        <w:spacing w:line="480" w:lineRule="auto"/>
        <w:jc w:val="cente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15x+10y=500#</m:t>
              </m:r>
              <m:d>
                <m:dPr>
                  <m:ctrlPr>
                    <w:rPr>
                      <w:rFonts w:ascii="Cambria Math" w:eastAsiaTheme="minorEastAsia" w:hAnsi="Cambria Math"/>
                      <w:i/>
                    </w:rPr>
                  </m:ctrlPr>
                </m:dPr>
                <m:e>
                  <m:r>
                    <w:rPr>
                      <w:rFonts w:ascii="Cambria Math" w:eastAsiaTheme="minorEastAsia" w:hAnsi="Cambria Math"/>
                    </w:rPr>
                    <m:t>6</m:t>
                  </m:r>
                </m:e>
              </m:d>
            </m:e>
          </m:eqArr>
        </m:oMath>
      </m:oMathPara>
    </w:p>
    <w:p w14:paraId="73364676" w14:textId="784B3233" w:rsidR="00DD546B" w:rsidRDefault="006905EA" w:rsidP="000D52DC">
      <w:pPr>
        <w:spacing w:line="480" w:lineRule="auto"/>
        <w:rPr>
          <w:rFonts w:eastAsiaTheme="minorEastAsia"/>
        </w:rPr>
      </w:pPr>
      <w:r>
        <w:rPr>
          <w:rFonts w:eastAsiaTheme="minorEastAsia"/>
        </w:rPr>
        <w:t>We would achieve the PPF in figure 3 (Varian, 2014, p. 641).</w:t>
      </w:r>
    </w:p>
    <w:p w14:paraId="312DE7FF" w14:textId="50F93363" w:rsidR="006905EA" w:rsidRDefault="000D076B" w:rsidP="006905EA">
      <w:pPr>
        <w:spacing w:line="480" w:lineRule="auto"/>
        <w:jc w:val="center"/>
        <w:rPr>
          <w:rFonts w:eastAsiaTheme="minorEastAsia"/>
        </w:rPr>
      </w:pPr>
      <w:r>
        <w:rPr>
          <w:noProof/>
        </w:rPr>
        <w:lastRenderedPageBreak/>
        <w:drawing>
          <wp:inline distT="0" distB="0" distL="0" distR="0" wp14:anchorId="033537B5" wp14:editId="6549E877">
            <wp:extent cx="5379111" cy="1889185"/>
            <wp:effectExtent l="0" t="0" r="0" b="0"/>
            <wp:docPr id="2098961216"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61216" name="Picture 1" descr="A graph of a function&#10;&#10;AI-generated content may be incorrect."/>
                    <pic:cNvPicPr/>
                  </pic:nvPicPr>
                  <pic:blipFill>
                    <a:blip r:embed="rId11"/>
                    <a:stretch>
                      <a:fillRect/>
                    </a:stretch>
                  </pic:blipFill>
                  <pic:spPr>
                    <a:xfrm>
                      <a:off x="0" y="0"/>
                      <a:ext cx="5405414" cy="1898423"/>
                    </a:xfrm>
                    <a:prstGeom prst="rect">
                      <a:avLst/>
                    </a:prstGeom>
                  </pic:spPr>
                </pic:pic>
              </a:graphicData>
            </a:graphic>
          </wp:inline>
        </w:drawing>
      </w:r>
    </w:p>
    <w:p w14:paraId="047B9B1A" w14:textId="14F9DB09" w:rsidR="006905EA" w:rsidRDefault="006905EA" w:rsidP="006905EA">
      <w:pPr>
        <w:spacing w:line="480" w:lineRule="auto"/>
        <w:jc w:val="center"/>
        <w:rPr>
          <w:rFonts w:eastAsiaTheme="minorEastAsia"/>
          <w:i/>
          <w:iCs/>
        </w:rPr>
      </w:pPr>
      <w:r>
        <w:rPr>
          <w:rFonts w:eastAsiaTheme="minorEastAsia"/>
          <w:i/>
          <w:iCs/>
        </w:rPr>
        <w:t>Figure 3</w:t>
      </w:r>
    </w:p>
    <w:p w14:paraId="3157EB2F" w14:textId="14E64AA9" w:rsidR="006905EA" w:rsidRDefault="006905EA" w:rsidP="006905EA">
      <w:pPr>
        <w:pStyle w:val="Heading2"/>
        <w:spacing w:line="480" w:lineRule="auto"/>
      </w:pPr>
      <w:r w:rsidRPr="00CA761B">
        <w:t>Question 1.i</w:t>
      </w:r>
      <w:r>
        <w:t>i</w:t>
      </w:r>
    </w:p>
    <w:p w14:paraId="35402FB5" w14:textId="4D811A2E" w:rsidR="006905EA" w:rsidRDefault="006905EA" w:rsidP="006905EA">
      <w:pPr>
        <w:spacing w:line="480" w:lineRule="auto"/>
        <w:rPr>
          <w:rFonts w:eastAsiaTheme="minorEastAsia"/>
        </w:rPr>
      </w:pPr>
      <w:r>
        <w:rPr>
          <w:rFonts w:eastAsiaTheme="minorEastAsia"/>
        </w:rPr>
        <w:t>The top-level Pareto optimality condition is:</w:t>
      </w:r>
    </w:p>
    <w:p w14:paraId="7FFBE324" w14:textId="7D45D888" w:rsidR="006905EA" w:rsidRPr="006905EA" w:rsidRDefault="00000000" w:rsidP="006905EA">
      <w:pPr>
        <w:spacing w:line="480" w:lineRule="auto"/>
        <w:jc w:val="cente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MR</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y,x</m:t>
                  </m:r>
                </m:sub>
                <m:sup>
                  <m:r>
                    <w:rPr>
                      <w:rFonts w:ascii="Cambria Math" w:eastAsiaTheme="minorEastAsia" w:hAnsi="Cambria Math"/>
                    </w:rPr>
                    <m:t>All Consumers</m:t>
                  </m:r>
                </m:sup>
              </m:sSubSup>
              <m:r>
                <w:rPr>
                  <w:rFonts w:ascii="Cambria Math" w:eastAsiaTheme="minorEastAsia" w:hAnsi="Cambria Math"/>
                </w:rPr>
                <m:t>=MR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x,y</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y</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e>
          </m:eqArr>
        </m:oMath>
      </m:oMathPara>
    </w:p>
    <w:p w14:paraId="4D605480" w14:textId="66EB90DF" w:rsidR="006905EA" w:rsidRDefault="00DE6195" w:rsidP="006905EA">
      <w:pPr>
        <w:spacing w:line="480" w:lineRule="auto"/>
        <w:rPr>
          <w:rFonts w:eastAsiaTheme="minorEastAsia"/>
        </w:rPr>
      </w:pPr>
      <w:r>
        <w:rPr>
          <w:rFonts w:eastAsiaTheme="minorEastAsia"/>
        </w:rPr>
        <w:t>W</w:t>
      </w:r>
      <w:r w:rsidR="006905EA">
        <w:rPr>
          <w:rFonts w:eastAsiaTheme="minorEastAsia"/>
        </w:rPr>
        <w:t xml:space="preserve">e know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r>
          <w:rPr>
            <w:rFonts w:ascii="Cambria Math" w:eastAsiaTheme="minorEastAsia" w:hAnsi="Cambria Math"/>
          </w:rPr>
          <m:t>=5</m:t>
        </m:r>
      </m:oMath>
      <w:r w:rsidR="006905EA">
        <w:rPr>
          <w:rFonts w:eastAsiaTheme="minorEastAsia"/>
        </w:rPr>
        <w:t xml:space="preserve"> and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y</m:t>
            </m:r>
          </m:sub>
        </m:sSub>
        <m:r>
          <w:rPr>
            <w:rFonts w:ascii="Cambria Math" w:eastAsiaTheme="minorEastAsia" w:hAnsi="Cambria Math"/>
          </w:rPr>
          <m:t>=20</m:t>
        </m:r>
      </m:oMath>
      <w:r w:rsidR="006905EA">
        <w:rPr>
          <w:rFonts w:eastAsiaTheme="minorEastAsia"/>
        </w:rPr>
        <w:t>.</w:t>
      </w:r>
    </w:p>
    <w:p w14:paraId="6AAA15A2" w14:textId="27AA85B8" w:rsidR="006905EA" w:rsidRDefault="006905EA" w:rsidP="006905EA">
      <w:pPr>
        <w:spacing w:line="480" w:lineRule="auto"/>
        <w:rPr>
          <w:rFonts w:eastAsiaTheme="minorEastAsia"/>
        </w:rPr>
      </w:pPr>
      <w:r>
        <w:rPr>
          <w:rFonts w:eastAsiaTheme="minorEastAsia"/>
        </w:rPr>
        <w:t xml:space="preserve">Solving for </w:t>
      </w:r>
      <m:oMath>
        <m:r>
          <w:rPr>
            <w:rFonts w:ascii="Cambria Math" w:eastAsiaTheme="minorEastAsia" w:hAnsi="Cambria Math"/>
          </w:rPr>
          <m:t>MR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x,y</m:t>
            </m:r>
          </m:sub>
        </m:sSub>
      </m:oMath>
      <w:r>
        <w:rPr>
          <w:rFonts w:eastAsiaTheme="minorEastAsia"/>
        </w:rPr>
        <w:t>:</w:t>
      </w:r>
    </w:p>
    <w:p w14:paraId="33C24233" w14:textId="3E725EBE" w:rsidR="006905EA" w:rsidRPr="006905EA" w:rsidRDefault="00000000" w:rsidP="006905EA">
      <w:pPr>
        <w:spacing w:line="480" w:lineRule="auto"/>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MR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x,y</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y</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e>
          </m:eqArr>
        </m:oMath>
      </m:oMathPara>
    </w:p>
    <w:p w14:paraId="78376906" w14:textId="05AA2221" w:rsidR="006905EA" w:rsidRDefault="006905EA" w:rsidP="006905EA">
      <w:pPr>
        <w:spacing w:line="480" w:lineRule="auto"/>
        <w:rPr>
          <w:rFonts w:eastAsiaTheme="minorEastAsia"/>
        </w:rPr>
      </w:pPr>
      <w:r>
        <w:rPr>
          <w:rFonts w:eastAsiaTheme="minorEastAsia"/>
        </w:rPr>
        <w:t xml:space="preserve">Setting </w:t>
      </w:r>
      <m:oMath>
        <m:r>
          <w:rPr>
            <w:rFonts w:ascii="Cambria Math" w:eastAsiaTheme="minorEastAsia" w:hAnsi="Cambria Math"/>
          </w:rPr>
          <m:t>MRS=MRT</m:t>
        </m:r>
      </m:oMath>
      <w:r>
        <w:rPr>
          <w:rFonts w:eastAsiaTheme="minorEastAsia"/>
        </w:rPr>
        <w:t xml:space="preserve"> </w:t>
      </w:r>
      <w:r w:rsidR="00DE6195">
        <w:rPr>
          <w:rFonts w:eastAsiaTheme="minorEastAsia"/>
        </w:rPr>
        <w:t>to fulfil (1)</w:t>
      </w:r>
      <w:r>
        <w:rPr>
          <w:rFonts w:eastAsiaTheme="minorEastAsia"/>
        </w:rPr>
        <w:t>, we find:</w:t>
      </w:r>
    </w:p>
    <w:p w14:paraId="5CF3BF23" w14:textId="0DF88646" w:rsidR="006905EA" w:rsidRPr="006905EA" w:rsidRDefault="00000000" w:rsidP="006905EA">
      <w:pPr>
        <w:spacing w:line="480" w:lineRule="auto"/>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MRS=</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∂y</m:t>
                  </m:r>
                </m:den>
              </m:f>
              <m:r>
                <w:rPr>
                  <w:rFonts w:ascii="Cambria Math" w:eastAsiaTheme="minorEastAsia" w:hAnsi="Cambria Math"/>
                </w:rPr>
                <m:t>=MRT=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e>
              </m:d>
            </m:e>
          </m:eqArr>
        </m:oMath>
      </m:oMathPara>
    </w:p>
    <w:p w14:paraId="48D82383" w14:textId="4811A5FC" w:rsidR="006905EA" w:rsidRDefault="006905EA" w:rsidP="006905EA">
      <w:pPr>
        <w:spacing w:line="480" w:lineRule="auto"/>
        <w:rPr>
          <w:rFonts w:eastAsiaTheme="minorEastAsia"/>
        </w:rPr>
      </w:pPr>
      <w:r>
        <w:rPr>
          <w:rFonts w:eastAsiaTheme="minorEastAsia"/>
        </w:rPr>
        <w:t xml:space="preserve">Given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0.6</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0.4</m:t>
            </m:r>
          </m:sup>
        </m:sSup>
      </m:oMath>
      <w:r>
        <w:rPr>
          <w:rFonts w:eastAsiaTheme="minorEastAsia"/>
        </w:rPr>
        <w:t>,</w:t>
      </w:r>
    </w:p>
    <w:p w14:paraId="358CB3C1" w14:textId="760D4C76" w:rsidR="006905EA" w:rsidRPr="006905EA" w:rsidRDefault="00000000" w:rsidP="006905EA">
      <w:pPr>
        <w:spacing w:line="480" w:lineRule="auto"/>
        <w:rPr>
          <w:rFonts w:eastAsiaTheme="minorEastAsia"/>
        </w:rPr>
      </w:pPr>
      <m:oMathPara>
        <m:oMath>
          <m:eqArr>
            <m:eqArrPr>
              <m:maxDist m:val="1"/>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∂x</m:t>
                  </m:r>
                </m:den>
              </m:f>
              <m:r>
                <w:rPr>
                  <w:rFonts w:ascii="Cambria Math" w:eastAsiaTheme="minorEastAsia" w:hAnsi="Cambria Math"/>
                </w:rPr>
                <m:t>=0.6</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e>
                  </m:d>
                </m:e>
                <m:sup>
                  <m:r>
                    <w:rPr>
                      <w:rFonts w:ascii="Cambria Math" w:eastAsiaTheme="minorEastAsia" w:hAnsi="Cambria Math"/>
                    </w:rPr>
                    <m:t>0.4</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e>
              </m:d>
            </m:e>
          </m:eqArr>
        </m:oMath>
      </m:oMathPara>
    </w:p>
    <w:p w14:paraId="1661A4EF" w14:textId="3FFE6055" w:rsidR="006905EA" w:rsidRPr="006905EA" w:rsidRDefault="00000000" w:rsidP="006905EA">
      <w:pPr>
        <w:spacing w:line="480" w:lineRule="auto"/>
        <w:rPr>
          <w:rFonts w:eastAsiaTheme="minorEastAsia"/>
        </w:rPr>
      </w:pPr>
      <m:oMathPara>
        <m:oMath>
          <m:eqArr>
            <m:eqArrPr>
              <m:maxDist m:val="1"/>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∂y</m:t>
                  </m:r>
                </m:den>
              </m:f>
              <m:r>
                <w:rPr>
                  <w:rFonts w:ascii="Cambria Math" w:eastAsiaTheme="minorEastAsia" w:hAnsi="Cambria Math"/>
                </w:rPr>
                <m:t>=0.4</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y</m:t>
                          </m:r>
                        </m:den>
                      </m:f>
                    </m:e>
                  </m:d>
                </m:e>
                <m:sup>
                  <m:r>
                    <w:rPr>
                      <w:rFonts w:ascii="Cambria Math" w:eastAsiaTheme="minorEastAsia" w:hAnsi="Cambria Math"/>
                    </w:rPr>
                    <m:t>0.6</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m:t>
                  </m:r>
                </m:e>
              </m:d>
            </m:e>
          </m:eqArr>
        </m:oMath>
      </m:oMathPara>
    </w:p>
    <w:p w14:paraId="2FA8BD22" w14:textId="05C3FEC7" w:rsidR="006905EA" w:rsidRDefault="009525B4" w:rsidP="006905EA">
      <w:pPr>
        <w:spacing w:line="480" w:lineRule="auto"/>
        <w:rPr>
          <w:rFonts w:eastAsiaTheme="minorEastAsia"/>
        </w:rPr>
      </w:pPr>
      <w:r>
        <w:rPr>
          <w:rFonts w:eastAsiaTheme="minorEastAsia"/>
        </w:rPr>
        <w:lastRenderedPageBreak/>
        <w:t>Dividing</w:t>
      </w:r>
      <w:r w:rsidR="004B13A6">
        <w:rPr>
          <w:rFonts w:eastAsiaTheme="minorEastAsia"/>
        </w:rPr>
        <w:t xml:space="preserve"> (4) by (5)</w:t>
      </w:r>
      <w:r w:rsidR="00501DD5">
        <w:rPr>
          <w:rFonts w:eastAsiaTheme="minorEastAsia"/>
        </w:rPr>
        <w:t>, we get:</w:t>
      </w:r>
    </w:p>
    <w:p w14:paraId="3EE40CD4" w14:textId="5CDE9977" w:rsidR="00501DD5" w:rsidRPr="00501DD5" w:rsidRDefault="00000000" w:rsidP="006905EA">
      <w:pPr>
        <w:spacing w:line="480" w:lineRule="auto"/>
        <w:rPr>
          <w:rFonts w:eastAsiaTheme="minorEastAsia"/>
        </w:rPr>
      </w:pPr>
      <m:oMathPara>
        <m:oMath>
          <m:eqArr>
            <m:eqArrPr>
              <m:maxDist m:val="1"/>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0.6</m:t>
                  </m:r>
                </m:num>
                <m:den>
                  <m:r>
                    <w:rPr>
                      <w:rFonts w:ascii="Cambria Math" w:eastAsiaTheme="minorEastAsia" w:hAnsi="Cambria Math"/>
                    </w:rPr>
                    <m:t>0.4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m:t>
                  </m:r>
                </m:e>
              </m:d>
            </m:e>
          </m:eqArr>
        </m:oMath>
      </m:oMathPara>
    </w:p>
    <w:p w14:paraId="1E874A12" w14:textId="2BB5CB5F" w:rsidR="00501DD5" w:rsidRDefault="00501DD5" w:rsidP="006905EA">
      <w:pPr>
        <w:spacing w:line="480" w:lineRule="auto"/>
        <w:rPr>
          <w:rFonts w:eastAsiaTheme="minorEastAsia"/>
        </w:rPr>
      </w:pPr>
      <w:r>
        <w:rPr>
          <w:rFonts w:eastAsiaTheme="minorEastAsia"/>
        </w:rPr>
        <w:t xml:space="preserve">Substituting </w:t>
      </w:r>
      <m:oMath>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→(3)</m:t>
        </m:r>
      </m:oMath>
      <w:r>
        <w:rPr>
          <w:rFonts w:eastAsiaTheme="minorEastAsia"/>
        </w:rPr>
        <w:t>, we get:</w:t>
      </w:r>
    </w:p>
    <w:p w14:paraId="72082675" w14:textId="7E7BAA1D" w:rsidR="00501DD5" w:rsidRPr="00501DD5" w:rsidRDefault="00000000" w:rsidP="006905EA">
      <w:pPr>
        <w:spacing w:line="48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0.6</m:t>
              </m:r>
            </m:num>
            <m:den>
              <m:r>
                <w:rPr>
                  <w:rFonts w:ascii="Cambria Math" w:eastAsiaTheme="minorEastAsia" w:hAnsi="Cambria Math"/>
                </w:rPr>
                <m:t>0.4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m:oMathPara>
    </w:p>
    <w:p w14:paraId="34A71646" w14:textId="7B3DC0EE" w:rsidR="00501DD5" w:rsidRPr="00501DD5" w:rsidRDefault="00000000" w:rsidP="006905EA">
      <w:pPr>
        <w:spacing w:line="48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3y</m:t>
              </m:r>
            </m:num>
            <m:den>
              <m:r>
                <w:rPr>
                  <w:rFonts w:ascii="Cambria Math" w:eastAsiaTheme="minorEastAsia" w:hAnsi="Cambria Math"/>
                </w:rPr>
                <m:t>2x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m:oMathPara>
    </w:p>
    <w:p w14:paraId="4A1B3A2C" w14:textId="1897D4E1" w:rsidR="00501DD5" w:rsidRPr="00501DD5" w:rsidRDefault="00501DD5" w:rsidP="006905EA">
      <w:pPr>
        <w:spacing w:line="480" w:lineRule="auto"/>
        <w:rPr>
          <w:rFonts w:eastAsiaTheme="minorEastAsia"/>
        </w:rPr>
      </w:pPr>
      <m:oMathPara>
        <m:oMath>
          <m:r>
            <w:rPr>
              <w:rFonts w:ascii="Cambria Math" w:eastAsiaTheme="minorEastAsia" w:hAnsi="Cambria Math"/>
            </w:rPr>
            <m:t>12y=2x</m:t>
          </m:r>
        </m:oMath>
      </m:oMathPara>
    </w:p>
    <w:p w14:paraId="79CB0365" w14:textId="4F4520A4" w:rsidR="00501DD5" w:rsidRPr="00501DD5" w:rsidRDefault="00000000" w:rsidP="006905EA">
      <w:pPr>
        <w:spacing w:line="480" w:lineRule="auto"/>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7</m:t>
                  </m:r>
                </m:e>
              </m:d>
            </m:e>
          </m:eqArr>
        </m:oMath>
      </m:oMathPara>
    </w:p>
    <w:p w14:paraId="6B22128B" w14:textId="1B729585" w:rsidR="00501DD5" w:rsidRDefault="00501DD5" w:rsidP="006905EA">
      <w:pPr>
        <w:spacing w:line="480" w:lineRule="auto"/>
        <w:rPr>
          <w:rFonts w:eastAsiaTheme="minorEastAsia"/>
        </w:rPr>
      </w:pPr>
      <w:r>
        <w:rPr>
          <w:rFonts w:eastAsiaTheme="minorEastAsia"/>
        </w:rPr>
        <w:t>Finally,</w:t>
      </w:r>
      <w:r w:rsidR="004B13A6">
        <w:rPr>
          <w:rFonts w:eastAsiaTheme="minorEastAsia"/>
        </w:rPr>
        <w:t xml:space="preserve"> substituting</w:t>
      </w:r>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7</m:t>
            </m:r>
          </m:e>
        </m:d>
        <m:r>
          <w:rPr>
            <w:rFonts w:ascii="Cambria Math" w:eastAsiaTheme="minorEastAsia" w:hAnsi="Cambria Math"/>
          </w:rPr>
          <m:t>→(8)</m:t>
        </m:r>
      </m:oMath>
      <w:r w:rsidR="004B13A6">
        <w:rPr>
          <w:rFonts w:eastAsiaTheme="minorEastAsia"/>
        </w:rPr>
        <w:t>,</w:t>
      </w:r>
    </w:p>
    <w:p w14:paraId="33475E5D" w14:textId="2ED9B455" w:rsidR="00501DD5" w:rsidRPr="00501DD5" w:rsidRDefault="00000000" w:rsidP="006905EA">
      <w:pPr>
        <w:spacing w:line="480" w:lineRule="auto"/>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5x+20y=1000#</m:t>
              </m:r>
              <m:d>
                <m:dPr>
                  <m:ctrlPr>
                    <w:rPr>
                      <w:rFonts w:ascii="Cambria Math" w:eastAsiaTheme="minorEastAsia" w:hAnsi="Cambria Math"/>
                      <w:i/>
                    </w:rPr>
                  </m:ctrlPr>
                </m:dPr>
                <m:e>
                  <m:r>
                    <w:rPr>
                      <w:rFonts w:ascii="Cambria Math" w:eastAsiaTheme="minorEastAsia" w:hAnsi="Cambria Math"/>
                    </w:rPr>
                    <m:t>8</m:t>
                  </m:r>
                </m:e>
              </m:d>
            </m:e>
          </m:eqArr>
        </m:oMath>
      </m:oMathPara>
    </w:p>
    <w:p w14:paraId="383F80AD" w14:textId="5152CE53" w:rsidR="00501DD5" w:rsidRDefault="00501DD5" w:rsidP="006905EA">
      <w:pPr>
        <w:spacing w:line="480" w:lineRule="auto"/>
        <w:rPr>
          <w:rFonts w:eastAsiaTheme="minorEastAsia"/>
        </w:rPr>
      </w:pPr>
      <w:r>
        <w:rPr>
          <w:rFonts w:eastAsiaTheme="minorEastAsia"/>
        </w:rPr>
        <w:t>Gives</w:t>
      </w:r>
      <w:r w:rsidR="004B13A6">
        <w:rPr>
          <w:rFonts w:eastAsiaTheme="minorEastAsia"/>
        </w:rPr>
        <w:t xml:space="preserve"> (9)</w:t>
      </w:r>
      <w:r>
        <w:rPr>
          <w:rFonts w:eastAsiaTheme="minorEastAsia"/>
        </w:rPr>
        <w:t>:</w:t>
      </w:r>
    </w:p>
    <w:p w14:paraId="604CA24A" w14:textId="55775750" w:rsidR="00501DD5" w:rsidRPr="00501DD5" w:rsidRDefault="00501DD5" w:rsidP="006905EA">
      <w:pPr>
        <w:spacing w:line="480" w:lineRule="auto"/>
        <w:rPr>
          <w:rFonts w:eastAsiaTheme="minorEastAsia"/>
        </w:rPr>
      </w:pPr>
      <m:oMathPara>
        <m:oMath>
          <m:r>
            <w:rPr>
              <w:rFonts w:ascii="Cambria Math" w:eastAsiaTheme="minorEastAsia" w:hAnsi="Cambria Math"/>
            </w:rPr>
            <m:t>5x+20</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x</m:t>
              </m:r>
            </m:e>
          </m:d>
          <m:r>
            <w:rPr>
              <w:rFonts w:ascii="Cambria Math" w:eastAsiaTheme="minorEastAsia" w:hAnsi="Cambria Math"/>
            </w:rPr>
            <m:t>=1000</m:t>
          </m:r>
        </m:oMath>
      </m:oMathPara>
    </w:p>
    <w:p w14:paraId="59115406" w14:textId="7DA29DE0" w:rsidR="00501DD5" w:rsidRPr="00501DD5" w:rsidRDefault="00501DD5" w:rsidP="006905EA">
      <w:pPr>
        <w:spacing w:line="480" w:lineRule="auto"/>
        <w:rPr>
          <w:rFonts w:eastAsiaTheme="minorEastAsia"/>
        </w:rPr>
      </w:pPr>
      <m:oMathPara>
        <m:oMath>
          <m:r>
            <w:rPr>
              <w:rFonts w:ascii="Cambria Math" w:eastAsiaTheme="minorEastAsia" w:hAnsi="Cambria Math"/>
            </w:rPr>
            <m:t>5x+3.33x=1000</m:t>
          </m:r>
        </m:oMath>
      </m:oMathPara>
    </w:p>
    <w:p w14:paraId="2CD00992" w14:textId="13B02D5E" w:rsidR="00501DD5" w:rsidRPr="00501DD5" w:rsidRDefault="00501DD5" w:rsidP="006905EA">
      <w:pPr>
        <w:spacing w:line="480" w:lineRule="auto"/>
        <w:rPr>
          <w:rFonts w:eastAsiaTheme="minorEastAsia"/>
        </w:rPr>
      </w:pPr>
      <m:oMathPara>
        <m:oMath>
          <m:r>
            <w:rPr>
              <w:rFonts w:ascii="Cambria Math" w:eastAsiaTheme="minorEastAsia" w:hAnsi="Cambria Math"/>
            </w:rPr>
            <m:t>8.33x=1000</m:t>
          </m:r>
        </m:oMath>
      </m:oMathPara>
    </w:p>
    <w:p w14:paraId="43C4E77D" w14:textId="00306B23" w:rsidR="00501DD5" w:rsidRPr="00501DD5" w:rsidRDefault="00000000" w:rsidP="006905EA">
      <w:pPr>
        <w:spacing w:line="480" w:lineRule="auto"/>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x≈120#</m:t>
              </m:r>
              <m:d>
                <m:dPr>
                  <m:ctrlPr>
                    <w:rPr>
                      <w:rFonts w:ascii="Cambria Math" w:eastAsiaTheme="minorEastAsia" w:hAnsi="Cambria Math"/>
                      <w:i/>
                    </w:rPr>
                  </m:ctrlPr>
                </m:dPr>
                <m:e>
                  <m:r>
                    <w:rPr>
                      <w:rFonts w:ascii="Cambria Math" w:eastAsiaTheme="minorEastAsia" w:hAnsi="Cambria Math"/>
                    </w:rPr>
                    <m:t>9</m:t>
                  </m:r>
                </m:e>
              </m:d>
            </m:e>
          </m:eqArr>
        </m:oMath>
      </m:oMathPara>
    </w:p>
    <w:p w14:paraId="3D2AE982" w14:textId="7AA2F3BD" w:rsidR="00501DD5" w:rsidRDefault="00501DD5" w:rsidP="006905EA">
      <w:pPr>
        <w:spacing w:line="480" w:lineRule="auto"/>
        <w:rPr>
          <w:rFonts w:eastAsiaTheme="minorEastAsia"/>
        </w:rPr>
      </w:pPr>
      <w:r>
        <w:rPr>
          <w:rFonts w:eastAsiaTheme="minorEastAsia"/>
        </w:rPr>
        <w:t xml:space="preserve">And substituting </w:t>
      </w:r>
      <m:oMath>
        <m:d>
          <m:dPr>
            <m:ctrlPr>
              <w:rPr>
                <w:rFonts w:ascii="Cambria Math" w:eastAsiaTheme="minorEastAsia" w:hAnsi="Cambria Math"/>
                <w:i/>
              </w:rPr>
            </m:ctrlPr>
          </m:dPr>
          <m:e>
            <m:r>
              <w:rPr>
                <w:rFonts w:ascii="Cambria Math" w:eastAsiaTheme="minorEastAsia" w:hAnsi="Cambria Math"/>
              </w:rPr>
              <m:t>9</m:t>
            </m:r>
          </m:e>
        </m:d>
        <m:r>
          <w:rPr>
            <w:rFonts w:ascii="Cambria Math" w:eastAsiaTheme="minorEastAsia" w:hAnsi="Cambria Math"/>
          </w:rPr>
          <m:t>→(7)</m:t>
        </m:r>
      </m:oMath>
      <w:r>
        <w:rPr>
          <w:rFonts w:eastAsiaTheme="minorEastAsia"/>
        </w:rPr>
        <w:t>,</w:t>
      </w:r>
    </w:p>
    <w:p w14:paraId="7FC8A433" w14:textId="6FD38067" w:rsidR="00501DD5" w:rsidRPr="00501DD5" w:rsidRDefault="00501DD5" w:rsidP="006905EA">
      <w:pPr>
        <w:spacing w:line="480" w:lineRule="auto"/>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d>
            <m:dPr>
              <m:ctrlPr>
                <w:rPr>
                  <w:rFonts w:ascii="Cambria Math" w:eastAsiaTheme="minorEastAsia" w:hAnsi="Cambria Math"/>
                  <w:i/>
                </w:rPr>
              </m:ctrlPr>
            </m:dPr>
            <m:e>
              <m:r>
                <w:rPr>
                  <w:rFonts w:ascii="Cambria Math" w:eastAsiaTheme="minorEastAsia" w:hAnsi="Cambria Math"/>
                </w:rPr>
                <m:t>120</m:t>
              </m:r>
            </m:e>
          </m:d>
        </m:oMath>
      </m:oMathPara>
    </w:p>
    <w:p w14:paraId="4364FBE6" w14:textId="4EA85396" w:rsidR="00501DD5" w:rsidRPr="00501DD5" w:rsidRDefault="00501DD5" w:rsidP="006905EA">
      <w:pPr>
        <w:spacing w:line="480" w:lineRule="auto"/>
        <w:rPr>
          <w:rFonts w:eastAsiaTheme="minorEastAsia"/>
        </w:rPr>
      </w:pPr>
      <m:oMathPara>
        <m:oMath>
          <m:r>
            <w:rPr>
              <w:rFonts w:ascii="Cambria Math" w:eastAsiaTheme="minorEastAsia" w:hAnsi="Cambria Math"/>
            </w:rPr>
            <m:t>y=20</m:t>
          </m:r>
        </m:oMath>
      </m:oMathPara>
    </w:p>
    <w:p w14:paraId="2FBE203B" w14:textId="4FC4ACC1" w:rsidR="00501DD5" w:rsidRDefault="00501DD5" w:rsidP="006905EA">
      <w:pPr>
        <w:spacing w:line="480" w:lineRule="auto"/>
        <w:rPr>
          <w:rFonts w:eastAsiaTheme="minorEastAsia"/>
        </w:rPr>
      </w:pPr>
      <w:r>
        <w:rPr>
          <w:rFonts w:eastAsiaTheme="minorEastAsia"/>
        </w:rPr>
        <w:lastRenderedPageBreak/>
        <w:t xml:space="preserve">The Pareto optimal level of output is therefore </w:t>
      </w:r>
      <m:oMath>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=(120,20)</m:t>
        </m:r>
      </m:oMath>
      <w:r>
        <w:rPr>
          <w:rFonts w:eastAsiaTheme="minorEastAsia"/>
        </w:rPr>
        <w:t>.</w:t>
      </w:r>
    </w:p>
    <w:p w14:paraId="544547D9" w14:textId="1F430026" w:rsidR="00501DD5" w:rsidRDefault="00501DD5" w:rsidP="006905EA">
      <w:pPr>
        <w:spacing w:line="480" w:lineRule="auto"/>
        <w:rPr>
          <w:rFonts w:eastAsiaTheme="minorEastAsia"/>
        </w:rPr>
      </w:pPr>
      <w:r>
        <w:rPr>
          <w:rFonts w:eastAsiaTheme="minorEastAsia"/>
        </w:rPr>
        <w:t>The set of prices must satisfy</w:t>
      </w:r>
      <w:r w:rsidR="004B13A6">
        <w:rPr>
          <w:rFonts w:eastAsiaTheme="minorEastAsia"/>
        </w:rPr>
        <w:t xml:space="preserve"> (1), giving (10):</w:t>
      </w:r>
    </w:p>
    <w:p w14:paraId="2B792057" w14:textId="072C806F" w:rsidR="00501DD5" w:rsidRPr="00501DD5" w:rsidRDefault="00000000" w:rsidP="006905EA">
      <w:pPr>
        <w:spacing w:line="480" w:lineRule="auto"/>
        <w:rPr>
          <w:rFonts w:eastAsiaTheme="minorEastAsia"/>
        </w:rPr>
      </w:pPr>
      <m:oMathPara>
        <m:oMath>
          <m:eqArr>
            <m:eqArrPr>
              <m:maxDist m:val="1"/>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m:t>
                  </m:r>
                </m:e>
              </m:d>
            </m:e>
          </m:eqArr>
        </m:oMath>
      </m:oMathPara>
    </w:p>
    <w:p w14:paraId="28ED009E" w14:textId="47D6101F" w:rsidR="00501DD5" w:rsidRDefault="00501DD5" w:rsidP="006905EA">
      <w:pPr>
        <w:spacing w:line="480" w:lineRule="auto"/>
        <w:rPr>
          <w:rFonts w:eastAsiaTheme="minorEastAsia"/>
        </w:rPr>
      </w:pPr>
      <w:r>
        <w:rPr>
          <w:rFonts w:eastAsiaTheme="minorEastAsia"/>
        </w:rPr>
        <w:t>Therefore, the relative price becomes</w:t>
      </w:r>
      <w:r w:rsidR="000A2BCB">
        <w:rPr>
          <w:rFonts w:eastAsiaTheme="minorEastAsia"/>
        </w:rPr>
        <w:t xml:space="preserve"> is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oMath>
      <w:r>
        <w:rPr>
          <w:rFonts w:eastAsiaTheme="minorEastAsia"/>
        </w:rPr>
        <w:t>.</w:t>
      </w:r>
    </w:p>
    <w:p w14:paraId="01E3AD66" w14:textId="167FD276" w:rsidR="00501DD5" w:rsidRDefault="00501DD5" w:rsidP="00501DD5">
      <w:pPr>
        <w:pStyle w:val="Heading2"/>
        <w:spacing w:line="480" w:lineRule="auto"/>
      </w:pPr>
      <w:r w:rsidRPr="00CA761B">
        <w:t>Question 1.i</w:t>
      </w:r>
      <w:r>
        <w:t>ii</w:t>
      </w:r>
    </w:p>
    <w:p w14:paraId="2EB38695" w14:textId="57824E96" w:rsidR="00B10D13" w:rsidRDefault="00B10D13" w:rsidP="006905EA">
      <w:pPr>
        <w:spacing w:line="480" w:lineRule="auto"/>
        <w:rPr>
          <w:rFonts w:eastAsiaTheme="minorEastAsia"/>
        </w:rPr>
      </w:pPr>
      <w:r>
        <w:rPr>
          <w:rFonts w:eastAsiaTheme="minorEastAsia"/>
        </w:rPr>
        <w:t xml:space="preserve">Where good </w:t>
      </w:r>
      <m:oMath>
        <m:r>
          <w:rPr>
            <w:rFonts w:ascii="Cambria Math" w:eastAsiaTheme="minorEastAsia" w:hAnsi="Cambria Math"/>
          </w:rPr>
          <m:t>x</m:t>
        </m:r>
      </m:oMath>
      <w:r>
        <w:rPr>
          <w:rFonts w:eastAsiaTheme="minorEastAsia"/>
        </w:rPr>
        <w:t xml:space="preserve"> is produced by a monopolist,</w:t>
      </w:r>
      <w:r w:rsidR="000D076B">
        <w:rPr>
          <w:rFonts w:eastAsiaTheme="minorEastAsia"/>
        </w:rPr>
        <w:t xml:space="preserve"> the new </w:t>
      </w:r>
      <w:r w:rsidR="00353029">
        <w:rPr>
          <w:rFonts w:eastAsiaTheme="minorEastAsia"/>
        </w:rPr>
        <w:t xml:space="preserve">monopolistic </w:t>
      </w:r>
      <w:r w:rsidR="000D076B">
        <w:rPr>
          <w:rFonts w:eastAsiaTheme="minorEastAsia"/>
        </w:rPr>
        <w:t>price</w:t>
      </w: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x</m:t>
            </m:r>
          </m:sub>
          <m:sup>
            <m:r>
              <w:rPr>
                <w:rFonts w:ascii="Cambria Math" w:eastAsiaTheme="minorEastAsia" w:hAnsi="Cambria Math"/>
              </w:rPr>
              <m:t>'</m:t>
            </m:r>
          </m:sup>
        </m:sSubSup>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oMath>
      <w:r w:rsidR="00353029">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oMath>
      <w:r w:rsidR="00353029">
        <w:rPr>
          <w:rFonts w:eastAsiaTheme="minorEastAsia"/>
        </w:rPr>
        <w:t xml:space="preserve"> is the old competitive price.</w:t>
      </w:r>
      <w:r>
        <w:rPr>
          <w:rFonts w:eastAsiaTheme="minorEastAsia"/>
        </w:rPr>
        <w:t xml:space="preserve"> </w:t>
      </w:r>
      <w:r w:rsidR="00DE6195">
        <w:rPr>
          <w:rFonts w:eastAsiaTheme="minorEastAsia"/>
        </w:rPr>
        <w:t>The top-level condition (1)</w:t>
      </w:r>
      <w:r>
        <w:rPr>
          <w:rFonts w:eastAsiaTheme="minorEastAsia"/>
        </w:rPr>
        <w:t xml:space="preserve"> does not hold, because </w:t>
      </w:r>
      <m:oMath>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y</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x</m:t>
                </m:r>
              </m:sub>
              <m:sup>
                <m:r>
                  <w:rPr>
                    <w:rFonts w:ascii="Cambria Math" w:eastAsiaTheme="minorEastAsia" w:hAnsi="Cambria Math"/>
                  </w:rPr>
                  <m:t>'</m:t>
                </m:r>
              </m:sup>
            </m:sSub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den>
        </m:f>
      </m:oMath>
      <w:r>
        <w:rPr>
          <w:rFonts w:eastAsiaTheme="minorEastAsia"/>
        </w:rPr>
        <w:t>.</w:t>
      </w:r>
    </w:p>
    <w:p w14:paraId="4D19AD01" w14:textId="3FFCC03D" w:rsidR="00B10D13" w:rsidRPr="00B10D13" w:rsidRDefault="00000000" w:rsidP="00B10D13">
      <w:pPr>
        <w:spacing w:line="480" w:lineRule="auto"/>
        <w:jc w:val="cente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MR</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y,x</m:t>
                  </m:r>
                </m:sub>
                <m:sup>
                  <m:r>
                    <w:rPr>
                      <w:rFonts w:ascii="Cambria Math" w:eastAsiaTheme="minorEastAsia" w:hAnsi="Cambria Math"/>
                    </w:rPr>
                    <m:t>All Consumers</m:t>
                  </m:r>
                </m:sup>
              </m:sSubSup>
              <m:r>
                <w:rPr>
                  <w:rFonts w:ascii="Cambria Math" w:eastAsiaTheme="minorEastAsia" w:hAnsi="Cambria Math"/>
                </w:rPr>
                <m:t>=MR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x,y</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y</m:t>
                      </m:r>
                    </m:sub>
                  </m:sSub>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x</m:t>
                      </m:r>
                    </m:sub>
                    <m:sup>
                      <m:r>
                        <w:rPr>
                          <w:rFonts w:ascii="Cambria Math" w:eastAsiaTheme="minorEastAsia" w:hAnsi="Cambria Math"/>
                        </w:rPr>
                        <m:t>'</m:t>
                      </m:r>
                    </m:sup>
                  </m:sSub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e>
          </m:eqArr>
        </m:oMath>
      </m:oMathPara>
    </w:p>
    <w:p w14:paraId="79B38F86" w14:textId="0BDBD7B6" w:rsidR="00B10D13" w:rsidRDefault="00B10D13" w:rsidP="00B10D13">
      <w:pPr>
        <w:spacing w:line="480" w:lineRule="auto"/>
        <w:rPr>
          <w:rFonts w:eastAsiaTheme="minorEastAsia"/>
        </w:rPr>
      </w:pPr>
      <w:r>
        <w:rPr>
          <w:rFonts w:eastAsiaTheme="minorEastAsia"/>
        </w:rPr>
        <w:t xml:space="preserve">Because </w:t>
      </w:r>
      <w:r w:rsidR="000A2BCB">
        <w:rPr>
          <w:rFonts w:eastAsiaTheme="minorEastAsia"/>
        </w:rPr>
        <w:t>(1)</w:t>
      </w:r>
      <w:r>
        <w:rPr>
          <w:rFonts w:eastAsiaTheme="minorEastAsia"/>
        </w:rPr>
        <w:t xml:space="preserve"> is not satisfied, one implication for Pareto optimality and welfare is that we cannot be at a Pareto optimum level of output</w:t>
      </w:r>
      <w:r w:rsidR="00DE6195">
        <w:rPr>
          <w:rFonts w:eastAsiaTheme="minorEastAsia"/>
        </w:rPr>
        <w:t>; s</w:t>
      </w:r>
      <w:r>
        <w:rPr>
          <w:rFonts w:eastAsiaTheme="minorEastAsia"/>
        </w:rPr>
        <w:t>o</w:t>
      </w:r>
      <w:r w:rsidR="00DE6195">
        <w:rPr>
          <w:rFonts w:eastAsiaTheme="minorEastAsia"/>
        </w:rPr>
        <w:t>,</w:t>
      </w:r>
      <w:r>
        <w:rPr>
          <w:rFonts w:eastAsiaTheme="minorEastAsia"/>
        </w:rPr>
        <w:t xml:space="preserve"> welfare must be lower than in the Pareto optimum case where </w:t>
      </w:r>
      <m:oMath>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=(120,20)</m:t>
        </m:r>
      </m:oMath>
      <w:r>
        <w:rPr>
          <w:rFonts w:eastAsiaTheme="minorEastAsia"/>
        </w:rPr>
        <w:t>.</w:t>
      </w:r>
    </w:p>
    <w:p w14:paraId="7B84D9BE" w14:textId="689BCEC8" w:rsidR="00B00765" w:rsidRDefault="00A65E03" w:rsidP="00B10D13">
      <w:pPr>
        <w:spacing w:line="480" w:lineRule="auto"/>
        <w:rPr>
          <w:rFonts w:eastAsiaTheme="minorEastAsia"/>
        </w:rPr>
      </w:pPr>
      <w:r>
        <w:rPr>
          <w:rFonts w:eastAsiaTheme="minorEastAsia"/>
        </w:rPr>
        <w:t>The</w:t>
      </w:r>
      <w:r w:rsidR="00B00765">
        <w:rPr>
          <w:rFonts w:eastAsiaTheme="minorEastAsia"/>
        </w:rPr>
        <w:t xml:space="preserve"> PPF is described by </w:t>
      </w:r>
      <w:r w:rsidR="000A2BCB">
        <w:rPr>
          <w:rFonts w:eastAsiaTheme="minorEastAsia"/>
        </w:rPr>
        <w:t>(2).</w:t>
      </w:r>
    </w:p>
    <w:p w14:paraId="0FCAB5EA" w14:textId="28E8F165" w:rsidR="00B00765" w:rsidRPr="00B00765" w:rsidRDefault="00000000" w:rsidP="00B10D13">
      <w:pPr>
        <w:spacing w:line="480" w:lineRule="auto"/>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5x+20y=1000#</m:t>
              </m:r>
              <m:d>
                <m:dPr>
                  <m:ctrlPr>
                    <w:rPr>
                      <w:rFonts w:ascii="Cambria Math" w:eastAsiaTheme="minorEastAsia" w:hAnsi="Cambria Math"/>
                      <w:i/>
                    </w:rPr>
                  </m:ctrlPr>
                </m:dPr>
                <m:e>
                  <m:r>
                    <w:rPr>
                      <w:rFonts w:ascii="Cambria Math" w:eastAsiaTheme="minorEastAsia" w:hAnsi="Cambria Math"/>
                    </w:rPr>
                    <m:t>2</m:t>
                  </m:r>
                </m:e>
              </m:d>
            </m:e>
          </m:eqArr>
        </m:oMath>
      </m:oMathPara>
    </w:p>
    <w:p w14:paraId="2848E50F" w14:textId="32787DAE" w:rsidR="00B00765" w:rsidRDefault="00B00765" w:rsidP="00B10D13">
      <w:pPr>
        <w:spacing w:line="480" w:lineRule="auto"/>
        <w:rPr>
          <w:rFonts w:eastAsiaTheme="minorEastAsia"/>
        </w:rPr>
      </w:pPr>
      <w:r>
        <w:rPr>
          <w:rFonts w:eastAsiaTheme="minorEastAsia"/>
        </w:rPr>
        <w:t xml:space="preserve">Since </w:t>
      </w:r>
      <m:oMath>
        <m:r>
          <w:rPr>
            <w:rFonts w:ascii="Cambria Math" w:eastAsiaTheme="minorEastAsia" w:hAnsi="Cambria Math"/>
          </w:rPr>
          <m:t>MR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x,y</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y</m:t>
                </m:r>
              </m:sub>
            </m:sSub>
          </m:den>
        </m:f>
      </m:oMath>
      <w:r>
        <w:rPr>
          <w:rFonts w:eastAsiaTheme="minorEastAsia"/>
        </w:rPr>
        <w:t xml:space="preserve">, we have </w:t>
      </w:r>
      <m:oMath>
        <m:r>
          <w:rPr>
            <w:rFonts w:ascii="Cambria Math" w:eastAsiaTheme="minorEastAsia" w:hAnsi="Cambria Math"/>
          </w:rPr>
          <m:t>MRT=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Pr>
          <w:rFonts w:eastAsiaTheme="minorEastAsia"/>
        </w:rPr>
        <w:t>.</w:t>
      </w:r>
    </w:p>
    <w:p w14:paraId="2EF688D6" w14:textId="1F79AC51" w:rsidR="00B10D13" w:rsidRDefault="00B00765" w:rsidP="00B10D13">
      <w:pPr>
        <w:spacing w:line="480" w:lineRule="auto"/>
        <w:rPr>
          <w:rFonts w:eastAsiaTheme="minorEastAsia"/>
        </w:rPr>
      </w:pPr>
      <w:r>
        <w:rPr>
          <w:rFonts w:eastAsiaTheme="minorEastAsia"/>
        </w:rPr>
        <w:t xml:space="preserve">Consumers maximise their utility subject to a budget constraint. </w:t>
      </w:r>
      <w:r w:rsidR="00353029">
        <w:rPr>
          <w:rFonts w:eastAsiaTheme="minorEastAsia"/>
        </w:rPr>
        <w:t>C</w:t>
      </w:r>
      <w:r w:rsidR="000321DE">
        <w:rPr>
          <w:rFonts w:eastAsiaTheme="minorEastAsia"/>
        </w:rPr>
        <w:t xml:space="preserve">onsumers’ new budget </w:t>
      </w:r>
      <w:r>
        <w:rPr>
          <w:rFonts w:eastAsiaTheme="minorEastAsia"/>
        </w:rPr>
        <w:t>constraint</w:t>
      </w:r>
      <w:r w:rsidR="000321DE">
        <w:rPr>
          <w:rFonts w:eastAsiaTheme="minorEastAsia"/>
        </w:rPr>
        <w:t xml:space="preserve"> is</w:t>
      </w:r>
      <w:r w:rsidR="00A65E03">
        <w:rPr>
          <w:rFonts w:eastAsiaTheme="minorEastAsia"/>
        </w:rPr>
        <w:t xml:space="preserve"> </w:t>
      </w:r>
      <w:r w:rsidR="000A2BCB">
        <w:rPr>
          <w:rFonts w:eastAsiaTheme="minorEastAsia"/>
        </w:rPr>
        <w:t>(</w:t>
      </w:r>
      <w:r w:rsidR="00A65E03">
        <w:rPr>
          <w:rFonts w:eastAsiaTheme="minorEastAsia"/>
        </w:rPr>
        <w:t>3</w:t>
      </w:r>
      <w:r w:rsidR="000A2BCB">
        <w:rPr>
          <w:rFonts w:eastAsiaTheme="minorEastAsia"/>
        </w:rPr>
        <w:t>)</w:t>
      </w:r>
      <w:r w:rsidR="00A65E03">
        <w:rPr>
          <w:rFonts w:eastAsiaTheme="minorEastAsia"/>
        </w:rPr>
        <w:t>.</w:t>
      </w:r>
    </w:p>
    <w:p w14:paraId="4B11686C" w14:textId="02357149" w:rsidR="000321DE" w:rsidRPr="000321DE" w:rsidRDefault="00000000" w:rsidP="006905EA">
      <w:pPr>
        <w:spacing w:line="480" w:lineRule="auto"/>
        <w:rPr>
          <w:rFonts w:eastAsiaTheme="minorEastAsia"/>
        </w:rPr>
      </w:pPr>
      <m:oMathPara>
        <m:oMath>
          <m:eqArr>
            <m:eqArrPr>
              <m:maxDist m:val="1"/>
              <m:ctrlPr>
                <w:rPr>
                  <w:rFonts w:ascii="Cambria Math" w:eastAsiaTheme="minorEastAsia" w:hAnsi="Cambria Math"/>
                  <w:i/>
                </w:rPr>
              </m:ctrlPr>
            </m:eqArr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x</m:t>
                  </m:r>
                </m:sub>
                <m:sup>
                  <m:r>
                    <w:rPr>
                      <w:rFonts w:ascii="Cambria Math" w:eastAsiaTheme="minorEastAsia" w:hAnsi="Cambria Math"/>
                    </w:rPr>
                    <m:t>'</m:t>
                  </m:r>
                </m:sup>
              </m:sSubSup>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r>
                <w:rPr>
                  <w:rFonts w:ascii="Cambria Math" w:eastAsiaTheme="minorEastAsia" w:hAnsi="Cambria Math"/>
                </w:rPr>
                <m:t>y=(3⋅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r>
                <w:rPr>
                  <w:rFonts w:ascii="Cambria Math" w:eastAsiaTheme="minorEastAsia" w:hAnsi="Cambria Math"/>
                </w:rPr>
                <m:t>y=m#</m:t>
              </m:r>
              <m:d>
                <m:dPr>
                  <m:ctrlPr>
                    <w:rPr>
                      <w:rFonts w:ascii="Cambria Math" w:eastAsiaTheme="minorEastAsia" w:hAnsi="Cambria Math"/>
                      <w:i/>
                    </w:rPr>
                  </m:ctrlPr>
                </m:dPr>
                <m:e>
                  <m:r>
                    <w:rPr>
                      <w:rFonts w:ascii="Cambria Math" w:eastAsiaTheme="minorEastAsia" w:hAnsi="Cambria Math"/>
                    </w:rPr>
                    <m:t>3</m:t>
                  </m:r>
                </m:e>
              </m:d>
            </m:e>
          </m:eqArr>
        </m:oMath>
      </m:oMathPara>
    </w:p>
    <w:p w14:paraId="33829D43" w14:textId="0E824576" w:rsidR="000D0E75" w:rsidRDefault="00B00765" w:rsidP="006905EA">
      <w:pPr>
        <w:spacing w:line="480" w:lineRule="auto"/>
        <w:rPr>
          <w:rFonts w:eastAsiaTheme="minorEastAsia"/>
        </w:rPr>
      </w:pPr>
      <w:r>
        <w:rPr>
          <w:rFonts w:eastAsiaTheme="minorEastAsia"/>
        </w:rPr>
        <w:t>Each consumer’s utility function is:</w:t>
      </w:r>
    </w:p>
    <w:p w14:paraId="76E88F74" w14:textId="4D4597FE" w:rsidR="00B00765" w:rsidRPr="00B00765" w:rsidRDefault="00000000" w:rsidP="006905EA">
      <w:pPr>
        <w:spacing w:line="480" w:lineRule="auto"/>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0.6</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0.4</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e>
              </m:d>
            </m:e>
          </m:eqArr>
        </m:oMath>
      </m:oMathPara>
    </w:p>
    <w:p w14:paraId="0E49E827" w14:textId="5A39F560" w:rsidR="00F73AD3" w:rsidRDefault="00F73AD3" w:rsidP="006905EA">
      <w:pPr>
        <w:spacing w:line="480" w:lineRule="auto"/>
        <w:rPr>
          <w:rFonts w:eastAsiaTheme="minorEastAsia"/>
        </w:rPr>
      </w:pPr>
      <w:r>
        <w:rPr>
          <w:rFonts w:eastAsiaTheme="minorEastAsia"/>
        </w:rPr>
        <w:t>U</w:t>
      </w:r>
      <w:r w:rsidR="00A65E03">
        <w:rPr>
          <w:rFonts w:eastAsiaTheme="minorEastAsia"/>
        </w:rPr>
        <w:t>tility is a monotonic function,</w:t>
      </w:r>
      <w:r>
        <w:rPr>
          <w:rFonts w:eastAsiaTheme="minorEastAsia"/>
        </w:rPr>
        <w:t xml:space="preserve"> so we maximise the natural logarithm of (4), as it outputs the same consumption and price vectors while reducing calculation steps.</w:t>
      </w:r>
    </w:p>
    <w:p w14:paraId="3F04E0A9" w14:textId="4F85EB1B" w:rsidR="00A65E03" w:rsidRPr="00A65E03" w:rsidRDefault="00000000" w:rsidP="006905EA">
      <w:pPr>
        <w:spacing w:line="480" w:lineRule="auto"/>
        <w:rPr>
          <w:rFonts w:eastAsiaTheme="minorEastAsia"/>
        </w:rPr>
      </w:pPr>
      <m:oMathPara>
        <m:oMath>
          <m:eqArr>
            <m:eqArrPr>
              <m:maxDist m:val="1"/>
              <m:ctrlPr>
                <w:rPr>
                  <w:rFonts w:ascii="Cambria Math" w:eastAsiaTheme="minorEastAsia" w:hAnsi="Cambria Math"/>
                  <w:i/>
                </w:rPr>
              </m:ctrlPr>
            </m:eqArrPr>
            <m:e>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x,y</m:t>
                          </m:r>
                        </m:e>
                      </m:d>
                    </m:e>
                  </m:d>
                </m:e>
              </m:func>
              <m:r>
                <w:rPr>
                  <w:rFonts w:ascii="Cambria Math" w:eastAsiaTheme="minorEastAsia" w:hAnsi="Cambria Math"/>
                </w:rPr>
                <m:t>=0.6</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+0.4</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y</m:t>
                      </m:r>
                    </m:e>
                  </m:d>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m:t>
                  </m:r>
                </m:e>
              </m:d>
            </m:e>
          </m:eqArr>
        </m:oMath>
      </m:oMathPara>
    </w:p>
    <w:p w14:paraId="2046182E" w14:textId="37AA80FA" w:rsidR="00A65E03" w:rsidRDefault="000A2BCB" w:rsidP="006905EA">
      <w:pPr>
        <w:spacing w:line="480" w:lineRule="auto"/>
        <w:rPr>
          <w:rFonts w:eastAsiaTheme="minorEastAsia"/>
        </w:rPr>
      </w:pPr>
      <w:r>
        <w:rPr>
          <w:rFonts w:eastAsiaTheme="minorEastAsia"/>
        </w:rPr>
        <w:t>Maximising (5)</w:t>
      </w:r>
      <w:r w:rsidR="00A65E03">
        <w:rPr>
          <w:rFonts w:eastAsiaTheme="minorEastAsia"/>
        </w:rPr>
        <w:t xml:space="preserve"> </w:t>
      </w:r>
      <w:r>
        <w:rPr>
          <w:rFonts w:eastAsiaTheme="minorEastAsia"/>
        </w:rPr>
        <w:t>with respect to (3)</w:t>
      </w:r>
      <w:r w:rsidR="00A65E03">
        <w:rPr>
          <w:rFonts w:eastAsiaTheme="minorEastAsia"/>
        </w:rPr>
        <w:t xml:space="preserve"> results in the following Lagrangian and first order conditions:</w:t>
      </w:r>
    </w:p>
    <w:p w14:paraId="7E0469B3" w14:textId="34243A47" w:rsidR="00A65E03" w:rsidRPr="00A65E03" w:rsidRDefault="00A65E03" w:rsidP="006905EA">
      <w:pPr>
        <w:spacing w:line="480" w:lineRule="auto"/>
        <w:rPr>
          <w:rFonts w:eastAsiaTheme="minorEastAsia"/>
        </w:rPr>
      </w:pPr>
      <m:oMathPara>
        <m:oMath>
          <m:r>
            <w:rPr>
              <w:rFonts w:ascii="Cambria Math" w:eastAsiaTheme="minorEastAsia" w:hAnsi="Cambria Math"/>
            </w:rPr>
            <m:t>L=0.6</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+0.4</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y</m:t>
                  </m:r>
                </m:e>
              </m:d>
            </m:e>
          </m:func>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e>
          </m:d>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r>
            <w:rPr>
              <w:rFonts w:ascii="Cambria Math" w:eastAsiaTheme="minorEastAsia" w:hAnsi="Cambria Math"/>
            </w:rPr>
            <m:t>y-m]</m:t>
          </m:r>
        </m:oMath>
      </m:oMathPara>
    </w:p>
    <w:p w14:paraId="0F50D0E4" w14:textId="4D166824" w:rsidR="004E64E0" w:rsidRPr="004E64E0" w:rsidRDefault="00000000" w:rsidP="006905EA">
      <w:pPr>
        <w:spacing w:line="480" w:lineRule="auto"/>
        <w:rPr>
          <w:rFonts w:eastAsiaTheme="minorEastAsia"/>
        </w:rPr>
      </w:pPr>
      <m:oMathPara>
        <m:oMath>
          <m:eqArr>
            <m:eqArrPr>
              <m:maxDist m:val="1"/>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0.6</m:t>
                  </m:r>
                </m:num>
                <m:den>
                  <m:r>
                    <w:rPr>
                      <w:rFonts w:ascii="Cambria Math" w:eastAsiaTheme="minorEastAsia" w:hAnsi="Cambria Math"/>
                    </w:rPr>
                    <m:t>x</m:t>
                  </m:r>
                </m:den>
              </m:f>
              <m:r>
                <w:rPr>
                  <w:rFonts w:ascii="Cambria Math" w:eastAsiaTheme="minorEastAsia" w:hAnsi="Cambria Math"/>
                </w:rPr>
                <m:t>-3λ</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=0#</m:t>
              </m:r>
              <m:d>
                <m:dPr>
                  <m:ctrlPr>
                    <w:rPr>
                      <w:rFonts w:ascii="Cambria Math" w:eastAsiaTheme="minorEastAsia" w:hAnsi="Cambria Math"/>
                      <w:i/>
                    </w:rPr>
                  </m:ctrlPr>
                </m:dPr>
                <m:e>
                  <m:r>
                    <w:rPr>
                      <w:rFonts w:ascii="Cambria Math" w:eastAsiaTheme="minorEastAsia" w:hAnsi="Cambria Math"/>
                    </w:rPr>
                    <m:t>6</m:t>
                  </m:r>
                </m:e>
              </m:d>
            </m:e>
          </m:eqArr>
        </m:oMath>
      </m:oMathPara>
    </w:p>
    <w:p w14:paraId="79F77412" w14:textId="252CC19D" w:rsidR="004E64E0" w:rsidRPr="004E64E0" w:rsidRDefault="00000000" w:rsidP="006905EA">
      <w:pPr>
        <w:spacing w:line="480" w:lineRule="auto"/>
        <w:rPr>
          <w:rFonts w:eastAsiaTheme="minorEastAsia"/>
        </w:rPr>
      </w:pPr>
      <m:oMathPara>
        <m:oMath>
          <m:eqArr>
            <m:eqArrPr>
              <m:maxDist m:val="1"/>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0.4</m:t>
                  </m:r>
                </m:num>
                <m:den>
                  <m:r>
                    <w:rPr>
                      <w:rFonts w:ascii="Cambria Math" w:eastAsiaTheme="minorEastAsia" w:hAnsi="Cambria Math"/>
                    </w:rPr>
                    <m:t>y</m:t>
                  </m:r>
                </m:den>
              </m:f>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r>
                <w:rPr>
                  <w:rFonts w:ascii="Cambria Math" w:eastAsiaTheme="minorEastAsia" w:hAnsi="Cambria Math"/>
                </w:rPr>
                <m:t>=0#</m:t>
              </m:r>
              <m:d>
                <m:dPr>
                  <m:ctrlPr>
                    <w:rPr>
                      <w:rFonts w:ascii="Cambria Math" w:eastAsiaTheme="minorEastAsia" w:hAnsi="Cambria Math"/>
                      <w:i/>
                    </w:rPr>
                  </m:ctrlPr>
                </m:dPr>
                <m:e>
                  <m:r>
                    <w:rPr>
                      <w:rFonts w:ascii="Cambria Math" w:eastAsiaTheme="minorEastAsia" w:hAnsi="Cambria Math"/>
                    </w:rPr>
                    <m:t>7</m:t>
                  </m:r>
                </m:e>
              </m:d>
            </m:e>
          </m:eqArr>
        </m:oMath>
      </m:oMathPara>
    </w:p>
    <w:p w14:paraId="4275747E" w14:textId="531BE9AE" w:rsidR="00B00765" w:rsidRPr="004E64E0" w:rsidRDefault="00000000" w:rsidP="006905EA">
      <w:pPr>
        <w:spacing w:line="480" w:lineRule="auto"/>
        <w:rPr>
          <w:rFonts w:eastAsiaTheme="minorEastAsia"/>
        </w:rPr>
      </w:pPr>
      <m:oMathPara>
        <m:oMath>
          <m:eqArr>
            <m:eqArrPr>
              <m:maxDist m:val="1"/>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∂λ</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e>
              </m:d>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r>
                <w:rPr>
                  <w:rFonts w:ascii="Cambria Math" w:eastAsiaTheme="minorEastAsia" w:hAnsi="Cambria Math"/>
                </w:rPr>
                <m:t>y=m#</m:t>
              </m:r>
              <m:d>
                <m:dPr>
                  <m:ctrlPr>
                    <w:rPr>
                      <w:rFonts w:ascii="Cambria Math" w:eastAsiaTheme="minorEastAsia" w:hAnsi="Cambria Math"/>
                      <w:i/>
                    </w:rPr>
                  </m:ctrlPr>
                </m:dPr>
                <m:e>
                  <m:r>
                    <w:rPr>
                      <w:rFonts w:ascii="Cambria Math" w:eastAsiaTheme="minorEastAsia" w:hAnsi="Cambria Math"/>
                    </w:rPr>
                    <m:t>8</m:t>
                  </m:r>
                </m:e>
              </m:d>
            </m:e>
          </m:eqArr>
        </m:oMath>
      </m:oMathPara>
    </w:p>
    <w:p w14:paraId="07FE0EAE" w14:textId="02F31A61" w:rsidR="004E64E0" w:rsidRDefault="009525B4" w:rsidP="006905EA">
      <w:pPr>
        <w:spacing w:line="480" w:lineRule="auto"/>
        <w:rPr>
          <w:rFonts w:eastAsiaTheme="minorEastAsia"/>
        </w:rPr>
      </w:pPr>
      <w:r>
        <w:rPr>
          <w:rFonts w:eastAsiaTheme="minorEastAsia"/>
        </w:rPr>
        <w:t>Dividing</w:t>
      </w:r>
      <w:r w:rsidR="004E64E0">
        <w:rPr>
          <w:rFonts w:eastAsiaTheme="minorEastAsia"/>
        </w:rPr>
        <w:t xml:space="preserve"> </w:t>
      </w:r>
      <w:r w:rsidR="000A2BCB">
        <w:rPr>
          <w:rFonts w:eastAsiaTheme="minorEastAsia"/>
        </w:rPr>
        <w:t>(6) by (7)</w:t>
      </w:r>
      <w:r w:rsidR="004E64E0">
        <w:rPr>
          <w:rFonts w:eastAsiaTheme="minorEastAsia"/>
        </w:rPr>
        <w:t xml:space="preserve"> </w:t>
      </w:r>
      <w:r w:rsidR="000A2BCB">
        <w:rPr>
          <w:rFonts w:eastAsiaTheme="minorEastAsia"/>
        </w:rPr>
        <w:t>gives (9)</w:t>
      </w:r>
      <w:r w:rsidR="004E64E0">
        <w:rPr>
          <w:rFonts w:eastAsiaTheme="minorEastAsia"/>
        </w:rPr>
        <w:t>.</w:t>
      </w:r>
    </w:p>
    <w:p w14:paraId="136580DB" w14:textId="33FBCFFA" w:rsidR="004E64E0" w:rsidRPr="004E64E0" w:rsidRDefault="00000000" w:rsidP="006905EA">
      <w:pPr>
        <w:spacing w:line="480" w:lineRule="auto"/>
        <w:rPr>
          <w:rFonts w:eastAsiaTheme="minorEastAsia"/>
        </w:rPr>
      </w:pPr>
      <m:oMathPara>
        <m:oMath>
          <m:eqArr>
            <m:eqArrPr>
              <m:maxDist m:val="1"/>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9</m:t>
                  </m:r>
                </m:e>
              </m:d>
            </m:e>
          </m:eqArr>
        </m:oMath>
      </m:oMathPara>
    </w:p>
    <w:p w14:paraId="13DA0812" w14:textId="01F4EA69" w:rsidR="004E64E0" w:rsidRPr="004E64E0" w:rsidRDefault="004E64E0" w:rsidP="006905EA">
      <w:pPr>
        <w:spacing w:line="480" w:lineRule="auto"/>
        <w:rPr>
          <w:rFonts w:eastAsiaTheme="minorEastAsia"/>
        </w:rPr>
      </w:pPr>
      <w:r>
        <w:rPr>
          <w:rFonts w:eastAsiaTheme="minorEastAsia"/>
        </w:rPr>
        <w:t xml:space="preserve">In other words, </w:t>
      </w:r>
      <m:oMath>
        <m:r>
          <w:rPr>
            <w:rFonts w:ascii="Cambria Math" w:eastAsiaTheme="minorEastAsia" w:hAnsi="Cambria Math"/>
          </w:rPr>
          <m:t>MRS</m:t>
        </m:r>
      </m:oMath>
      <w:r>
        <w:rPr>
          <w:rFonts w:eastAsiaTheme="minorEastAsia"/>
        </w:rPr>
        <w:t xml:space="preserve"> </w:t>
      </w:r>
      <w:r w:rsidR="009525B4">
        <w:rPr>
          <w:rFonts w:eastAsiaTheme="minorEastAsia"/>
        </w:rPr>
        <w:t>(</w:t>
      </w:r>
      <w:r w:rsidR="00F73AD3">
        <w:rPr>
          <w:rFonts w:eastAsiaTheme="minorEastAsia"/>
        </w:rPr>
        <w:t>left</w:t>
      </w:r>
      <w:r w:rsidR="009525B4">
        <w:rPr>
          <w:rFonts w:eastAsiaTheme="minorEastAsia"/>
        </w:rPr>
        <w:t xml:space="preserve">) </w:t>
      </w:r>
      <w:r>
        <w:rPr>
          <w:rFonts w:eastAsiaTheme="minorEastAsia"/>
        </w:rPr>
        <w:t>is equal to the price ratio</w:t>
      </w:r>
      <w:r w:rsidR="009525B4">
        <w:rPr>
          <w:rFonts w:eastAsiaTheme="minorEastAsia"/>
        </w:rPr>
        <w:t xml:space="preserve"> (</w:t>
      </w:r>
      <w:r w:rsidR="00F73AD3">
        <w:rPr>
          <w:rFonts w:eastAsiaTheme="minorEastAsia"/>
        </w:rPr>
        <w:t>right</w:t>
      </w:r>
      <w:r w:rsidR="009525B4">
        <w:rPr>
          <w:rFonts w:eastAsiaTheme="minorEastAsia"/>
        </w:rPr>
        <w:t>)</w:t>
      </w:r>
      <w:r>
        <w:rPr>
          <w:rFonts w:eastAsiaTheme="minorEastAsia"/>
        </w:rPr>
        <w:t>.</w:t>
      </w:r>
    </w:p>
    <w:p w14:paraId="46C22B86" w14:textId="0529D411" w:rsidR="004E64E0" w:rsidRDefault="00F73AD3" w:rsidP="006905EA">
      <w:pPr>
        <w:spacing w:line="480" w:lineRule="auto"/>
        <w:rPr>
          <w:rFonts w:eastAsiaTheme="minorEastAsia"/>
        </w:rPr>
      </w:pPr>
      <w:r>
        <w:rPr>
          <w:rFonts w:eastAsiaTheme="minorEastAsia"/>
        </w:rPr>
        <w:t>S</w:t>
      </w:r>
      <w:r w:rsidR="004E64E0">
        <w:rPr>
          <w:rFonts w:eastAsiaTheme="minorEastAsia"/>
        </w:rPr>
        <w:t>ubstitut</w:t>
      </w:r>
      <w:r>
        <w:rPr>
          <w:rFonts w:eastAsiaTheme="minorEastAsia"/>
        </w:rPr>
        <w:t>ing</w:t>
      </w:r>
      <w:r w:rsidR="004E64E0">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y</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den>
        </m:f>
      </m:oMath>
      <w:r w:rsidR="000D076B">
        <w:rPr>
          <w:rFonts w:eastAsiaTheme="minorEastAsia"/>
        </w:rPr>
        <w:t xml:space="preserve">, </w:t>
      </w:r>
      <w:r>
        <w:rPr>
          <w:rFonts w:eastAsiaTheme="minorEastAsia"/>
        </w:rPr>
        <w:t>we</w:t>
      </w:r>
      <w:r w:rsidR="004E64E0">
        <w:rPr>
          <w:rFonts w:eastAsiaTheme="minorEastAsia"/>
        </w:rPr>
        <w:t xml:space="preserve"> get:</w:t>
      </w:r>
    </w:p>
    <w:p w14:paraId="6CBF5F9E" w14:textId="02325B1A" w:rsidR="004E64E0" w:rsidRPr="004E64E0" w:rsidRDefault="00000000" w:rsidP="006905EA">
      <w:pPr>
        <w:spacing w:line="48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5</m:t>
                  </m:r>
                </m:e>
              </m:d>
            </m:num>
            <m:den>
              <m:r>
                <w:rPr>
                  <w:rFonts w:ascii="Cambria Math" w:eastAsiaTheme="minorEastAsia" w:hAnsi="Cambria Math"/>
                </w:rPr>
                <m:t>20</m:t>
              </m:r>
            </m:den>
          </m:f>
        </m:oMath>
      </m:oMathPara>
    </w:p>
    <w:p w14:paraId="2FC1773F" w14:textId="0BA3A9DF" w:rsidR="00A65E03" w:rsidRPr="004E64E0" w:rsidRDefault="00000000" w:rsidP="006905EA">
      <w:pPr>
        <w:spacing w:line="48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oMath>
      </m:oMathPara>
    </w:p>
    <w:p w14:paraId="002EFEB8" w14:textId="507CD225" w:rsidR="004E64E0" w:rsidRPr="004E64E0" w:rsidRDefault="00000000" w:rsidP="006905EA">
      <w:pPr>
        <w:spacing w:line="48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12</m:t>
              </m:r>
            </m:den>
          </m:f>
        </m:oMath>
      </m:oMathPara>
    </w:p>
    <w:p w14:paraId="0840D760" w14:textId="6CDAE3FA" w:rsidR="004E64E0" w:rsidRPr="004E64E0" w:rsidRDefault="00000000" w:rsidP="006905EA">
      <w:pPr>
        <w:spacing w:line="48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134E05D4" w14:textId="33424E10" w:rsidR="004E64E0" w:rsidRPr="004E64E0" w:rsidRDefault="00000000" w:rsidP="006905EA">
      <w:pPr>
        <w:spacing w:line="480" w:lineRule="auto"/>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10</m:t>
                  </m:r>
                </m:e>
              </m:d>
            </m:e>
          </m:eqArr>
        </m:oMath>
      </m:oMathPara>
    </w:p>
    <w:p w14:paraId="1355FBFD" w14:textId="001A1DEA" w:rsidR="004E64E0" w:rsidRDefault="004E64E0" w:rsidP="006905EA">
      <w:pPr>
        <w:spacing w:line="480" w:lineRule="auto"/>
        <w:rPr>
          <w:rFonts w:eastAsiaTheme="minorEastAsia"/>
        </w:rPr>
      </w:pPr>
      <w:r>
        <w:rPr>
          <w:rFonts w:eastAsiaTheme="minorEastAsia"/>
        </w:rPr>
        <w:t>Substituting</w:t>
      </w:r>
      <w:r w:rsidR="00F73AD3">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→(2)</m:t>
        </m:r>
      </m:oMath>
      <w:r>
        <w:rPr>
          <w:rFonts w:eastAsiaTheme="minorEastAsia"/>
        </w:rPr>
        <w:t>:</w:t>
      </w:r>
    </w:p>
    <w:p w14:paraId="673D5ED2" w14:textId="1DBDDD8B" w:rsidR="004E64E0" w:rsidRPr="004E64E0" w:rsidRDefault="004E64E0" w:rsidP="006905EA">
      <w:pPr>
        <w:spacing w:line="480" w:lineRule="auto"/>
        <w:rPr>
          <w:rFonts w:eastAsiaTheme="minorEastAsia"/>
        </w:rPr>
      </w:pPr>
      <m:oMathPara>
        <m:oMath>
          <m:r>
            <w:rPr>
              <w:rFonts w:ascii="Cambria Math" w:eastAsiaTheme="minorEastAsia" w:hAnsi="Cambria Math"/>
            </w:rPr>
            <m:t>5x+20</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x</m:t>
              </m:r>
            </m:e>
          </m:d>
          <m:r>
            <w:rPr>
              <w:rFonts w:ascii="Cambria Math" w:eastAsiaTheme="minorEastAsia" w:hAnsi="Cambria Math"/>
            </w:rPr>
            <m:t>=1000</m:t>
          </m:r>
        </m:oMath>
      </m:oMathPara>
    </w:p>
    <w:p w14:paraId="3885E232" w14:textId="18749782" w:rsidR="004E64E0" w:rsidRPr="004E64E0" w:rsidRDefault="004E64E0" w:rsidP="006905EA">
      <w:pPr>
        <w:spacing w:line="480" w:lineRule="auto"/>
        <w:rPr>
          <w:rFonts w:eastAsiaTheme="minorEastAsia"/>
        </w:rPr>
      </w:pPr>
      <m:oMathPara>
        <m:oMath>
          <m:r>
            <w:rPr>
              <w:rFonts w:ascii="Cambria Math" w:eastAsiaTheme="minorEastAsia" w:hAnsi="Cambria Math"/>
            </w:rPr>
            <m:t>15x=1000</m:t>
          </m:r>
        </m:oMath>
      </m:oMathPara>
    </w:p>
    <w:p w14:paraId="33432469" w14:textId="16EB8223" w:rsidR="004E64E0" w:rsidRPr="004E64E0" w:rsidRDefault="00000000" w:rsidP="006905EA">
      <w:pPr>
        <w:spacing w:line="480" w:lineRule="auto"/>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x=66.67#</m:t>
              </m:r>
              <m:d>
                <m:dPr>
                  <m:ctrlPr>
                    <w:rPr>
                      <w:rFonts w:ascii="Cambria Math" w:eastAsiaTheme="minorEastAsia" w:hAnsi="Cambria Math"/>
                      <w:i/>
                    </w:rPr>
                  </m:ctrlPr>
                </m:dPr>
                <m:e>
                  <m:r>
                    <w:rPr>
                      <w:rFonts w:ascii="Cambria Math" w:eastAsiaTheme="minorEastAsia" w:hAnsi="Cambria Math"/>
                    </w:rPr>
                    <m:t>11</m:t>
                  </m:r>
                </m:e>
              </m:d>
            </m:e>
          </m:eqArr>
        </m:oMath>
      </m:oMathPara>
    </w:p>
    <w:p w14:paraId="628950F7" w14:textId="7604C04D" w:rsidR="004E64E0" w:rsidRDefault="004E64E0" w:rsidP="006905EA">
      <w:pPr>
        <w:spacing w:line="480" w:lineRule="auto"/>
        <w:rPr>
          <w:rFonts w:eastAsiaTheme="minorEastAsia"/>
        </w:rPr>
      </w:pPr>
      <w:r>
        <w:rPr>
          <w:rFonts w:eastAsiaTheme="minorEastAsia"/>
        </w:rPr>
        <w:t xml:space="preserve">Substituting </w:t>
      </w:r>
      <m:oMath>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→(10)</m:t>
        </m:r>
      </m:oMath>
      <w:r>
        <w:rPr>
          <w:rFonts w:eastAsiaTheme="minorEastAsia"/>
        </w:rPr>
        <w:t>:</w:t>
      </w:r>
    </w:p>
    <w:p w14:paraId="0CC4B17C" w14:textId="4EBF5BA3" w:rsidR="004E64E0" w:rsidRPr="004E64E0" w:rsidRDefault="004E64E0" w:rsidP="006905EA">
      <w:pPr>
        <w:spacing w:line="480" w:lineRule="auto"/>
        <w:rPr>
          <w:rFonts w:eastAsiaTheme="minorEastAsia"/>
        </w:rPr>
      </w:pPr>
      <m:oMathPara>
        <m:oMath>
          <m:r>
            <w:rPr>
              <w:rFonts w:ascii="Cambria Math" w:eastAsiaTheme="minorEastAsia" w:hAnsi="Cambria Math"/>
            </w:rPr>
            <m:t>y=33.33</m:t>
          </m:r>
        </m:oMath>
      </m:oMathPara>
    </w:p>
    <w:p w14:paraId="5A0E2021" w14:textId="200F05C7" w:rsidR="004E64E0" w:rsidRPr="004E64E0" w:rsidRDefault="009525B4" w:rsidP="006905EA">
      <w:pPr>
        <w:spacing w:line="480" w:lineRule="auto"/>
        <w:rPr>
          <w:rFonts w:eastAsiaTheme="minorEastAsia"/>
        </w:rPr>
      </w:pPr>
      <w:r>
        <w:rPr>
          <w:rFonts w:eastAsiaTheme="minorEastAsia"/>
        </w:rPr>
        <w:t>This new monopolistic level of output is shown in figure 1.</w:t>
      </w:r>
    </w:p>
    <w:p w14:paraId="674EABFF" w14:textId="6B870D8B" w:rsidR="004E64E0" w:rsidRDefault="009525B4" w:rsidP="009525B4">
      <w:pPr>
        <w:spacing w:line="480" w:lineRule="auto"/>
        <w:jc w:val="center"/>
        <w:rPr>
          <w:rFonts w:eastAsiaTheme="minorEastAsia"/>
        </w:rPr>
      </w:pPr>
      <w:r>
        <w:rPr>
          <w:noProof/>
        </w:rPr>
        <w:drawing>
          <wp:inline distT="0" distB="0" distL="0" distR="0" wp14:anchorId="371F7F63" wp14:editId="6EA169C4">
            <wp:extent cx="4067251" cy="2723517"/>
            <wp:effectExtent l="0" t="0" r="9525" b="635"/>
            <wp:docPr id="1495745990" name="Picture 1" descr="A diagram of a blue and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745990" name="Picture 1" descr="A diagram of a blue and red line&#10;&#10;AI-generated content may be incorrect."/>
                    <pic:cNvPicPr/>
                  </pic:nvPicPr>
                  <pic:blipFill>
                    <a:blip r:embed="rId12"/>
                    <a:stretch>
                      <a:fillRect/>
                    </a:stretch>
                  </pic:blipFill>
                  <pic:spPr>
                    <a:xfrm>
                      <a:off x="0" y="0"/>
                      <a:ext cx="4070165" cy="2725468"/>
                    </a:xfrm>
                    <a:prstGeom prst="rect">
                      <a:avLst/>
                    </a:prstGeom>
                  </pic:spPr>
                </pic:pic>
              </a:graphicData>
            </a:graphic>
          </wp:inline>
        </w:drawing>
      </w:r>
    </w:p>
    <w:p w14:paraId="5F853D2E" w14:textId="1588F5B7" w:rsidR="009525B4" w:rsidRDefault="009525B4" w:rsidP="009525B4">
      <w:pPr>
        <w:spacing w:line="480" w:lineRule="auto"/>
        <w:jc w:val="center"/>
        <w:rPr>
          <w:rFonts w:eastAsiaTheme="minorEastAsia"/>
          <w:i/>
          <w:iCs/>
        </w:rPr>
      </w:pPr>
      <w:r>
        <w:rPr>
          <w:rFonts w:eastAsiaTheme="minorEastAsia"/>
          <w:i/>
          <w:iCs/>
        </w:rPr>
        <w:t>Figure 1</w:t>
      </w:r>
    </w:p>
    <w:p w14:paraId="3E74A0EB" w14:textId="53E264FA" w:rsidR="009525B4" w:rsidRDefault="009525B4" w:rsidP="009525B4">
      <w:pPr>
        <w:spacing w:line="480" w:lineRule="auto"/>
        <w:rPr>
          <w:rFonts w:eastAsiaTheme="minorEastAsia"/>
        </w:rPr>
      </w:pPr>
      <w:r>
        <w:rPr>
          <w:rFonts w:eastAsiaTheme="minorEastAsia"/>
        </w:rPr>
        <w:t xml:space="preserve">The fact that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sidR="008B5C93">
        <w:rPr>
          <w:rFonts w:eastAsiaTheme="minorEastAsia"/>
        </w:rPr>
        <w:t xml:space="preserve"> of the labour is needed to produce </w:t>
      </w:r>
      <m:oMath>
        <m:r>
          <w:rPr>
            <w:rFonts w:ascii="Cambria Math" w:eastAsiaTheme="minorEastAsia" w:hAnsi="Cambria Math"/>
          </w:rPr>
          <m:t>x</m:t>
        </m:r>
      </m:oMath>
      <w:r w:rsidR="008B5C93">
        <w:rPr>
          <w:rFonts w:eastAsiaTheme="minorEastAsia"/>
        </w:rPr>
        <w:t xml:space="preserve"> </w:t>
      </w:r>
      <w:r w:rsidR="000A2BCB">
        <w:rPr>
          <w:rFonts w:eastAsiaTheme="minorEastAsia"/>
        </w:rPr>
        <w:t xml:space="preserve">relative to </w:t>
      </w:r>
      <m:oMath>
        <m:r>
          <w:rPr>
            <w:rFonts w:ascii="Cambria Math" w:eastAsiaTheme="minorEastAsia" w:hAnsi="Cambria Math"/>
          </w:rPr>
          <m:t>y</m:t>
        </m:r>
      </m:oMath>
      <w:r w:rsidR="000A2BCB">
        <w:rPr>
          <w:rFonts w:eastAsiaTheme="minorEastAsia"/>
        </w:rPr>
        <w:t xml:space="preserve"> </w:t>
      </w:r>
      <w:r w:rsidR="008B5C93">
        <w:rPr>
          <w:rFonts w:eastAsiaTheme="minorEastAsia"/>
        </w:rPr>
        <w:t>is no longer reflected in the</w:t>
      </w:r>
      <w:r w:rsidR="000A2BCB">
        <w:rPr>
          <w:rFonts w:eastAsiaTheme="minorEastAsia"/>
        </w:rPr>
        <w:t>ir</w:t>
      </w:r>
      <w:r w:rsidR="008B5C93">
        <w:rPr>
          <w:rFonts w:eastAsiaTheme="minorEastAsia"/>
        </w:rPr>
        <w:t xml:space="preserve"> relative pricing. </w:t>
      </w:r>
      <w:r w:rsidR="000A2BCB">
        <w:rPr>
          <w:rFonts w:eastAsiaTheme="minorEastAsia"/>
        </w:rPr>
        <w:t>As such,</w:t>
      </w:r>
      <w:r w:rsidR="008B5C93">
        <w:rPr>
          <w:rFonts w:eastAsiaTheme="minorEastAsia"/>
        </w:rPr>
        <w:t xml:space="preserve"> consumers do not substitute between the two goods at the marginal </w:t>
      </w:r>
      <w:r w:rsidR="008B5C93">
        <w:rPr>
          <w:rFonts w:eastAsiaTheme="minorEastAsia"/>
        </w:rPr>
        <w:lastRenderedPageBreak/>
        <w:t>rate of transformation</w:t>
      </w:r>
      <w:r w:rsidR="00F73AD3">
        <w:rPr>
          <w:rFonts w:eastAsiaTheme="minorEastAsia"/>
        </w:rPr>
        <w:t>. L</w:t>
      </w:r>
      <w:r w:rsidR="008B5C93">
        <w:rPr>
          <w:rFonts w:eastAsiaTheme="minorEastAsia"/>
        </w:rPr>
        <w:t xml:space="preserve">ess labour is allocated to produce </w:t>
      </w:r>
      <m:oMath>
        <m:r>
          <w:rPr>
            <w:rFonts w:ascii="Cambria Math" w:eastAsiaTheme="minorEastAsia" w:hAnsi="Cambria Math"/>
          </w:rPr>
          <m:t>x</m:t>
        </m:r>
      </m:oMath>
      <w:r w:rsidR="008B5C93">
        <w:rPr>
          <w:rFonts w:eastAsiaTheme="minorEastAsia"/>
        </w:rPr>
        <w:t xml:space="preserve"> </w:t>
      </w:r>
      <w:r w:rsidR="00F73AD3">
        <w:rPr>
          <w:rFonts w:eastAsiaTheme="minorEastAsia"/>
        </w:rPr>
        <w:t xml:space="preserve">and more is allocated </w:t>
      </w:r>
      <m:oMath>
        <m:r>
          <w:rPr>
            <w:rFonts w:ascii="Cambria Math" w:eastAsiaTheme="minorEastAsia" w:hAnsi="Cambria Math"/>
          </w:rPr>
          <m:t>y</m:t>
        </m:r>
      </m:oMath>
      <w:r w:rsidR="00F73AD3">
        <w:rPr>
          <w:rFonts w:eastAsiaTheme="minorEastAsia"/>
        </w:rPr>
        <w:t>, which is not as utilit</w:t>
      </w:r>
      <w:proofErr w:type="spellStart"/>
      <w:r w:rsidR="00E51F6E">
        <w:rPr>
          <w:rFonts w:eastAsiaTheme="minorEastAsia"/>
        </w:rPr>
        <w:t>arian</w:t>
      </w:r>
      <w:proofErr w:type="spellEnd"/>
      <w:r w:rsidR="00E51F6E">
        <w:rPr>
          <w:rFonts w:eastAsiaTheme="minorEastAsia"/>
        </w:rPr>
        <w:t xml:space="preserve"> as </w:t>
      </w:r>
      <m:oMath>
        <m:r>
          <w:rPr>
            <w:rFonts w:ascii="Cambria Math" w:eastAsiaTheme="minorEastAsia" w:hAnsi="Cambria Math"/>
          </w:rPr>
          <m:t>x</m:t>
        </m:r>
      </m:oMath>
      <w:r w:rsidR="000A2BCB">
        <w:rPr>
          <w:rFonts w:eastAsiaTheme="minorEastAsia"/>
        </w:rPr>
        <w:t>. T</w:t>
      </w:r>
      <w:r w:rsidR="008B5C93">
        <w:rPr>
          <w:rFonts w:eastAsiaTheme="minorEastAsia"/>
        </w:rPr>
        <w:t xml:space="preserve">he subsequent output, </w:t>
      </w:r>
      <m:oMath>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=(66.67,33.33)</m:t>
        </m:r>
      </m:oMath>
      <w:r w:rsidR="008B5C93">
        <w:rPr>
          <w:rFonts w:eastAsiaTheme="minorEastAsia"/>
        </w:rPr>
        <w:t xml:space="preserve"> no longer lies on the UPF</w:t>
      </w:r>
      <w:r w:rsidR="00677D32">
        <w:rPr>
          <w:rFonts w:eastAsiaTheme="minorEastAsia"/>
        </w:rPr>
        <w:t>, as seen in figure 1.</w:t>
      </w:r>
    </w:p>
    <w:p w14:paraId="05131B8B" w14:textId="4FC1B7F7" w:rsidR="008B5C93" w:rsidRDefault="008B5C93" w:rsidP="008B5C93">
      <w:pPr>
        <w:pStyle w:val="Heading2"/>
        <w:spacing w:line="480" w:lineRule="auto"/>
      </w:pPr>
      <w:r w:rsidRPr="00CA761B">
        <w:t>Question 1.i</w:t>
      </w:r>
      <w:r>
        <w:t>v</w:t>
      </w:r>
    </w:p>
    <w:p w14:paraId="6D57437A" w14:textId="21C35D67" w:rsidR="00717D79" w:rsidRDefault="008B5C93" w:rsidP="009525B4">
      <w:pPr>
        <w:spacing w:line="480" w:lineRule="auto"/>
        <w:rPr>
          <w:rFonts w:eastAsiaTheme="minorEastAsia"/>
        </w:rPr>
      </w:pPr>
      <w:r>
        <w:rPr>
          <w:rFonts w:eastAsiaTheme="minorEastAsia"/>
        </w:rPr>
        <w:t xml:space="preserve">The </w:t>
      </w:r>
      <w:r w:rsidR="008051DB">
        <w:rPr>
          <w:rFonts w:eastAsiaTheme="minorEastAsia"/>
        </w:rPr>
        <w:t xml:space="preserve">Fundamental Welfare Theorems (FWTs) have a few important assumptions. </w:t>
      </w:r>
      <w:r w:rsidR="00717D79">
        <w:rPr>
          <w:rFonts w:eastAsiaTheme="minorEastAsia"/>
        </w:rPr>
        <w:t>When these assumptions are satisfied, consumption and production decisions will be Pareto optimal, such that no individual can be made better off without making another individual worse off, and the FWTs will hold.</w:t>
      </w:r>
    </w:p>
    <w:p w14:paraId="0C95EAE8" w14:textId="67115BC4" w:rsidR="008B5C93" w:rsidRDefault="008051DB" w:rsidP="009525B4">
      <w:pPr>
        <w:spacing w:line="480" w:lineRule="auto"/>
        <w:rPr>
          <w:rFonts w:eastAsiaTheme="minorEastAsia"/>
        </w:rPr>
      </w:pPr>
      <w:r>
        <w:rPr>
          <w:rFonts w:eastAsiaTheme="minorEastAsia"/>
        </w:rPr>
        <w:t>First, we assume an economy contains only utility-maximising individuals and profit-maximising firms – both groups are price-takers; second, individuals have perfect knowledge and are aware of their own (and others’) utility functions; third, there are no externalities, i.e., third parties are not affected by consumption or production decisions;</w:t>
      </w:r>
      <w:r w:rsidR="004D2758">
        <w:rPr>
          <w:rFonts w:eastAsiaTheme="minorEastAsia"/>
        </w:rPr>
        <w:t xml:space="preserve"> fourth,</w:t>
      </w:r>
      <w:r>
        <w:rPr>
          <w:rFonts w:eastAsiaTheme="minorEastAsia"/>
        </w:rPr>
        <w:t xml:space="preserve"> there are no distortionary taxes or subsidies; </w:t>
      </w:r>
      <w:r w:rsidR="004D2758">
        <w:rPr>
          <w:rFonts w:eastAsiaTheme="minorEastAsia"/>
        </w:rPr>
        <w:t>fifth</w:t>
      </w:r>
      <w:r>
        <w:rPr>
          <w:rFonts w:eastAsiaTheme="minorEastAsia"/>
        </w:rPr>
        <w:t xml:space="preserve">, returns to scale are non-increasing – coupled with convex indifference and isoquant curves </w:t>
      </w:r>
      <w:r w:rsidR="006D57E0">
        <w:rPr>
          <w:rFonts w:eastAsiaTheme="minorEastAsia"/>
        </w:rPr>
        <w:t xml:space="preserve">this </w:t>
      </w:r>
      <w:r>
        <w:rPr>
          <w:rFonts w:eastAsiaTheme="minorEastAsia"/>
        </w:rPr>
        <w:t>allows unique equilibria to be determined across all sectors.</w:t>
      </w:r>
    </w:p>
    <w:p w14:paraId="634A3961" w14:textId="4C765138" w:rsidR="002D0500" w:rsidRDefault="008051DB" w:rsidP="004D2758">
      <w:pPr>
        <w:spacing w:line="480" w:lineRule="auto"/>
        <w:rPr>
          <w:rFonts w:eastAsiaTheme="minorEastAsia"/>
        </w:rPr>
      </w:pPr>
      <w:r>
        <w:rPr>
          <w:rFonts w:eastAsiaTheme="minorEastAsia"/>
        </w:rPr>
        <w:t xml:space="preserve">The </w:t>
      </w:r>
      <w:r w:rsidR="004D2758">
        <w:rPr>
          <w:rFonts w:eastAsiaTheme="minorEastAsia"/>
        </w:rPr>
        <w:t xml:space="preserve">first FWT </w:t>
      </w:r>
      <w:r>
        <w:rPr>
          <w:rFonts w:eastAsiaTheme="minorEastAsia"/>
        </w:rPr>
        <w:t>states that every competitive equilibria is a</w:t>
      </w:r>
      <w:r w:rsidR="000C2D37">
        <w:rPr>
          <w:rFonts w:eastAsiaTheme="minorEastAsia"/>
        </w:rPr>
        <w:t>lso a</w:t>
      </w:r>
      <w:r>
        <w:rPr>
          <w:rFonts w:eastAsiaTheme="minorEastAsia"/>
        </w:rPr>
        <w:t xml:space="preserve"> Pareto optimal outcome.</w:t>
      </w:r>
      <w:r w:rsidR="004D2758">
        <w:rPr>
          <w:rFonts w:eastAsiaTheme="minorEastAsia"/>
        </w:rPr>
        <w:t xml:space="preserve"> </w:t>
      </w:r>
      <w:r w:rsidR="002D0500">
        <w:rPr>
          <w:rFonts w:eastAsiaTheme="minorEastAsia"/>
        </w:rPr>
        <w:t>The second FWT states that a</w:t>
      </w:r>
      <w:r w:rsidR="005052CD">
        <w:rPr>
          <w:rFonts w:eastAsiaTheme="minorEastAsia"/>
        </w:rPr>
        <w:t>ny</w:t>
      </w:r>
      <w:r w:rsidR="002D0500">
        <w:rPr>
          <w:rFonts w:eastAsiaTheme="minorEastAsia"/>
        </w:rPr>
        <w:t xml:space="preserve"> Pareto optimal distribution can always be reached from </w:t>
      </w:r>
      <w:r w:rsidR="005052CD">
        <w:rPr>
          <w:rFonts w:eastAsiaTheme="minorEastAsia"/>
        </w:rPr>
        <w:t>a</w:t>
      </w:r>
      <w:r w:rsidR="002D0500">
        <w:rPr>
          <w:rFonts w:eastAsiaTheme="minorEastAsia"/>
        </w:rPr>
        <w:t xml:space="preserve"> </w:t>
      </w:r>
      <w:r w:rsidR="005052CD">
        <w:rPr>
          <w:rFonts w:eastAsiaTheme="minorEastAsia"/>
        </w:rPr>
        <w:t>competitive equilibrium</w:t>
      </w:r>
      <w:r w:rsidR="002D0500">
        <w:rPr>
          <w:rFonts w:eastAsiaTheme="minorEastAsia"/>
        </w:rPr>
        <w:t xml:space="preserve"> following a </w:t>
      </w:r>
      <w:r w:rsidR="00614C9E">
        <w:rPr>
          <w:rFonts w:eastAsiaTheme="minorEastAsia"/>
        </w:rPr>
        <w:t xml:space="preserve">lump-sum transfer of </w:t>
      </w:r>
      <w:r w:rsidR="005052CD">
        <w:rPr>
          <w:rFonts w:eastAsiaTheme="minorEastAsia"/>
        </w:rPr>
        <w:t>resources from initial endowments</w:t>
      </w:r>
      <w:r w:rsidR="00614C9E">
        <w:rPr>
          <w:rFonts w:eastAsiaTheme="minorEastAsia"/>
        </w:rPr>
        <w:t>.</w:t>
      </w:r>
    </w:p>
    <w:p w14:paraId="22DF448C" w14:textId="3A0BC654" w:rsidR="00614C9E" w:rsidRDefault="00614C9E" w:rsidP="004D2758">
      <w:pPr>
        <w:spacing w:line="480" w:lineRule="auto"/>
        <w:rPr>
          <w:rFonts w:eastAsiaTheme="minorEastAsia"/>
        </w:rPr>
      </w:pPr>
      <w:r>
        <w:rPr>
          <w:rFonts w:eastAsiaTheme="minorEastAsia"/>
        </w:rPr>
        <w:t xml:space="preserve">The limitations for the first FWT are </w:t>
      </w:r>
      <w:r w:rsidR="00061E3A">
        <w:rPr>
          <w:rFonts w:eastAsiaTheme="minorEastAsia"/>
        </w:rPr>
        <w:t>practical</w:t>
      </w:r>
      <w:r>
        <w:rPr>
          <w:rFonts w:eastAsiaTheme="minorEastAsia"/>
        </w:rPr>
        <w:t xml:space="preserve"> in nature</w:t>
      </w:r>
      <w:r w:rsidR="00061E3A">
        <w:rPr>
          <w:rFonts w:eastAsiaTheme="minorEastAsia"/>
        </w:rPr>
        <w:t>, since</w:t>
      </w:r>
      <w:r>
        <w:rPr>
          <w:rFonts w:eastAsiaTheme="minorEastAsia"/>
        </w:rPr>
        <w:t xml:space="preserve"> the prerequisite assumptions </w:t>
      </w:r>
      <w:r w:rsidR="00061E3A">
        <w:rPr>
          <w:rFonts w:eastAsiaTheme="minorEastAsia"/>
        </w:rPr>
        <w:t>are rarely, if ever,</w:t>
      </w:r>
      <w:r>
        <w:rPr>
          <w:rFonts w:eastAsiaTheme="minorEastAsia"/>
        </w:rPr>
        <w:t xml:space="preserve"> satisfied. For example, </w:t>
      </w:r>
      <w:r w:rsidR="007A321F">
        <w:rPr>
          <w:rFonts w:eastAsiaTheme="minorEastAsia"/>
        </w:rPr>
        <w:t>externalities</w:t>
      </w:r>
      <w:r>
        <w:rPr>
          <w:rFonts w:eastAsiaTheme="minorEastAsia"/>
        </w:rPr>
        <w:t xml:space="preserve"> tend to </w:t>
      </w:r>
      <w:r w:rsidR="007A321F">
        <w:rPr>
          <w:rFonts w:eastAsiaTheme="minorEastAsia"/>
        </w:rPr>
        <w:t>exist</w:t>
      </w:r>
      <w:r>
        <w:rPr>
          <w:rFonts w:eastAsiaTheme="minorEastAsia"/>
        </w:rPr>
        <w:t>, either due to envy or equity concerns – typically associated with consumption – or due to pollution and waste</w:t>
      </w:r>
      <w:r w:rsidR="00061E3A">
        <w:rPr>
          <w:rFonts w:eastAsiaTheme="minorEastAsia"/>
        </w:rPr>
        <w:t xml:space="preserve"> disposal </w:t>
      </w:r>
      <w:r>
        <w:rPr>
          <w:rFonts w:eastAsiaTheme="minorEastAsia"/>
        </w:rPr>
        <w:t>– typically associated with production</w:t>
      </w:r>
      <w:r w:rsidR="007A321F">
        <w:rPr>
          <w:rFonts w:eastAsiaTheme="minorEastAsia"/>
        </w:rPr>
        <w:t xml:space="preserve"> – all of which impact third parties</w:t>
      </w:r>
      <w:r>
        <w:rPr>
          <w:rFonts w:eastAsiaTheme="minorEastAsia"/>
        </w:rPr>
        <w:t xml:space="preserve">. </w:t>
      </w:r>
      <w:r w:rsidR="007A321F">
        <w:rPr>
          <w:rFonts w:eastAsiaTheme="minorEastAsia"/>
        </w:rPr>
        <w:t>Similar</w:t>
      </w:r>
      <w:r>
        <w:rPr>
          <w:rFonts w:eastAsiaTheme="minorEastAsia"/>
        </w:rPr>
        <w:t xml:space="preserve"> pragmatic criticisms can be levied at the </w:t>
      </w:r>
      <w:r w:rsidR="00A07F12">
        <w:rPr>
          <w:rFonts w:eastAsiaTheme="minorEastAsia"/>
        </w:rPr>
        <w:t xml:space="preserve">assumption of perfect information and an absence of </w:t>
      </w:r>
      <w:r w:rsidR="00A07F12">
        <w:rPr>
          <w:rFonts w:eastAsiaTheme="minorEastAsia"/>
        </w:rPr>
        <w:lastRenderedPageBreak/>
        <w:t>taxes and subsidies. Lipsey (2007</w:t>
      </w:r>
      <w:r w:rsidR="0099236B">
        <w:rPr>
          <w:rFonts w:eastAsiaTheme="minorEastAsia"/>
        </w:rPr>
        <w:t>, p. 354</w:t>
      </w:r>
      <w:r w:rsidR="00A07F12">
        <w:rPr>
          <w:rFonts w:eastAsiaTheme="minorEastAsia"/>
        </w:rPr>
        <w:t xml:space="preserve">) considers the fact that </w:t>
      </w:r>
      <w:r w:rsidR="007A321F">
        <w:rPr>
          <w:rFonts w:eastAsiaTheme="minorEastAsia"/>
        </w:rPr>
        <w:t>spatial location</w:t>
      </w:r>
      <w:r w:rsidR="00A07F12">
        <w:rPr>
          <w:rFonts w:eastAsiaTheme="minorEastAsia"/>
        </w:rPr>
        <w:t xml:space="preserve"> will often create </w:t>
      </w:r>
      <w:r w:rsidR="007A321F">
        <w:rPr>
          <w:rFonts w:eastAsiaTheme="minorEastAsia"/>
        </w:rPr>
        <w:t>localised</w:t>
      </w:r>
      <w:r w:rsidR="00A07F12">
        <w:rPr>
          <w:rFonts w:eastAsiaTheme="minorEastAsia"/>
        </w:rPr>
        <w:t xml:space="preserve"> oligopolies </w:t>
      </w:r>
      <w:r w:rsidR="007A321F">
        <w:rPr>
          <w:rFonts w:eastAsiaTheme="minorEastAsia"/>
        </w:rPr>
        <w:t>and thus</w:t>
      </w:r>
      <w:r w:rsidR="00A07F12">
        <w:rPr>
          <w:rFonts w:eastAsiaTheme="minorEastAsia"/>
        </w:rPr>
        <w:t xml:space="preserve"> </w:t>
      </w:r>
      <w:r w:rsidR="00F2602A">
        <w:rPr>
          <w:rFonts w:eastAsiaTheme="minorEastAsia"/>
        </w:rPr>
        <w:t xml:space="preserve">rarely is </w:t>
      </w:r>
      <w:r w:rsidR="00A07F12">
        <w:rPr>
          <w:rFonts w:eastAsiaTheme="minorEastAsia"/>
        </w:rPr>
        <w:t xml:space="preserve">perfect competition </w:t>
      </w:r>
      <w:r w:rsidR="007A321F">
        <w:rPr>
          <w:rFonts w:eastAsiaTheme="minorEastAsia"/>
        </w:rPr>
        <w:t>or</w:t>
      </w:r>
      <w:r w:rsidR="00A07F12">
        <w:rPr>
          <w:rFonts w:eastAsiaTheme="minorEastAsia"/>
        </w:rPr>
        <w:t xml:space="preserve"> price-taking present.</w:t>
      </w:r>
    </w:p>
    <w:p w14:paraId="1E13D599" w14:textId="2151088A" w:rsidR="008051DB" w:rsidRDefault="0099236B" w:rsidP="00EC4D8A">
      <w:pPr>
        <w:spacing w:line="480" w:lineRule="auto"/>
        <w:rPr>
          <w:rFonts w:eastAsiaTheme="minorEastAsia"/>
        </w:rPr>
      </w:pPr>
      <w:r>
        <w:rPr>
          <w:rFonts w:eastAsiaTheme="minorEastAsia"/>
        </w:rPr>
        <w:t>I argue t</w:t>
      </w:r>
      <w:r w:rsidR="00061E3A">
        <w:rPr>
          <w:rFonts w:eastAsiaTheme="minorEastAsia"/>
        </w:rPr>
        <w:t xml:space="preserve">he second FWT </w:t>
      </w:r>
      <w:r w:rsidR="00677D32">
        <w:rPr>
          <w:rFonts w:eastAsiaTheme="minorEastAsia"/>
        </w:rPr>
        <w:t>supports the first FWT</w:t>
      </w:r>
      <w:r>
        <w:rPr>
          <w:rFonts w:eastAsiaTheme="minorEastAsia"/>
        </w:rPr>
        <w:t xml:space="preserve">, because </w:t>
      </w:r>
      <w:r w:rsidR="005052CD">
        <w:rPr>
          <w:rFonts w:eastAsiaTheme="minorEastAsia"/>
        </w:rPr>
        <w:t>the second FWT relies on the first FWT</w:t>
      </w:r>
      <w:r>
        <w:rPr>
          <w:rFonts w:eastAsiaTheme="minorEastAsia"/>
        </w:rPr>
        <w:t xml:space="preserve">. If the second FWT undermines the first, it would undermine itself, which is a contradiction. </w:t>
      </w:r>
      <w:r w:rsidR="00EC4D8A">
        <w:rPr>
          <w:rFonts w:eastAsiaTheme="minorEastAsia"/>
        </w:rPr>
        <w:t>Varian (2014, p. 625) points out that</w:t>
      </w:r>
      <w:r w:rsidR="00F2602A">
        <w:rPr>
          <w:rFonts w:eastAsiaTheme="minorEastAsia"/>
        </w:rPr>
        <w:t xml:space="preserve"> in the second FWT,</w:t>
      </w:r>
      <w:r>
        <w:rPr>
          <w:rFonts w:eastAsiaTheme="minorEastAsia"/>
        </w:rPr>
        <w:t xml:space="preserve"> even while lump-sum transfers are non-distortionary forms of taxation, agents’ behaviour still changes post-transfer. T</w:t>
      </w:r>
      <w:r w:rsidR="00EC4D8A">
        <w:rPr>
          <w:rFonts w:eastAsiaTheme="minorEastAsia"/>
        </w:rPr>
        <w:t xml:space="preserve">he critical point is that no matter how agents’ behaviour changes, according to the first FWT, any competitive equilibrium reached thereafter will be Pareto optimal. To clarify, this is the case no matter </w:t>
      </w:r>
      <w:r w:rsidR="00EC4D8A" w:rsidRPr="00EC4D8A">
        <w:rPr>
          <w:rFonts w:eastAsiaTheme="minorEastAsia"/>
          <w:i/>
          <w:iCs/>
        </w:rPr>
        <w:t>how</w:t>
      </w:r>
      <w:r w:rsidR="00EC4D8A">
        <w:rPr>
          <w:rFonts w:eastAsiaTheme="minorEastAsia"/>
        </w:rPr>
        <w:t xml:space="preserve"> endowments are redistributed, so long as </w:t>
      </w:r>
      <w:r w:rsidR="00EC4D8A">
        <w:rPr>
          <w:rFonts w:eastAsiaTheme="minorEastAsia"/>
          <w:i/>
          <w:iCs/>
        </w:rPr>
        <w:t>only</w:t>
      </w:r>
      <w:r w:rsidR="00EC4D8A">
        <w:rPr>
          <w:rFonts w:eastAsiaTheme="minorEastAsia"/>
        </w:rPr>
        <w:t xml:space="preserve"> </w:t>
      </w:r>
      <w:r w:rsidR="00EC4D8A" w:rsidRPr="00EC4D8A">
        <w:rPr>
          <w:rFonts w:eastAsiaTheme="minorEastAsia"/>
        </w:rPr>
        <w:t>endowments</w:t>
      </w:r>
      <w:r w:rsidR="00EC4D8A">
        <w:rPr>
          <w:rFonts w:eastAsiaTheme="minorEastAsia"/>
        </w:rPr>
        <w:t xml:space="preserve"> are redistributed. </w:t>
      </w:r>
    </w:p>
    <w:p w14:paraId="011B6F84" w14:textId="3BAE7D31" w:rsidR="00614C9E" w:rsidRDefault="00DB38A9" w:rsidP="00F43D88">
      <w:pPr>
        <w:spacing w:line="480" w:lineRule="auto"/>
        <w:rPr>
          <w:rFonts w:eastAsiaTheme="minorEastAsia"/>
        </w:rPr>
      </w:pPr>
      <w:r>
        <w:rPr>
          <w:rFonts w:eastAsiaTheme="minorEastAsia"/>
        </w:rPr>
        <w:t xml:space="preserve">Finally, there is the question of the practical use of the FWTs in guiding policy. On the one hand, even granting the practical limitations of the theorems, </w:t>
      </w:r>
      <w:r w:rsidR="00E51F6E">
        <w:rPr>
          <w:rFonts w:eastAsiaTheme="minorEastAsia"/>
        </w:rPr>
        <w:t>some argue</w:t>
      </w:r>
      <w:r>
        <w:rPr>
          <w:rFonts w:eastAsiaTheme="minorEastAsia"/>
        </w:rPr>
        <w:t xml:space="preserve"> that we should strive to approach the prerequisite assumptions as closely as possible. </w:t>
      </w:r>
      <w:r w:rsidR="00F43D88">
        <w:rPr>
          <w:rFonts w:eastAsiaTheme="minorEastAsia"/>
        </w:rPr>
        <w:t xml:space="preserve">Varian (2014, p. 625) </w:t>
      </w:r>
      <w:r w:rsidR="00E51F6E">
        <w:rPr>
          <w:rFonts w:eastAsiaTheme="minorEastAsia"/>
        </w:rPr>
        <w:t>posits</w:t>
      </w:r>
      <w:r w:rsidR="00F43D88">
        <w:rPr>
          <w:rFonts w:eastAsiaTheme="minorEastAsia"/>
        </w:rPr>
        <w:t xml:space="preserve"> that even if we cannot practically introduce lump-sum transfers</w:t>
      </w:r>
      <w:r w:rsidR="007A321F">
        <w:rPr>
          <w:rFonts w:eastAsiaTheme="minorEastAsia"/>
        </w:rPr>
        <w:t xml:space="preserve">, </w:t>
      </w:r>
      <w:r w:rsidR="00F43D88">
        <w:rPr>
          <w:rFonts w:eastAsiaTheme="minorEastAsia"/>
        </w:rPr>
        <w:t xml:space="preserve">we can still use the second FWT as a justification to focus on transfers, rather than price adjustment, to meet distributional goals, and furthermore that even </w:t>
      </w:r>
      <w:r w:rsidR="00E51F6E">
        <w:rPr>
          <w:rFonts w:eastAsiaTheme="minorEastAsia"/>
        </w:rPr>
        <w:t xml:space="preserve">if </w:t>
      </w:r>
      <w:r w:rsidR="00F43D88">
        <w:rPr>
          <w:rFonts w:eastAsiaTheme="minorEastAsia"/>
        </w:rPr>
        <w:t>lump-sum</w:t>
      </w:r>
      <w:r w:rsidR="00E51F6E">
        <w:rPr>
          <w:rFonts w:eastAsiaTheme="minorEastAsia"/>
        </w:rPr>
        <w:t xml:space="preserve"> transfers are practically impossible</w:t>
      </w:r>
      <w:r w:rsidR="00F43D88">
        <w:rPr>
          <w:rFonts w:eastAsiaTheme="minorEastAsia"/>
        </w:rPr>
        <w:t xml:space="preserve">, the second FWT justifies making them as non-distortionary as possible. However, I believe that Lipsey &amp; Lancaster (1956) and Lipsey (2007) provide the best argument for why the use of the FWTs as </w:t>
      </w:r>
      <w:r w:rsidR="00A33D8F">
        <w:rPr>
          <w:rFonts w:eastAsiaTheme="minorEastAsia"/>
        </w:rPr>
        <w:t xml:space="preserve">policy </w:t>
      </w:r>
      <w:r w:rsidR="00E51F6E">
        <w:rPr>
          <w:rFonts w:eastAsiaTheme="minorEastAsia"/>
        </w:rPr>
        <w:t xml:space="preserve">guides </w:t>
      </w:r>
      <w:r w:rsidR="007A321F">
        <w:rPr>
          <w:rFonts w:eastAsiaTheme="minorEastAsia"/>
        </w:rPr>
        <w:t>fails</w:t>
      </w:r>
      <w:r w:rsidR="00A33D8F">
        <w:rPr>
          <w:rFonts w:eastAsiaTheme="minorEastAsia"/>
        </w:rPr>
        <w:t xml:space="preserve">. Lipsey &amp; Lancaster (1956) </w:t>
      </w:r>
      <w:r w:rsidR="00E51F6E">
        <w:rPr>
          <w:rFonts w:eastAsiaTheme="minorEastAsia"/>
        </w:rPr>
        <w:t>show</w:t>
      </w:r>
      <w:r w:rsidR="00A33D8F">
        <w:rPr>
          <w:rFonts w:eastAsiaTheme="minorEastAsia"/>
        </w:rPr>
        <w:t xml:space="preserve"> that</w:t>
      </w:r>
      <w:r w:rsidR="00F2602A">
        <w:rPr>
          <w:rFonts w:eastAsiaTheme="minorEastAsia"/>
        </w:rPr>
        <w:t xml:space="preserve"> if </w:t>
      </w:r>
      <w:r w:rsidR="00A33D8F">
        <w:rPr>
          <w:rFonts w:eastAsiaTheme="minorEastAsia"/>
        </w:rPr>
        <w:t xml:space="preserve">any of the initial assumptions are unattainable, an optimum situation can be achieved only by departing from all other assumptions. </w:t>
      </w:r>
      <w:r w:rsidR="00E51F6E">
        <w:rPr>
          <w:rFonts w:eastAsiaTheme="minorEastAsia"/>
        </w:rPr>
        <w:t xml:space="preserve">An </w:t>
      </w:r>
      <w:r w:rsidR="00A33D8F">
        <w:rPr>
          <w:rFonts w:eastAsiaTheme="minorEastAsia"/>
        </w:rPr>
        <w:t>optimum achieved under constraint is termed a ‘second</w:t>
      </w:r>
      <w:r w:rsidR="00F2602A">
        <w:rPr>
          <w:rFonts w:eastAsiaTheme="minorEastAsia"/>
        </w:rPr>
        <w:t>-</w:t>
      </w:r>
      <w:r w:rsidR="00A33D8F">
        <w:rPr>
          <w:rFonts w:eastAsiaTheme="minorEastAsia"/>
        </w:rPr>
        <w:t xml:space="preserve">best’ optimum. </w:t>
      </w:r>
      <w:r w:rsidR="00E51F6E">
        <w:rPr>
          <w:rFonts w:eastAsiaTheme="minorEastAsia"/>
        </w:rPr>
        <w:t xml:space="preserve">As we exist in a second-best world, there is reason to </w:t>
      </w:r>
      <w:r w:rsidR="00A33D8F">
        <w:rPr>
          <w:rFonts w:eastAsiaTheme="minorEastAsia"/>
        </w:rPr>
        <w:t xml:space="preserve">doubt Varian’s (2014, p. 625) argument and any policy prescriptions </w:t>
      </w:r>
      <w:r w:rsidR="00F2602A">
        <w:rPr>
          <w:rFonts w:eastAsiaTheme="minorEastAsia"/>
        </w:rPr>
        <w:t>using</w:t>
      </w:r>
      <w:r w:rsidR="00A33D8F">
        <w:rPr>
          <w:rFonts w:eastAsiaTheme="minorEastAsia"/>
        </w:rPr>
        <w:t xml:space="preserve"> the FWTs </w:t>
      </w:r>
      <w:r w:rsidR="00F2602A">
        <w:rPr>
          <w:rFonts w:eastAsiaTheme="minorEastAsia"/>
        </w:rPr>
        <w:t xml:space="preserve">and their assumptions </w:t>
      </w:r>
      <w:r w:rsidR="00E51F6E">
        <w:rPr>
          <w:rFonts w:eastAsiaTheme="minorEastAsia"/>
        </w:rPr>
        <w:t xml:space="preserve">as </w:t>
      </w:r>
      <w:r w:rsidR="00F2602A">
        <w:rPr>
          <w:rFonts w:eastAsiaTheme="minorEastAsia"/>
        </w:rPr>
        <w:t>heuristics</w:t>
      </w:r>
      <w:r w:rsidR="00E51F6E">
        <w:rPr>
          <w:rFonts w:eastAsiaTheme="minorEastAsia"/>
        </w:rPr>
        <w:t xml:space="preserve">. Instead, </w:t>
      </w:r>
      <w:r w:rsidR="00A33D8F">
        <w:rPr>
          <w:rFonts w:eastAsiaTheme="minorEastAsia"/>
        </w:rPr>
        <w:t xml:space="preserve">a contextual, specific examination of the policy prescriptions </w:t>
      </w:r>
      <w:r w:rsidR="00E51F6E">
        <w:rPr>
          <w:rFonts w:eastAsiaTheme="minorEastAsia"/>
        </w:rPr>
        <w:t>is preferred</w:t>
      </w:r>
      <w:r w:rsidR="00A33D8F">
        <w:rPr>
          <w:rFonts w:eastAsiaTheme="minorEastAsia"/>
        </w:rPr>
        <w:t>.</w:t>
      </w:r>
    </w:p>
    <w:p w14:paraId="2395311F" w14:textId="798F2352" w:rsidR="0012787A" w:rsidRDefault="0012787A" w:rsidP="0012787A">
      <w:pPr>
        <w:pStyle w:val="Heading1"/>
        <w:spacing w:line="480" w:lineRule="auto"/>
      </w:pPr>
      <w:r>
        <w:lastRenderedPageBreak/>
        <w:t>Question 4</w:t>
      </w:r>
    </w:p>
    <w:p w14:paraId="27FD5D6A" w14:textId="5612F743" w:rsidR="00B13C3C" w:rsidRDefault="00FA5187" w:rsidP="00FA5187">
      <w:pPr>
        <w:spacing w:line="480" w:lineRule="auto"/>
      </w:pPr>
      <w:r>
        <w:t>Non-market valuation is important in policy analysis. If non-market values cannot be assessed, then the benefit of non-market goods and services will likely be severely over- or underestimated</w:t>
      </w:r>
      <w:r w:rsidR="00B13C3C">
        <w:t xml:space="preserve">. When the input data into cost-benefit analyses (CBAs) is inaccurate, policy evaluations will likely lead to projects being approved or rejected such that the level of non-market goods becomes very different from their socially optimal level. Insofar as the goal of policy is to align the stock of </w:t>
      </w:r>
      <w:r w:rsidR="00B13C3C">
        <w:rPr>
          <w:i/>
          <w:iCs/>
        </w:rPr>
        <w:t xml:space="preserve">things </w:t>
      </w:r>
      <w:r w:rsidR="00B13C3C">
        <w:t>with their socially optimal levels, this would be a policy failure relative to the world where input data is more accurate.</w:t>
      </w:r>
    </w:p>
    <w:p w14:paraId="62F933E9" w14:textId="02B5A8A2" w:rsidR="00FA5187" w:rsidRPr="00DE4E1C" w:rsidRDefault="00FA5187" w:rsidP="00DE4E1C">
      <w:pPr>
        <w:spacing w:line="480" w:lineRule="auto"/>
      </w:pPr>
      <w:r>
        <w:t xml:space="preserve">Some examples of non-market goods and services include parks, upcoming market products, and pro-bono legal advice. </w:t>
      </w:r>
      <w:r w:rsidR="0045090C">
        <w:t xml:space="preserve">Ozdemiroglu </w:t>
      </w:r>
      <w:r>
        <w:t xml:space="preserve">&amp; </w:t>
      </w:r>
      <w:r w:rsidR="0045090C">
        <w:t xml:space="preserve">Hails </w:t>
      </w:r>
      <w:r>
        <w:t>(2016) point out that the nominal value of parks in local authority accounts tends to be £1. In naïve CBA</w:t>
      </w:r>
      <w:r w:rsidR="001B37EC">
        <w:t>s</w:t>
      </w:r>
      <w:r>
        <w:t xml:space="preserve">, </w:t>
      </w:r>
      <w:r w:rsidR="00B13C3C">
        <w:t>£1</w:t>
      </w:r>
      <w:r w:rsidR="00C53858">
        <w:t xml:space="preserve"> is</w:t>
      </w:r>
      <w:r w:rsidR="00B13C3C">
        <w:t xml:space="preserve"> </w:t>
      </w:r>
      <w:r w:rsidR="00DE4E1C">
        <w:t>taken as</w:t>
      </w:r>
      <w:r w:rsidR="00B13C3C">
        <w:t xml:space="preserve"> the value </w:t>
      </w:r>
      <w:r w:rsidR="00DE4E1C">
        <w:t>all</w:t>
      </w:r>
      <w:r w:rsidR="00B13C3C">
        <w:t xml:space="preserve"> park</w:t>
      </w:r>
      <w:r w:rsidR="00DE4E1C">
        <w:t>s</w:t>
      </w:r>
      <w:r w:rsidR="00B13C3C">
        <w:t xml:space="preserve">; in a more representative CBA, </w:t>
      </w:r>
      <w:r w:rsidR="00DE4E1C">
        <w:t>we evaluate non-market goods in a three-step process: first, the effect a decision influences agents or the environment is understood; second, the change in environment and benefits are measured; finally, these benefits are estimated in monetary terms (Ozdemiroglu &amp; Hails, 2016, p. 5). This final step</w:t>
      </w:r>
      <w:r>
        <w:t xml:space="preserve"> </w:t>
      </w:r>
      <w:r w:rsidR="00DE4E1C">
        <w:t xml:space="preserve">typically </w:t>
      </w:r>
      <w:r>
        <w:t>fall</w:t>
      </w:r>
      <w:r w:rsidR="00DE4E1C">
        <w:t>s</w:t>
      </w:r>
      <w:r>
        <w:t xml:space="preserve"> </w:t>
      </w:r>
      <w:r w:rsidR="00B84539">
        <w:t>into either revealed preference (RP) or stated preference (SP) methodologies.</w:t>
      </w:r>
      <w:r w:rsidR="00B84539">
        <w:rPr>
          <w:i/>
          <w:iCs/>
        </w:rPr>
        <w:t xml:space="preserve"> </w:t>
      </w:r>
      <w:r w:rsidR="00B84539">
        <w:t xml:space="preserve">RPs </w:t>
      </w:r>
      <w:r>
        <w:t xml:space="preserve">give information on </w:t>
      </w:r>
      <w:r>
        <w:rPr>
          <w:i/>
          <w:iCs/>
        </w:rPr>
        <w:t>use</w:t>
      </w:r>
      <w:r>
        <w:t xml:space="preserve"> value, i.e., the direct and indirect personal benefit gained from using a certain good/service, while </w:t>
      </w:r>
      <w:r w:rsidR="00B84539">
        <w:t xml:space="preserve">SPs can </w:t>
      </w:r>
      <w:r>
        <w:t xml:space="preserve">inform researchers on both </w:t>
      </w:r>
      <w:r>
        <w:rPr>
          <w:i/>
          <w:iCs/>
        </w:rPr>
        <w:t>use</w:t>
      </w:r>
      <w:r>
        <w:t xml:space="preserve"> and </w:t>
      </w:r>
      <w:r>
        <w:rPr>
          <w:i/>
          <w:iCs/>
        </w:rPr>
        <w:t>non-use</w:t>
      </w:r>
      <w:r>
        <w:t xml:space="preserve"> value, the latter being benefits from the </w:t>
      </w:r>
      <w:r>
        <w:rPr>
          <w:b/>
          <w:bCs/>
        </w:rPr>
        <w:t>option</w:t>
      </w:r>
      <w:r>
        <w:t xml:space="preserve"> </w:t>
      </w:r>
      <w:r>
        <w:rPr>
          <w:b/>
          <w:bCs/>
        </w:rPr>
        <w:t>to use</w:t>
      </w:r>
      <w:r>
        <w:t xml:space="preserve">, the fact that </w:t>
      </w:r>
      <w:r>
        <w:rPr>
          <w:b/>
          <w:bCs/>
        </w:rPr>
        <w:t>others can use</w:t>
      </w:r>
      <w:r>
        <w:t xml:space="preserve"> (both </w:t>
      </w:r>
      <w:r>
        <w:rPr>
          <w:b/>
          <w:bCs/>
        </w:rPr>
        <w:t>now</w:t>
      </w:r>
      <w:r>
        <w:t xml:space="preserve"> and in the </w:t>
      </w:r>
      <w:r w:rsidRPr="00FA5187">
        <w:rPr>
          <w:b/>
          <w:bCs/>
        </w:rPr>
        <w:t>future</w:t>
      </w:r>
      <w:r>
        <w:t xml:space="preserve">), and finally for the sake of the thing’s existence </w:t>
      </w:r>
      <w:r w:rsidRPr="00FA5187">
        <w:rPr>
          <w:b/>
          <w:bCs/>
        </w:rPr>
        <w:t>in and of itself</w:t>
      </w:r>
      <w:r>
        <w:rPr>
          <w:b/>
          <w:bCs/>
        </w:rPr>
        <w:t xml:space="preserve"> (</w:t>
      </w:r>
      <w:r>
        <w:t>Ozdemiroglu &amp; Hails, 2016, p. 3).</w:t>
      </w:r>
    </w:p>
    <w:p w14:paraId="375DB8D2" w14:textId="30ED7CC0" w:rsidR="00FA5187" w:rsidRDefault="00B13C3C" w:rsidP="00FA5187">
      <w:pPr>
        <w:spacing w:line="480" w:lineRule="auto"/>
      </w:pPr>
      <w:r>
        <w:t>T</w:t>
      </w:r>
      <w:r w:rsidR="00FA5187">
        <w:t xml:space="preserve">here are many </w:t>
      </w:r>
      <w:r w:rsidR="00B84539">
        <w:t>RP</w:t>
      </w:r>
      <w:r w:rsidR="00FA5187">
        <w:t xml:space="preserve"> methods</w:t>
      </w:r>
      <w:r>
        <w:t xml:space="preserve"> – </w:t>
      </w:r>
      <w:r w:rsidR="00DE4E1C">
        <w:t>I will examine</w:t>
      </w:r>
      <w:r w:rsidR="00FA5187">
        <w:t xml:space="preserve"> the pros and cons of the econometric-based RP (ERP) methods, notably hedonic pricing models</w:t>
      </w:r>
      <w:r>
        <w:t>.</w:t>
      </w:r>
      <w:r w:rsidR="00FA5187">
        <w:t xml:space="preserve"> </w:t>
      </w:r>
      <w:r>
        <w:t>A</w:t>
      </w:r>
      <w:r w:rsidR="00FA5187">
        <w:t xml:space="preserve">s Bishop et al. (2020) point out, the hedonic property-value model has “become one of the premier approaches to valuing </w:t>
      </w:r>
      <w:r w:rsidR="00FA5187">
        <w:lastRenderedPageBreak/>
        <w:t>environmental amenities”, so for the sake of time it makes sense to focus here. ERP</w:t>
      </w:r>
      <w:r w:rsidR="0045090C">
        <w:t xml:space="preserve"> models</w:t>
      </w:r>
      <w:r w:rsidR="00FA5187">
        <w:t xml:space="preserve"> measure market price differentials due to non-market factors to estimate the willingness-to-pay (WTP) for</w:t>
      </w:r>
      <w:r w:rsidR="0045090C">
        <w:t>, or willingness-to-accept (WTA),</w:t>
      </w:r>
      <w:r w:rsidR="00FA5187">
        <w:t xml:space="preserve"> those non-market factors. The central tension within ERP methods lies between their ability to utilise market data and thus generate relatively robust non-market valuations (DEFRA, 2007, pp. 36-37) versus the practical applicability of the model’s assumptions. For example, </w:t>
      </w:r>
      <w:r w:rsidR="00EB7C70">
        <w:t>consumers</w:t>
      </w:r>
      <w:r w:rsidR="00FA5187">
        <w:t xml:space="preserve"> making purchasing decisions </w:t>
      </w:r>
      <w:r w:rsidR="0066751A">
        <w:t>are</w:t>
      </w:r>
      <w:r w:rsidR="00FA5187">
        <w:t xml:space="preserve"> assumed </w:t>
      </w:r>
      <w:r w:rsidR="00EB7C70">
        <w:t>to be</w:t>
      </w:r>
      <w:r w:rsidR="0066751A">
        <w:t xml:space="preserve"> </w:t>
      </w:r>
      <w:r w:rsidR="00EB7C70">
        <w:t>aware of</w:t>
      </w:r>
      <w:r w:rsidR="00FA5187">
        <w:t xml:space="preserve"> the non-market factor</w:t>
      </w:r>
      <w:r w:rsidR="00EB7C70">
        <w:t>s</w:t>
      </w:r>
      <w:r w:rsidR="00FA5187">
        <w:t xml:space="preserve"> which </w:t>
      </w:r>
      <w:r w:rsidR="00EB7C70">
        <w:t>supposedly</w:t>
      </w:r>
      <w:r w:rsidR="00FA5187">
        <w:t xml:space="preserve"> influenc</w:t>
      </w:r>
      <w:r w:rsidR="00EB7C70">
        <w:t>e</w:t>
      </w:r>
      <w:r w:rsidR="00FA5187">
        <w:t xml:space="preserve"> </w:t>
      </w:r>
      <w:r w:rsidR="00EB7C70">
        <w:t>their WTP</w:t>
      </w:r>
      <w:r w:rsidR="00FA5187">
        <w:t xml:space="preserve"> – however, Bishop et al. (2020, p. 267) point out</w:t>
      </w:r>
      <w:r w:rsidR="0066751A">
        <w:t xml:space="preserve"> that</w:t>
      </w:r>
      <w:r w:rsidR="00FA5187">
        <w:t xml:space="preserve"> consumers often </w:t>
      </w:r>
      <w:r w:rsidR="0066751A">
        <w:t xml:space="preserve">are </w:t>
      </w:r>
      <w:r w:rsidR="00FA5187">
        <w:t>relatively information</w:t>
      </w:r>
      <w:r w:rsidR="00EB7C70">
        <w:t>-</w:t>
      </w:r>
      <w:r w:rsidR="0066751A">
        <w:t xml:space="preserve">deficient </w:t>
      </w:r>
      <w:r w:rsidR="00FA5187">
        <w:t>and different disclosure rules adjust housing prices</w:t>
      </w:r>
      <w:r w:rsidR="00B84539">
        <w:t xml:space="preserve">, e.g., </w:t>
      </w:r>
      <w:r w:rsidR="00EB7C70">
        <w:t xml:space="preserve">on </w:t>
      </w:r>
      <w:r w:rsidR="00B84539">
        <w:t>properties near a noisy airport</w:t>
      </w:r>
      <w:r w:rsidR="00FA5187">
        <w:t>. A further practical</w:t>
      </w:r>
      <w:r w:rsidR="0045090C">
        <w:t xml:space="preserve"> problem is</w:t>
      </w:r>
      <w:r w:rsidR="00FA5187">
        <w:t xml:space="preserve"> </w:t>
      </w:r>
      <w:r w:rsidR="0045090C">
        <w:t>the potential for omitted-variable bias (OVB)</w:t>
      </w:r>
      <w:r w:rsidR="00B84539">
        <w:t xml:space="preserve"> due to the</w:t>
      </w:r>
      <w:r w:rsidR="0045090C">
        <w:t xml:space="preserve"> </w:t>
      </w:r>
      <w:r w:rsidR="00105B13">
        <w:t>strong potential</w:t>
      </w:r>
      <w:r w:rsidR="0045090C">
        <w:t xml:space="preserve"> for spatial correlation between </w:t>
      </w:r>
      <w:r w:rsidR="00105B13">
        <w:t>features</w:t>
      </w:r>
      <w:r w:rsidR="006D57E0">
        <w:t xml:space="preserve">, </w:t>
      </w:r>
      <w:r w:rsidR="0045090C">
        <w:t>e.g., parks and rivers</w:t>
      </w:r>
      <w:r w:rsidR="006D57E0">
        <w:t>,</w:t>
      </w:r>
      <w:r w:rsidR="0045090C">
        <w:t xml:space="preserve"> which </w:t>
      </w:r>
      <w:r w:rsidR="006D57E0">
        <w:t xml:space="preserve">both </w:t>
      </w:r>
      <w:r w:rsidR="0066751A">
        <w:t>affect</w:t>
      </w:r>
      <w:r w:rsidR="00105B13">
        <w:t xml:space="preserve"> </w:t>
      </w:r>
      <w:r w:rsidR="006D57E0">
        <w:t>housing prices</w:t>
      </w:r>
      <w:r w:rsidR="0045090C">
        <w:t>. Potential for OVB must be balanced with not overfitting the model (Bishop et al., 2020, pp. 270-3); as such</w:t>
      </w:r>
      <w:r w:rsidR="00105B13">
        <w:t>,</w:t>
      </w:r>
      <w:r w:rsidR="0045090C">
        <w:t xml:space="preserve"> ERPs </w:t>
      </w:r>
      <w:r w:rsidR="00C53858">
        <w:t>necessarily retain some level of unavoidable bias</w:t>
      </w:r>
      <w:r w:rsidR="0045090C">
        <w:t>.</w:t>
      </w:r>
    </w:p>
    <w:p w14:paraId="2AEFF5ED" w14:textId="63AA3FCA" w:rsidR="0045090C" w:rsidRDefault="006D57E0" w:rsidP="00FA5187">
      <w:pPr>
        <w:spacing w:line="480" w:lineRule="auto"/>
      </w:pPr>
      <w:r>
        <w:t xml:space="preserve">SPs </w:t>
      </w:r>
      <w:r w:rsidR="0045090C">
        <w:t xml:space="preserve">instead </w:t>
      </w:r>
      <w:r w:rsidR="00105B13">
        <w:t>utilise</w:t>
      </w:r>
      <w:r w:rsidR="0045090C">
        <w:t xml:space="preserve"> </w:t>
      </w:r>
      <w:r w:rsidR="00EA3B73">
        <w:t xml:space="preserve">hypothetical markets in either choice-based conjoint (CBC) surveys or contingent valuation methods (CVM) </w:t>
      </w:r>
      <w:sdt>
        <w:sdtPr>
          <w:id w:val="-443456304"/>
          <w:citation/>
        </w:sdtPr>
        <w:sdtContent>
          <w:r w:rsidR="00EA3B73">
            <w:fldChar w:fldCharType="begin"/>
          </w:r>
          <w:r w:rsidR="00EA3B73">
            <w:instrText xml:space="preserve">CITATION McF17 \p 153 \l 2057 </w:instrText>
          </w:r>
          <w:r w:rsidR="00EA3B73">
            <w:fldChar w:fldCharType="separate"/>
          </w:r>
          <w:r w:rsidR="00B02C9E">
            <w:rPr>
              <w:noProof/>
            </w:rPr>
            <w:t>(McFadden, 2017, p. 153)</w:t>
          </w:r>
          <w:r w:rsidR="00EA3B73">
            <w:fldChar w:fldCharType="end"/>
          </w:r>
        </w:sdtContent>
      </w:sdt>
      <w:r w:rsidR="00EA3B73">
        <w:t xml:space="preserve">. McFadden (2017, p. 158) argues that CBC surveys, which are often used to forecast demand for new products, successfully simulate real in-market choices and are therefore widely accepted in market research to predict the demand for consumer products. See figure </w:t>
      </w:r>
      <w:r w:rsidR="00105B13">
        <w:t>1</w:t>
      </w:r>
      <w:r w:rsidR="00EA3B73">
        <w:t xml:space="preserve"> for common CBC survey design.</w:t>
      </w:r>
    </w:p>
    <w:p w14:paraId="60444CD6" w14:textId="3AEBAB53" w:rsidR="00EA3B73" w:rsidRDefault="00EA3B73" w:rsidP="00EA3B73">
      <w:pPr>
        <w:spacing w:line="480" w:lineRule="auto"/>
        <w:jc w:val="center"/>
      </w:pPr>
      <w:r>
        <w:rPr>
          <w:noProof/>
        </w:rPr>
        <w:lastRenderedPageBreak/>
        <w:drawing>
          <wp:inline distT="0" distB="0" distL="0" distR="0" wp14:anchorId="7E185C8D" wp14:editId="67BAFEE3">
            <wp:extent cx="4379739" cy="2018582"/>
            <wp:effectExtent l="0" t="0" r="1905" b="1270"/>
            <wp:docPr id="1522604180"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604180" name="Picture 1" descr="A white paper with black text&#10;&#10;AI-generated content may be incorrect."/>
                    <pic:cNvPicPr/>
                  </pic:nvPicPr>
                  <pic:blipFill>
                    <a:blip r:embed="rId13"/>
                    <a:stretch>
                      <a:fillRect/>
                    </a:stretch>
                  </pic:blipFill>
                  <pic:spPr>
                    <a:xfrm>
                      <a:off x="0" y="0"/>
                      <a:ext cx="4398627" cy="2027287"/>
                    </a:xfrm>
                    <a:prstGeom prst="rect">
                      <a:avLst/>
                    </a:prstGeom>
                  </pic:spPr>
                </pic:pic>
              </a:graphicData>
            </a:graphic>
          </wp:inline>
        </w:drawing>
      </w:r>
    </w:p>
    <w:p w14:paraId="61B0F7D0" w14:textId="06A7003F" w:rsidR="00EA3B73" w:rsidRPr="00EA3B73" w:rsidRDefault="00EA3B73" w:rsidP="00EA3B73">
      <w:pPr>
        <w:spacing w:line="480" w:lineRule="auto"/>
        <w:jc w:val="center"/>
        <w:rPr>
          <w:i/>
          <w:iCs/>
        </w:rPr>
      </w:pPr>
      <w:r>
        <w:rPr>
          <w:i/>
          <w:iCs/>
        </w:rPr>
        <w:t xml:space="preserve">Figure </w:t>
      </w:r>
      <w:r w:rsidR="00105B13">
        <w:rPr>
          <w:i/>
          <w:iCs/>
        </w:rPr>
        <w:t>1</w:t>
      </w:r>
      <w:r>
        <w:rPr>
          <w:i/>
          <w:iCs/>
        </w:rPr>
        <w:t xml:space="preserve"> – “A typical CBC menu: paper towels” McFadden (2017, p. 158, Table 1)</w:t>
      </w:r>
    </w:p>
    <w:p w14:paraId="7B8055DC" w14:textId="5BDC8280" w:rsidR="00105B13" w:rsidRDefault="00EA3B73" w:rsidP="00FA5187">
      <w:pPr>
        <w:spacing w:line="480" w:lineRule="auto"/>
      </w:pPr>
      <w:r>
        <w:t>On the other hand, CVMs tend to be more common in environmental economics for assessing the non-use value of</w:t>
      </w:r>
      <w:r w:rsidR="0066751A">
        <w:t xml:space="preserve"> environmental amenities/disturbances</w:t>
      </w:r>
      <w:r>
        <w:t xml:space="preserve">; Bishop et al. (2017) </w:t>
      </w:r>
      <w:r w:rsidR="00105B13">
        <w:t>use</w:t>
      </w:r>
      <w:r w:rsidR="006D57E0">
        <w:t>d</w:t>
      </w:r>
      <w:r w:rsidR="00105B13">
        <w:t xml:space="preserve"> a CVM </w:t>
      </w:r>
      <w:r>
        <w:t>in which taxpayers were asked their WTP to prevent either injury set A: oil spills, dead birds, and lost recreational trips; or injury set B</w:t>
      </w:r>
      <w:r w:rsidR="0066751A">
        <w:t>,</w:t>
      </w:r>
      <w:r>
        <w:t xml:space="preserve"> which was</w:t>
      </w:r>
      <w:r w:rsidR="0066751A">
        <w:t>:</w:t>
      </w:r>
      <w:r>
        <w:t xml:space="preserve"> injury set A plus injuries to bottlenose dolphins, deep-water corals, snails, young fish, and young sea turtles. The WTP price was varied randomly from $15-435.</w:t>
      </w:r>
    </w:p>
    <w:p w14:paraId="0F3B061D" w14:textId="74E2C8BE" w:rsidR="0045090C" w:rsidRDefault="00EA3B73" w:rsidP="00FA5187">
      <w:pPr>
        <w:spacing w:line="480" w:lineRule="auto"/>
      </w:pPr>
      <w:r>
        <w:t xml:space="preserve">Of the two methods, CVMs are the most controversial because </w:t>
      </w:r>
      <w:r w:rsidR="00C53858">
        <w:t>they</w:t>
      </w:r>
      <w:r>
        <w:t xml:space="preserve"> </w:t>
      </w:r>
      <w:r w:rsidR="0066751A">
        <w:t>focus on</w:t>
      </w:r>
      <w:r>
        <w:t xml:space="preserve"> non-use value, typically of goods which will </w:t>
      </w:r>
      <w:r w:rsidR="0066751A">
        <w:t>never</w:t>
      </w:r>
      <w:r>
        <w:t xml:space="preserve"> enter the market, reducing chances to </w:t>
      </w:r>
      <w:r w:rsidR="0066751A">
        <w:t>evaluate</w:t>
      </w:r>
      <w:r>
        <w:t xml:space="preserve"> the reliability of methods (McFadden, 2017, p. 160).</w:t>
      </w:r>
      <w:r w:rsidR="00105B13" w:rsidRPr="00105B13">
        <w:t xml:space="preserve"> </w:t>
      </w:r>
      <w:r w:rsidR="006D57E0">
        <w:t>Furthermore, it is</w:t>
      </w:r>
      <w:r w:rsidR="00105B13">
        <w:t xml:space="preserve"> </w:t>
      </w:r>
      <w:r w:rsidR="006D57E0">
        <w:t>probable</w:t>
      </w:r>
      <w:r w:rsidR="00105B13">
        <w:t xml:space="preserve"> that most respondents are not in a position to form robust, consistent preferences about unfamiliar environmental situations in an experimental setting (McFadden, 2017, p. 154). </w:t>
      </w:r>
      <w:r>
        <w:t xml:space="preserve">Baron (2017) </w:t>
      </w:r>
      <w:r w:rsidR="00105B13">
        <w:t>highlighted additional CVM short-comings</w:t>
      </w:r>
      <w:r w:rsidR="0066751A">
        <w:t xml:space="preserve"> </w:t>
      </w:r>
      <w:r>
        <w:t>in his reply to Bishop et al. (2017)</w:t>
      </w:r>
      <w:r w:rsidR="00105B13">
        <w:t xml:space="preserve">: </w:t>
      </w:r>
      <w:r>
        <w:t>Bishop et al. (2017) claim that the increasing WTP from injury group A to B prove</w:t>
      </w:r>
      <w:r w:rsidR="00105B13">
        <w:t xml:space="preserve">s </w:t>
      </w:r>
      <w:r>
        <w:t xml:space="preserve">their CVM elicited consistent preferences, </w:t>
      </w:r>
      <w:r w:rsidR="006D57E0">
        <w:t xml:space="preserve">but </w:t>
      </w:r>
      <w:r>
        <w:t xml:space="preserve">Baron (2017) points out that the difference between the WTPs is likely too small. If we take injury group C as the additional injured parties from groups A to B, the </w:t>
      </w:r>
      <w:r w:rsidR="00105B13">
        <w:t>additional WTP</w:t>
      </w:r>
      <w:r>
        <w:t xml:space="preserve"> between A and B is likely too small to estimate the WTP for group C; </w:t>
      </w:r>
      <w:r w:rsidR="006D57E0">
        <w:t>therefore</w:t>
      </w:r>
      <w:r>
        <w:t xml:space="preserve">, </w:t>
      </w:r>
      <w:r w:rsidR="006D57E0">
        <w:t>the survey suggests respondents</w:t>
      </w:r>
      <w:r>
        <w:t xml:space="preserve"> did not take </w:t>
      </w:r>
      <m:oMath>
        <m:r>
          <w:rPr>
            <w:rFonts w:ascii="Cambria Math" w:hAnsi="Cambria Math"/>
          </w:rPr>
          <m:t>WTP</m:t>
        </m:r>
        <m:d>
          <m:dPr>
            <m:ctrlPr>
              <w:rPr>
                <w:rFonts w:ascii="Cambria Math" w:hAnsi="Cambria Math"/>
                <w:i/>
              </w:rPr>
            </m:ctrlPr>
          </m:dPr>
          <m:e>
            <m:r>
              <w:rPr>
                <w:rFonts w:ascii="Cambria Math" w:hAnsi="Cambria Math"/>
              </w:rPr>
              <m:t>A+C</m:t>
            </m:r>
          </m:e>
        </m:d>
        <m:r>
          <w:rPr>
            <w:rFonts w:ascii="Cambria Math" w:hAnsi="Cambria Math"/>
          </w:rPr>
          <m:t>=WTP(A)+</m:t>
        </m:r>
        <m:r>
          <w:rPr>
            <w:rFonts w:ascii="Cambria Math" w:hAnsi="Cambria Math"/>
          </w:rPr>
          <w:lastRenderedPageBreak/>
          <m:t>WTP(C)</m:t>
        </m:r>
      </m:oMath>
      <w:r>
        <w:t xml:space="preserve">, which casts doubt on CVMs’ ability to reliably elicit consistent preferences in line with standard economic theory, as CBC surveys often do (Bishop, 2017; McFadden, 2017). </w:t>
      </w:r>
    </w:p>
    <w:p w14:paraId="20FB0BCA" w14:textId="4DA36DD7" w:rsidR="00EA3B73" w:rsidRDefault="00EA3B73" w:rsidP="00FA5187">
      <w:pPr>
        <w:spacing w:line="480" w:lineRule="auto"/>
      </w:pPr>
      <w:r>
        <w:t>In conclusion, while non-market valuation is significant in policy analysis, there exist many methodological obstacles</w:t>
      </w:r>
      <w:r w:rsidR="0066751A">
        <w:t xml:space="preserve">, </w:t>
      </w:r>
      <w:r>
        <w:t>bias</w:t>
      </w:r>
      <w:r w:rsidR="0066751A">
        <w:t>ing</w:t>
      </w:r>
      <w:r>
        <w:t xml:space="preserve"> researchers’ ability to accurately gauge this value. </w:t>
      </w:r>
      <w:r w:rsidR="0066751A">
        <w:t>Precise</w:t>
      </w:r>
      <w:r>
        <w:t xml:space="preserve"> valuation is important so that policy </w:t>
      </w:r>
      <w:r w:rsidR="0066751A">
        <w:t>evaluations</w:t>
      </w:r>
      <w:r>
        <w:t xml:space="preserve"> can meaningfully capture the benefits of non-market goods, </w:t>
      </w:r>
      <w:r w:rsidR="0066751A">
        <w:t>in addition to</w:t>
      </w:r>
      <w:r>
        <w:t xml:space="preserve"> the costs. Welfare economics has developed two </w:t>
      </w:r>
      <w:r w:rsidR="006D57E0">
        <w:t xml:space="preserve">main </w:t>
      </w:r>
      <w:r>
        <w:t xml:space="preserve">methods to appraise non-market value: revealed and stated preference (RP, SP). RP’s “premier approach” (Bishop et al. 2020) is the hedonic property-value model. While this method </w:t>
      </w:r>
      <w:r w:rsidRPr="0066751A">
        <w:rPr>
          <w:i/>
          <w:iCs/>
        </w:rPr>
        <w:t>can</w:t>
      </w:r>
      <w:r>
        <w:t xml:space="preserve"> generate robust valuations, it suffers from econometric constraints in certain contexts</w:t>
      </w:r>
      <w:r w:rsidR="006D57E0">
        <w:t xml:space="preserve"> – </w:t>
      </w:r>
      <w:r>
        <w:t>some</w:t>
      </w:r>
      <w:r w:rsidR="006D57E0">
        <w:t xml:space="preserve"> </w:t>
      </w:r>
      <w:r>
        <w:t>can be solved</w:t>
      </w:r>
      <w:r w:rsidR="0066751A">
        <w:t xml:space="preserve"> </w:t>
      </w:r>
      <w:r>
        <w:t xml:space="preserve">and others only minimised. SP’s main methodologies are choice-based conjoint (CBC) surveys and contingent valuation methods (CVMs). CBCs enjoy </w:t>
      </w:r>
      <w:r w:rsidR="006D57E0">
        <w:t xml:space="preserve">broad </w:t>
      </w:r>
      <w:r>
        <w:t>empirical support</w:t>
      </w:r>
      <w:r w:rsidR="006D57E0">
        <w:t xml:space="preserve">, often being </w:t>
      </w:r>
      <w:r>
        <w:t>used to predict demand for new products</w:t>
      </w:r>
      <w:r w:rsidR="0066751A">
        <w:t xml:space="preserve"> (McFadden, 2017)</w:t>
      </w:r>
      <w:r w:rsidR="006D57E0">
        <w:t>;</w:t>
      </w:r>
      <w:r w:rsidR="0066751A">
        <w:t xml:space="preserve"> </w:t>
      </w:r>
      <w:r>
        <w:t xml:space="preserve">CMVs </w:t>
      </w:r>
      <w:r w:rsidR="0066751A">
        <w:t xml:space="preserve">are </w:t>
      </w:r>
      <w:r>
        <w:t>more controversial</w:t>
      </w:r>
      <w:r w:rsidR="0066751A">
        <w:t xml:space="preserve">, since </w:t>
      </w:r>
      <w:r>
        <w:t xml:space="preserve">they evaluate more esoteric environmental </w:t>
      </w:r>
      <w:r w:rsidR="00B13C3C">
        <w:t>situations</w:t>
      </w:r>
      <w:r w:rsidR="006D57E0">
        <w:t xml:space="preserve"> –</w:t>
      </w:r>
      <w:r>
        <w:t xml:space="preserve"> </w:t>
      </w:r>
      <w:r w:rsidR="006D57E0">
        <w:t xml:space="preserve">as such, </w:t>
      </w:r>
      <w:r>
        <w:t>CVMs</w:t>
      </w:r>
      <w:r w:rsidR="006D57E0">
        <w:t xml:space="preserve"> </w:t>
      </w:r>
      <w:r>
        <w:t xml:space="preserve"> have a harder time </w:t>
      </w:r>
      <w:r w:rsidR="006D57E0">
        <w:t xml:space="preserve">eliciting </w:t>
      </w:r>
      <w:r>
        <w:t xml:space="preserve">in-market </w:t>
      </w:r>
      <w:r w:rsidR="006D57E0">
        <w:t xml:space="preserve">attitudes; </w:t>
      </w:r>
      <w:r>
        <w:t>inaccuracy is</w:t>
      </w:r>
      <w:r w:rsidR="00C53858">
        <w:t xml:space="preserve"> –</w:t>
      </w:r>
      <w:r>
        <w:t xml:space="preserve"> </w:t>
      </w:r>
      <w:r w:rsidR="006D57E0">
        <w:t>unfortunately</w:t>
      </w:r>
      <w:r w:rsidR="00C53858">
        <w:t xml:space="preserve"> –</w:t>
      </w:r>
      <w:r w:rsidR="006D57E0">
        <w:t xml:space="preserve"> </w:t>
      </w:r>
      <w:r>
        <w:t>likely built into the experimental design and objectives.</w:t>
      </w:r>
    </w:p>
    <w:sdt>
      <w:sdtPr>
        <w:rPr>
          <w:b w:val="0"/>
          <w:bCs w:val="0"/>
          <w:sz w:val="24"/>
          <w:szCs w:val="24"/>
        </w:rPr>
        <w:id w:val="431015220"/>
        <w:docPartObj>
          <w:docPartGallery w:val="Bibliographies"/>
          <w:docPartUnique/>
        </w:docPartObj>
      </w:sdtPr>
      <w:sdtContent>
        <w:p w14:paraId="2C21D667" w14:textId="43C8E3CF" w:rsidR="0099236B" w:rsidRDefault="0099236B">
          <w:pPr>
            <w:pStyle w:val="Heading1"/>
          </w:pPr>
          <w:r>
            <w:t>References</w:t>
          </w:r>
        </w:p>
        <w:sdt>
          <w:sdtPr>
            <w:id w:val="-573587230"/>
            <w:bibliography/>
          </w:sdtPr>
          <w:sdtContent>
            <w:p w14:paraId="31BCDDD1" w14:textId="77777777" w:rsidR="00B02C9E" w:rsidRDefault="0099236B" w:rsidP="00B02C9E">
              <w:pPr>
                <w:pStyle w:val="Bibliography"/>
                <w:ind w:left="720" w:hanging="720"/>
                <w:rPr>
                  <w:noProof/>
                  <w:kern w:val="0"/>
                  <w14:ligatures w14:val="none"/>
                </w:rPr>
              </w:pPr>
              <w:r>
                <w:fldChar w:fldCharType="begin"/>
              </w:r>
              <w:r>
                <w:instrText xml:space="preserve"> BIBLIOGRAPHY </w:instrText>
              </w:r>
              <w:r>
                <w:fldChar w:fldCharType="separate"/>
              </w:r>
              <w:r w:rsidR="00B02C9E">
                <w:rPr>
                  <w:noProof/>
                </w:rPr>
                <w:t xml:space="preserve">Baron, J. (2017). Contingent valuation: Flawed logic? </w:t>
              </w:r>
              <w:r w:rsidR="00B02C9E">
                <w:rPr>
                  <w:i/>
                  <w:iCs/>
                  <w:noProof/>
                </w:rPr>
                <w:t>Science</w:t>
              </w:r>
              <w:r w:rsidR="00B02C9E">
                <w:rPr>
                  <w:noProof/>
                </w:rPr>
                <w:t>, 363.</w:t>
              </w:r>
            </w:p>
            <w:p w14:paraId="359670B8" w14:textId="77777777" w:rsidR="00B02C9E" w:rsidRDefault="00B02C9E" w:rsidP="00B02C9E">
              <w:pPr>
                <w:pStyle w:val="Bibliography"/>
                <w:ind w:left="720" w:hanging="720"/>
                <w:rPr>
                  <w:noProof/>
                </w:rPr>
              </w:pPr>
              <w:r>
                <w:rPr>
                  <w:noProof/>
                </w:rPr>
                <w:t xml:space="preserve">Bishop, K. C., Kuminoff, N. V., Banzhaf, H. S., Boyle, K. J., von Gravenitz, K., Pope, J. C., &amp; Smith, V. K. (2020). Best Practices for Using Hedonic Property Value Models to Measure Willingness to Pay for Environmental Quality. </w:t>
              </w:r>
              <w:r>
                <w:rPr>
                  <w:i/>
                  <w:iCs/>
                  <w:noProof/>
                </w:rPr>
                <w:t>Review of Environmental Economics and Policy</w:t>
              </w:r>
              <w:r>
                <w:rPr>
                  <w:noProof/>
                </w:rPr>
                <w:t>.</w:t>
              </w:r>
            </w:p>
            <w:p w14:paraId="676F1BDB" w14:textId="77777777" w:rsidR="00B02C9E" w:rsidRDefault="00B02C9E" w:rsidP="00B02C9E">
              <w:pPr>
                <w:pStyle w:val="Bibliography"/>
                <w:ind w:left="720" w:hanging="720"/>
                <w:rPr>
                  <w:noProof/>
                </w:rPr>
              </w:pPr>
              <w:r>
                <w:rPr>
                  <w:noProof/>
                </w:rPr>
                <w:t xml:space="preserve">Bishop, R. C., Boyle, K. J., Carson, R. T., Chapman, D., Hanemann, W. M., Kanninen, B., . . . Scherer, N. (2017). Putting a value on injuries to natural assets: The BP oil spill. </w:t>
              </w:r>
              <w:r>
                <w:rPr>
                  <w:i/>
                  <w:iCs/>
                  <w:noProof/>
                </w:rPr>
                <w:t>Science</w:t>
              </w:r>
              <w:r>
                <w:rPr>
                  <w:noProof/>
                </w:rPr>
                <w:t>, 253-254.</w:t>
              </w:r>
            </w:p>
            <w:p w14:paraId="2C8C98AC" w14:textId="77777777" w:rsidR="00B02C9E" w:rsidRDefault="00B02C9E" w:rsidP="00B02C9E">
              <w:pPr>
                <w:pStyle w:val="Bibliography"/>
                <w:ind w:left="720" w:hanging="720"/>
                <w:rPr>
                  <w:noProof/>
                </w:rPr>
              </w:pPr>
              <w:r>
                <w:rPr>
                  <w:noProof/>
                </w:rPr>
                <w:t xml:space="preserve">DEFRA. (2007). </w:t>
              </w:r>
              <w:r>
                <w:rPr>
                  <w:i/>
                  <w:iCs/>
                  <w:noProof/>
                </w:rPr>
                <w:t>An introductory guide to valuing ecosystem services.</w:t>
              </w:r>
              <w:r>
                <w:rPr>
                  <w:noProof/>
                </w:rPr>
                <w:t xml:space="preserve"> London: Department for Environment, Food and Rural Affairs.</w:t>
              </w:r>
            </w:p>
            <w:p w14:paraId="28C9B87B" w14:textId="77777777" w:rsidR="00B02C9E" w:rsidRDefault="00B02C9E" w:rsidP="00B02C9E">
              <w:pPr>
                <w:pStyle w:val="Bibliography"/>
                <w:ind w:left="720" w:hanging="720"/>
                <w:rPr>
                  <w:noProof/>
                </w:rPr>
              </w:pPr>
              <w:r>
                <w:rPr>
                  <w:noProof/>
                </w:rPr>
                <w:t xml:space="preserve">Lipsey, R. (2007). International Tax and Public Finance. </w:t>
              </w:r>
              <w:r>
                <w:rPr>
                  <w:i/>
                  <w:iCs/>
                  <w:noProof/>
                </w:rPr>
                <w:t>Springer Science</w:t>
              </w:r>
              <w:r>
                <w:rPr>
                  <w:noProof/>
                </w:rPr>
                <w:t>, 349-364.</w:t>
              </w:r>
            </w:p>
            <w:p w14:paraId="5DB710C9" w14:textId="77777777" w:rsidR="00B02C9E" w:rsidRDefault="00B02C9E" w:rsidP="00B02C9E">
              <w:pPr>
                <w:pStyle w:val="Bibliography"/>
                <w:ind w:left="720" w:hanging="720"/>
                <w:rPr>
                  <w:noProof/>
                </w:rPr>
              </w:pPr>
              <w:r>
                <w:rPr>
                  <w:noProof/>
                </w:rPr>
                <w:t xml:space="preserve">Lipsey, R., &amp; Lancaster, K. (1956). The General Theory of Second Best. </w:t>
              </w:r>
              <w:r>
                <w:rPr>
                  <w:i/>
                  <w:iCs/>
                  <w:noProof/>
                </w:rPr>
                <w:t>The Review of Economic Studies</w:t>
              </w:r>
              <w:r>
                <w:rPr>
                  <w:noProof/>
                </w:rPr>
                <w:t>, 11-32.</w:t>
              </w:r>
            </w:p>
            <w:p w14:paraId="530BE182" w14:textId="77777777" w:rsidR="00B02C9E" w:rsidRDefault="00B02C9E" w:rsidP="00B02C9E">
              <w:pPr>
                <w:pStyle w:val="Bibliography"/>
                <w:ind w:left="720" w:hanging="720"/>
                <w:rPr>
                  <w:noProof/>
                </w:rPr>
              </w:pPr>
              <w:r>
                <w:rPr>
                  <w:noProof/>
                </w:rPr>
                <w:lastRenderedPageBreak/>
                <w:t xml:space="preserve">McFadden, D. (2017). Stated preference methods and their applicability to environmental use and non-use valuations. In D. McFadden, &amp; K. Train, </w:t>
              </w:r>
              <w:r>
                <w:rPr>
                  <w:i/>
                  <w:iCs/>
                  <w:noProof/>
                </w:rPr>
                <w:t>Contingent Valuation of Environmental Goods</w:t>
              </w:r>
              <w:r>
                <w:rPr>
                  <w:noProof/>
                </w:rPr>
                <w:t xml:space="preserve"> (pp. 153-187). Cheltenham: Edward Elgar Publishing.</w:t>
              </w:r>
            </w:p>
            <w:p w14:paraId="09D7270D" w14:textId="77777777" w:rsidR="00B02C9E" w:rsidRDefault="00B02C9E" w:rsidP="00B02C9E">
              <w:pPr>
                <w:pStyle w:val="Bibliography"/>
                <w:ind w:left="720" w:hanging="720"/>
                <w:rPr>
                  <w:noProof/>
                </w:rPr>
              </w:pPr>
              <w:r>
                <w:rPr>
                  <w:noProof/>
                </w:rPr>
                <w:t xml:space="preserve">Ozdemiroglu, E., &amp; Hails, R. (2016). </w:t>
              </w:r>
              <w:r>
                <w:rPr>
                  <w:i/>
                  <w:iCs/>
                  <w:noProof/>
                </w:rPr>
                <w:t>Demystifying Economic Valuation.</w:t>
              </w:r>
              <w:r>
                <w:rPr>
                  <w:noProof/>
                </w:rPr>
                <w:t xml:space="preserve"> Valuing Nature.</w:t>
              </w:r>
            </w:p>
            <w:p w14:paraId="1E01C3A4" w14:textId="77777777" w:rsidR="00B02C9E" w:rsidRDefault="00B02C9E" w:rsidP="00B02C9E">
              <w:pPr>
                <w:pStyle w:val="Bibliography"/>
                <w:ind w:left="720" w:hanging="720"/>
                <w:rPr>
                  <w:noProof/>
                </w:rPr>
              </w:pPr>
              <w:r>
                <w:rPr>
                  <w:noProof/>
                </w:rPr>
                <w:t xml:space="preserve">Varian, H. R. (2014). </w:t>
              </w:r>
              <w:r>
                <w:rPr>
                  <w:i/>
                  <w:iCs/>
                  <w:noProof/>
                </w:rPr>
                <w:t>Intermediate Microeconomics with Calculus.</w:t>
              </w:r>
              <w:r>
                <w:rPr>
                  <w:noProof/>
                </w:rPr>
                <w:t xml:space="preserve"> New York.</w:t>
              </w:r>
            </w:p>
            <w:p w14:paraId="292B01DD" w14:textId="4A2D37F7" w:rsidR="0099236B" w:rsidRDefault="0099236B" w:rsidP="00B02C9E">
              <w:r>
                <w:rPr>
                  <w:b/>
                  <w:bCs/>
                  <w:noProof/>
                </w:rPr>
                <w:fldChar w:fldCharType="end"/>
              </w:r>
            </w:p>
          </w:sdtContent>
        </w:sdt>
      </w:sdtContent>
    </w:sdt>
    <w:p w14:paraId="684CF687" w14:textId="77777777" w:rsidR="0099236B" w:rsidRPr="00FA5187" w:rsidRDefault="0099236B" w:rsidP="00FA5187">
      <w:pPr>
        <w:spacing w:line="480" w:lineRule="auto"/>
      </w:pPr>
    </w:p>
    <w:sectPr w:rsidR="0099236B" w:rsidRPr="00FA51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Kozuka Gothic Pro B">
    <w:altName w:val="MS Gothic"/>
    <w:panose1 w:val="00000000000000000000"/>
    <w:charset w:val="80"/>
    <w:family w:val="swiss"/>
    <w:notTrueType/>
    <w:pitch w:val="variable"/>
    <w:sig w:usb0="00000000" w:usb1="2AC71C11" w:usb2="00000012" w:usb3="00000000" w:csb0="00020005"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362E3"/>
    <w:multiLevelType w:val="hybridMultilevel"/>
    <w:tmpl w:val="424E032A"/>
    <w:lvl w:ilvl="0" w:tplc="20EED6DC">
      <w:start w:val="1"/>
      <w:numFmt w:val="bullet"/>
      <w:lvlText w:val="-"/>
      <w:lvlJc w:val="left"/>
      <w:pPr>
        <w:ind w:left="3240" w:hanging="360"/>
      </w:pPr>
      <w:rPr>
        <w:rFonts w:ascii="Times New Roman" w:eastAsiaTheme="minorHAnsi" w:hAnsi="Times New Roman" w:cs="Times New Roman"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 w15:restartNumberingAfterBreak="0">
    <w:nsid w:val="2BA75D4C"/>
    <w:multiLevelType w:val="multilevel"/>
    <w:tmpl w:val="D6E22CF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7057423"/>
    <w:multiLevelType w:val="hybridMultilevel"/>
    <w:tmpl w:val="BAD87B0E"/>
    <w:lvl w:ilvl="0" w:tplc="68A4D46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A86C38"/>
    <w:multiLevelType w:val="multilevel"/>
    <w:tmpl w:val="D6E22CF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10B009E"/>
    <w:multiLevelType w:val="hybridMultilevel"/>
    <w:tmpl w:val="D62E4028"/>
    <w:lvl w:ilvl="0" w:tplc="68A4D46C">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70075D"/>
    <w:multiLevelType w:val="multilevel"/>
    <w:tmpl w:val="1020ED54"/>
    <w:lvl w:ilvl="0">
      <w:numFmt w:val="bullet"/>
      <w:lvlText w:val="-"/>
      <w:lvlJc w:val="left"/>
      <w:pPr>
        <w:ind w:left="360" w:hanging="360"/>
      </w:pPr>
      <w:rPr>
        <w:rFonts w:ascii="Times New Roman" w:eastAsiaTheme="minorHAnsi" w:hAnsi="Times New Roman" w:cs="Times New Roman"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D446B89"/>
    <w:multiLevelType w:val="hybridMultilevel"/>
    <w:tmpl w:val="6A862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6257557">
    <w:abstractNumId w:val="6"/>
  </w:num>
  <w:num w:numId="2" w16cid:durableId="118692943">
    <w:abstractNumId w:val="1"/>
  </w:num>
  <w:num w:numId="3" w16cid:durableId="1991326133">
    <w:abstractNumId w:val="0"/>
  </w:num>
  <w:num w:numId="4" w16cid:durableId="727606766">
    <w:abstractNumId w:val="2"/>
  </w:num>
  <w:num w:numId="5" w16cid:durableId="161044021">
    <w:abstractNumId w:val="3"/>
  </w:num>
  <w:num w:numId="6" w16cid:durableId="630481155">
    <w:abstractNumId w:val="5"/>
  </w:num>
  <w:num w:numId="7" w16cid:durableId="1342263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8F3"/>
    <w:rsid w:val="000321DE"/>
    <w:rsid w:val="00061E3A"/>
    <w:rsid w:val="000A00DA"/>
    <w:rsid w:val="000A2BCB"/>
    <w:rsid w:val="000C2D37"/>
    <w:rsid w:val="000D076B"/>
    <w:rsid w:val="000D0E75"/>
    <w:rsid w:val="000D52DC"/>
    <w:rsid w:val="00105B13"/>
    <w:rsid w:val="0012787A"/>
    <w:rsid w:val="001B37EC"/>
    <w:rsid w:val="00280128"/>
    <w:rsid w:val="002C0F33"/>
    <w:rsid w:val="002D0500"/>
    <w:rsid w:val="00353029"/>
    <w:rsid w:val="0035443B"/>
    <w:rsid w:val="00410277"/>
    <w:rsid w:val="0045090C"/>
    <w:rsid w:val="00486EAD"/>
    <w:rsid w:val="004B13A6"/>
    <w:rsid w:val="004D2758"/>
    <w:rsid w:val="004E64E0"/>
    <w:rsid w:val="00501DD5"/>
    <w:rsid w:val="005052CD"/>
    <w:rsid w:val="00537709"/>
    <w:rsid w:val="00614C9E"/>
    <w:rsid w:val="0066751A"/>
    <w:rsid w:val="0067543B"/>
    <w:rsid w:val="00677D32"/>
    <w:rsid w:val="006905EA"/>
    <w:rsid w:val="006D5295"/>
    <w:rsid w:val="006D57E0"/>
    <w:rsid w:val="00717D79"/>
    <w:rsid w:val="007A321F"/>
    <w:rsid w:val="008051DB"/>
    <w:rsid w:val="008131F4"/>
    <w:rsid w:val="00854B05"/>
    <w:rsid w:val="008901FC"/>
    <w:rsid w:val="008B5C93"/>
    <w:rsid w:val="009525B4"/>
    <w:rsid w:val="0098527F"/>
    <w:rsid w:val="0099236B"/>
    <w:rsid w:val="009D2621"/>
    <w:rsid w:val="00A07F12"/>
    <w:rsid w:val="00A33D8F"/>
    <w:rsid w:val="00A65E03"/>
    <w:rsid w:val="00B00765"/>
    <w:rsid w:val="00B02C9E"/>
    <w:rsid w:val="00B10D13"/>
    <w:rsid w:val="00B13C3C"/>
    <w:rsid w:val="00B84539"/>
    <w:rsid w:val="00BA74A9"/>
    <w:rsid w:val="00BB40AE"/>
    <w:rsid w:val="00BD652E"/>
    <w:rsid w:val="00C53858"/>
    <w:rsid w:val="00CA761B"/>
    <w:rsid w:val="00CC2D31"/>
    <w:rsid w:val="00CC727C"/>
    <w:rsid w:val="00DB38A9"/>
    <w:rsid w:val="00DD546B"/>
    <w:rsid w:val="00DE4E1C"/>
    <w:rsid w:val="00DE6195"/>
    <w:rsid w:val="00DF20F6"/>
    <w:rsid w:val="00E428F3"/>
    <w:rsid w:val="00E51F6E"/>
    <w:rsid w:val="00E63885"/>
    <w:rsid w:val="00EA3B73"/>
    <w:rsid w:val="00EB7C70"/>
    <w:rsid w:val="00EC4D8A"/>
    <w:rsid w:val="00F2602A"/>
    <w:rsid w:val="00F43D88"/>
    <w:rsid w:val="00F73AD3"/>
    <w:rsid w:val="00FA5187"/>
    <w:rsid w:val="00FC6C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F336"/>
  <w15:chartTrackingRefBased/>
  <w15:docId w15:val="{B698128E-B863-4A22-B2C2-8A3F95454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46B"/>
    <w:rPr>
      <w:rFonts w:ascii="Times New Roman" w:hAnsi="Times New Roman" w:cs="Times New Roman"/>
      <w:sz w:val="24"/>
      <w:szCs w:val="24"/>
    </w:rPr>
  </w:style>
  <w:style w:type="paragraph" w:styleId="Heading1">
    <w:name w:val="heading 1"/>
    <w:basedOn w:val="Normal"/>
    <w:next w:val="Normal"/>
    <w:link w:val="Heading1Char"/>
    <w:uiPriority w:val="9"/>
    <w:qFormat/>
    <w:rsid w:val="00E428F3"/>
    <w:pPr>
      <w:jc w:val="center"/>
      <w:outlineLvl w:val="0"/>
    </w:pPr>
    <w:rPr>
      <w:b/>
      <w:bCs/>
      <w:sz w:val="32"/>
      <w:szCs w:val="32"/>
    </w:rPr>
  </w:style>
  <w:style w:type="paragraph" w:styleId="Heading2">
    <w:name w:val="heading 2"/>
    <w:basedOn w:val="Heading1"/>
    <w:next w:val="Normal"/>
    <w:link w:val="Heading2Char"/>
    <w:uiPriority w:val="9"/>
    <w:unhideWhenUsed/>
    <w:qFormat/>
    <w:rsid w:val="00CA761B"/>
    <w:pPr>
      <w:outlineLvl w:val="1"/>
    </w:pPr>
    <w:rPr>
      <w:sz w:val="28"/>
      <w:szCs w:val="28"/>
    </w:rPr>
  </w:style>
  <w:style w:type="paragraph" w:styleId="Heading3">
    <w:name w:val="heading 3"/>
    <w:basedOn w:val="Normal"/>
    <w:next w:val="Normal"/>
    <w:link w:val="Heading3Char"/>
    <w:uiPriority w:val="9"/>
    <w:semiHidden/>
    <w:unhideWhenUsed/>
    <w:qFormat/>
    <w:rsid w:val="00E428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28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28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28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28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28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28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8F3"/>
    <w:rPr>
      <w:rFonts w:ascii="Times New Roman" w:hAnsi="Times New Roman" w:cs="Times New Roman"/>
      <w:b/>
      <w:bCs/>
      <w:sz w:val="32"/>
      <w:szCs w:val="32"/>
    </w:rPr>
  </w:style>
  <w:style w:type="character" w:customStyle="1" w:styleId="Heading2Char">
    <w:name w:val="Heading 2 Char"/>
    <w:basedOn w:val="DefaultParagraphFont"/>
    <w:link w:val="Heading2"/>
    <w:uiPriority w:val="9"/>
    <w:rsid w:val="00CA761B"/>
    <w:rPr>
      <w:rFonts w:ascii="Times New Roman" w:hAnsi="Times New Roman" w:cs="Times New Roman"/>
      <w:b/>
      <w:bCs/>
      <w:sz w:val="28"/>
      <w:szCs w:val="28"/>
    </w:rPr>
  </w:style>
  <w:style w:type="character" w:customStyle="1" w:styleId="Heading3Char">
    <w:name w:val="Heading 3 Char"/>
    <w:basedOn w:val="DefaultParagraphFont"/>
    <w:link w:val="Heading3"/>
    <w:uiPriority w:val="9"/>
    <w:semiHidden/>
    <w:rsid w:val="00E428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28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28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28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28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28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28F3"/>
    <w:rPr>
      <w:rFonts w:eastAsiaTheme="majorEastAsia" w:cstheme="majorBidi"/>
      <w:color w:val="272727" w:themeColor="text1" w:themeTint="D8"/>
    </w:rPr>
  </w:style>
  <w:style w:type="paragraph" w:styleId="Title">
    <w:name w:val="Title"/>
    <w:basedOn w:val="Normal"/>
    <w:next w:val="Normal"/>
    <w:link w:val="TitleChar"/>
    <w:uiPriority w:val="10"/>
    <w:qFormat/>
    <w:rsid w:val="00E428F3"/>
    <w:pPr>
      <w:jc w:val="center"/>
    </w:pPr>
    <w:rPr>
      <w:b/>
      <w:bCs/>
      <w:sz w:val="36"/>
      <w:szCs w:val="36"/>
    </w:rPr>
  </w:style>
  <w:style w:type="character" w:customStyle="1" w:styleId="TitleChar">
    <w:name w:val="Title Char"/>
    <w:basedOn w:val="DefaultParagraphFont"/>
    <w:link w:val="Title"/>
    <w:uiPriority w:val="10"/>
    <w:rsid w:val="00E428F3"/>
    <w:rPr>
      <w:rFonts w:ascii="Times New Roman" w:hAnsi="Times New Roman" w:cs="Times New Roman"/>
      <w:b/>
      <w:bCs/>
      <w:sz w:val="36"/>
      <w:szCs w:val="36"/>
    </w:rPr>
  </w:style>
  <w:style w:type="paragraph" w:styleId="Subtitle">
    <w:name w:val="Subtitle"/>
    <w:basedOn w:val="Normal"/>
    <w:next w:val="Normal"/>
    <w:link w:val="SubtitleChar"/>
    <w:uiPriority w:val="11"/>
    <w:qFormat/>
    <w:rsid w:val="00E428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28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28F3"/>
    <w:pPr>
      <w:spacing w:before="160"/>
      <w:jc w:val="center"/>
    </w:pPr>
    <w:rPr>
      <w:i/>
      <w:iCs/>
      <w:color w:val="404040" w:themeColor="text1" w:themeTint="BF"/>
    </w:rPr>
  </w:style>
  <w:style w:type="character" w:customStyle="1" w:styleId="QuoteChar">
    <w:name w:val="Quote Char"/>
    <w:basedOn w:val="DefaultParagraphFont"/>
    <w:link w:val="Quote"/>
    <w:uiPriority w:val="29"/>
    <w:rsid w:val="00E428F3"/>
    <w:rPr>
      <w:i/>
      <w:iCs/>
      <w:color w:val="404040" w:themeColor="text1" w:themeTint="BF"/>
    </w:rPr>
  </w:style>
  <w:style w:type="paragraph" w:styleId="ListParagraph">
    <w:name w:val="List Paragraph"/>
    <w:basedOn w:val="Normal"/>
    <w:uiPriority w:val="34"/>
    <w:qFormat/>
    <w:rsid w:val="00E428F3"/>
    <w:pPr>
      <w:ind w:left="720"/>
      <w:contextualSpacing/>
    </w:pPr>
  </w:style>
  <w:style w:type="character" w:styleId="IntenseEmphasis">
    <w:name w:val="Intense Emphasis"/>
    <w:basedOn w:val="DefaultParagraphFont"/>
    <w:uiPriority w:val="21"/>
    <w:qFormat/>
    <w:rsid w:val="00E428F3"/>
    <w:rPr>
      <w:i/>
      <w:iCs/>
      <w:color w:val="2F5496" w:themeColor="accent1" w:themeShade="BF"/>
    </w:rPr>
  </w:style>
  <w:style w:type="paragraph" w:styleId="IntenseQuote">
    <w:name w:val="Intense Quote"/>
    <w:basedOn w:val="Normal"/>
    <w:next w:val="Normal"/>
    <w:link w:val="IntenseQuoteChar"/>
    <w:uiPriority w:val="30"/>
    <w:qFormat/>
    <w:rsid w:val="00E428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28F3"/>
    <w:rPr>
      <w:i/>
      <w:iCs/>
      <w:color w:val="2F5496" w:themeColor="accent1" w:themeShade="BF"/>
    </w:rPr>
  </w:style>
  <w:style w:type="character" w:styleId="IntenseReference">
    <w:name w:val="Intense Reference"/>
    <w:basedOn w:val="DefaultParagraphFont"/>
    <w:uiPriority w:val="32"/>
    <w:qFormat/>
    <w:rsid w:val="00E428F3"/>
    <w:rPr>
      <w:b/>
      <w:bCs/>
      <w:smallCaps/>
      <w:color w:val="2F5496" w:themeColor="accent1" w:themeShade="BF"/>
      <w:spacing w:val="5"/>
    </w:rPr>
  </w:style>
  <w:style w:type="character" w:styleId="PlaceholderText">
    <w:name w:val="Placeholder Text"/>
    <w:basedOn w:val="DefaultParagraphFont"/>
    <w:uiPriority w:val="99"/>
    <w:semiHidden/>
    <w:rsid w:val="00CA761B"/>
    <w:rPr>
      <w:color w:val="666666"/>
    </w:rPr>
  </w:style>
  <w:style w:type="table" w:styleId="TableGrid">
    <w:name w:val="Table Grid"/>
    <w:basedOn w:val="TableNormal"/>
    <w:uiPriority w:val="39"/>
    <w:rsid w:val="0099236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Title">
    <w:name w:val="Section Title"/>
    <w:basedOn w:val="Normal"/>
    <w:link w:val="SectionTitleChar"/>
    <w:qFormat/>
    <w:rsid w:val="0099236B"/>
    <w:pPr>
      <w:framePr w:hSpace="180" w:wrap="around" w:vAnchor="text" w:hAnchor="text" w:x="108" w:y="1"/>
      <w:spacing w:after="0" w:line="240" w:lineRule="auto"/>
      <w:suppressOverlap/>
      <w:jc w:val="center"/>
    </w:pPr>
    <w:rPr>
      <w:rFonts w:ascii="Kozuka Gothic Pro B" w:eastAsia="Times New Roman" w:hAnsi="Kozuka Gothic Pro B"/>
      <w:b/>
      <w:color w:val="403152"/>
      <w:kern w:val="0"/>
      <w:szCs w:val="22"/>
      <w:lang w:eastAsia="en-GB"/>
      <w14:ligatures w14:val="none"/>
    </w:rPr>
  </w:style>
  <w:style w:type="character" w:customStyle="1" w:styleId="SectionTitleChar">
    <w:name w:val="Section Title Char"/>
    <w:link w:val="SectionTitle"/>
    <w:rsid w:val="0099236B"/>
    <w:rPr>
      <w:rFonts w:ascii="Kozuka Gothic Pro B" w:eastAsia="Times New Roman" w:hAnsi="Kozuka Gothic Pro B" w:cs="Times New Roman"/>
      <w:b/>
      <w:color w:val="403152"/>
      <w:kern w:val="0"/>
      <w:sz w:val="24"/>
      <w:lang w:eastAsia="en-GB"/>
      <w14:ligatures w14:val="none"/>
    </w:rPr>
  </w:style>
  <w:style w:type="paragraph" w:customStyle="1" w:styleId="PartyorEventName">
    <w:name w:val="Party or Event Name"/>
    <w:basedOn w:val="Normal"/>
    <w:link w:val="PartyorEventNameChar"/>
    <w:qFormat/>
    <w:rsid w:val="0099236B"/>
    <w:pPr>
      <w:spacing w:after="0" w:line="240" w:lineRule="auto"/>
    </w:pPr>
    <w:rPr>
      <w:rFonts w:ascii="Candara" w:eastAsia="Times New Roman" w:hAnsi="Candara"/>
      <w:noProof/>
      <w:color w:val="0D0D0D"/>
      <w:kern w:val="0"/>
      <w:sz w:val="20"/>
      <w:szCs w:val="22"/>
      <w:lang w:eastAsia="en-GB"/>
      <w14:ligatures w14:val="none"/>
    </w:rPr>
  </w:style>
  <w:style w:type="character" w:customStyle="1" w:styleId="PartyorEventNameChar">
    <w:name w:val="Party or Event Name Char"/>
    <w:link w:val="PartyorEventName"/>
    <w:rsid w:val="0099236B"/>
    <w:rPr>
      <w:rFonts w:ascii="Candara" w:eastAsia="Times New Roman" w:hAnsi="Candara" w:cs="Times New Roman"/>
      <w:noProof/>
      <w:color w:val="0D0D0D"/>
      <w:kern w:val="0"/>
      <w:sz w:val="20"/>
      <w:lang w:eastAsia="en-GB"/>
      <w14:ligatures w14:val="none"/>
    </w:rPr>
  </w:style>
  <w:style w:type="character" w:styleId="Hyperlink">
    <w:name w:val="Hyperlink"/>
    <w:basedOn w:val="DefaultParagraphFont"/>
    <w:uiPriority w:val="99"/>
    <w:unhideWhenUsed/>
    <w:rsid w:val="0099236B"/>
    <w:rPr>
      <w:color w:val="0563C1" w:themeColor="hyperlink"/>
      <w:u w:val="single"/>
    </w:rPr>
  </w:style>
  <w:style w:type="paragraph" w:styleId="Bibliography">
    <w:name w:val="Bibliography"/>
    <w:basedOn w:val="Normal"/>
    <w:next w:val="Normal"/>
    <w:uiPriority w:val="37"/>
    <w:unhideWhenUsed/>
    <w:rsid w:val="00992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236142">
      <w:bodyDiv w:val="1"/>
      <w:marLeft w:val="0"/>
      <w:marRight w:val="0"/>
      <w:marTop w:val="0"/>
      <w:marBottom w:val="0"/>
      <w:divBdr>
        <w:top w:val="none" w:sz="0" w:space="0" w:color="auto"/>
        <w:left w:val="none" w:sz="0" w:space="0" w:color="auto"/>
        <w:bottom w:val="none" w:sz="0" w:space="0" w:color="auto"/>
        <w:right w:val="none" w:sz="0" w:space="0" w:color="auto"/>
      </w:divBdr>
    </w:div>
    <w:div w:id="597560586">
      <w:bodyDiv w:val="1"/>
      <w:marLeft w:val="0"/>
      <w:marRight w:val="0"/>
      <w:marTop w:val="0"/>
      <w:marBottom w:val="0"/>
      <w:divBdr>
        <w:top w:val="none" w:sz="0" w:space="0" w:color="auto"/>
        <w:left w:val="none" w:sz="0" w:space="0" w:color="auto"/>
        <w:bottom w:val="none" w:sz="0" w:space="0" w:color="auto"/>
        <w:right w:val="none" w:sz="0" w:space="0" w:color="auto"/>
      </w:divBdr>
    </w:div>
    <w:div w:id="751509346">
      <w:bodyDiv w:val="1"/>
      <w:marLeft w:val="0"/>
      <w:marRight w:val="0"/>
      <w:marTop w:val="0"/>
      <w:marBottom w:val="0"/>
      <w:divBdr>
        <w:top w:val="none" w:sz="0" w:space="0" w:color="auto"/>
        <w:left w:val="none" w:sz="0" w:space="0" w:color="auto"/>
        <w:bottom w:val="none" w:sz="0" w:space="0" w:color="auto"/>
        <w:right w:val="none" w:sz="0" w:space="0" w:color="auto"/>
      </w:divBdr>
    </w:div>
    <w:div w:id="758454099">
      <w:bodyDiv w:val="1"/>
      <w:marLeft w:val="0"/>
      <w:marRight w:val="0"/>
      <w:marTop w:val="0"/>
      <w:marBottom w:val="0"/>
      <w:divBdr>
        <w:top w:val="none" w:sz="0" w:space="0" w:color="auto"/>
        <w:left w:val="none" w:sz="0" w:space="0" w:color="auto"/>
        <w:bottom w:val="none" w:sz="0" w:space="0" w:color="auto"/>
        <w:right w:val="none" w:sz="0" w:space="0" w:color="auto"/>
      </w:divBdr>
    </w:div>
    <w:div w:id="1014307905">
      <w:bodyDiv w:val="1"/>
      <w:marLeft w:val="0"/>
      <w:marRight w:val="0"/>
      <w:marTop w:val="0"/>
      <w:marBottom w:val="0"/>
      <w:divBdr>
        <w:top w:val="none" w:sz="0" w:space="0" w:color="auto"/>
        <w:left w:val="none" w:sz="0" w:space="0" w:color="auto"/>
        <w:bottom w:val="none" w:sz="0" w:space="0" w:color="auto"/>
        <w:right w:val="none" w:sz="0" w:space="0" w:color="auto"/>
      </w:divBdr>
    </w:div>
    <w:div w:id="1055198701">
      <w:bodyDiv w:val="1"/>
      <w:marLeft w:val="0"/>
      <w:marRight w:val="0"/>
      <w:marTop w:val="0"/>
      <w:marBottom w:val="0"/>
      <w:divBdr>
        <w:top w:val="none" w:sz="0" w:space="0" w:color="auto"/>
        <w:left w:val="none" w:sz="0" w:space="0" w:color="auto"/>
        <w:bottom w:val="none" w:sz="0" w:space="0" w:color="auto"/>
        <w:right w:val="none" w:sz="0" w:space="0" w:color="auto"/>
      </w:divBdr>
    </w:div>
    <w:div w:id="1110971373">
      <w:bodyDiv w:val="1"/>
      <w:marLeft w:val="0"/>
      <w:marRight w:val="0"/>
      <w:marTop w:val="0"/>
      <w:marBottom w:val="0"/>
      <w:divBdr>
        <w:top w:val="none" w:sz="0" w:space="0" w:color="auto"/>
        <w:left w:val="none" w:sz="0" w:space="0" w:color="auto"/>
        <w:bottom w:val="none" w:sz="0" w:space="0" w:color="auto"/>
        <w:right w:val="none" w:sz="0" w:space="0" w:color="auto"/>
      </w:divBdr>
    </w:div>
    <w:div w:id="1244415135">
      <w:bodyDiv w:val="1"/>
      <w:marLeft w:val="0"/>
      <w:marRight w:val="0"/>
      <w:marTop w:val="0"/>
      <w:marBottom w:val="0"/>
      <w:divBdr>
        <w:top w:val="none" w:sz="0" w:space="0" w:color="auto"/>
        <w:left w:val="none" w:sz="0" w:space="0" w:color="auto"/>
        <w:bottom w:val="none" w:sz="0" w:space="0" w:color="auto"/>
        <w:right w:val="none" w:sz="0" w:space="0" w:color="auto"/>
      </w:divBdr>
    </w:div>
    <w:div w:id="1400521356">
      <w:bodyDiv w:val="1"/>
      <w:marLeft w:val="0"/>
      <w:marRight w:val="0"/>
      <w:marTop w:val="0"/>
      <w:marBottom w:val="0"/>
      <w:divBdr>
        <w:top w:val="none" w:sz="0" w:space="0" w:color="auto"/>
        <w:left w:val="none" w:sz="0" w:space="0" w:color="auto"/>
        <w:bottom w:val="none" w:sz="0" w:space="0" w:color="auto"/>
        <w:right w:val="none" w:sz="0" w:space="0" w:color="auto"/>
      </w:divBdr>
    </w:div>
    <w:div w:id="1406298669">
      <w:bodyDiv w:val="1"/>
      <w:marLeft w:val="0"/>
      <w:marRight w:val="0"/>
      <w:marTop w:val="0"/>
      <w:marBottom w:val="0"/>
      <w:divBdr>
        <w:top w:val="none" w:sz="0" w:space="0" w:color="auto"/>
        <w:left w:val="none" w:sz="0" w:space="0" w:color="auto"/>
        <w:bottom w:val="none" w:sz="0" w:space="0" w:color="auto"/>
        <w:right w:val="none" w:sz="0" w:space="0" w:color="auto"/>
      </w:divBdr>
    </w:div>
    <w:div w:id="1585601637">
      <w:bodyDiv w:val="1"/>
      <w:marLeft w:val="0"/>
      <w:marRight w:val="0"/>
      <w:marTop w:val="0"/>
      <w:marBottom w:val="0"/>
      <w:divBdr>
        <w:top w:val="none" w:sz="0" w:space="0" w:color="auto"/>
        <w:left w:val="none" w:sz="0" w:space="0" w:color="auto"/>
        <w:bottom w:val="none" w:sz="0" w:space="0" w:color="auto"/>
        <w:right w:val="none" w:sz="0" w:space="0" w:color="auto"/>
      </w:divBdr>
    </w:div>
    <w:div w:id="1836453087">
      <w:bodyDiv w:val="1"/>
      <w:marLeft w:val="0"/>
      <w:marRight w:val="0"/>
      <w:marTop w:val="0"/>
      <w:marBottom w:val="0"/>
      <w:divBdr>
        <w:top w:val="none" w:sz="0" w:space="0" w:color="auto"/>
        <w:left w:val="none" w:sz="0" w:space="0" w:color="auto"/>
        <w:bottom w:val="none" w:sz="0" w:space="0" w:color="auto"/>
        <w:right w:val="none" w:sz="0" w:space="0" w:color="auto"/>
      </w:divBdr>
    </w:div>
    <w:div w:id="191118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eds.ac.uk/secretariat/documents/academic_integrity.pdf"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www.leeds.ac.uk/secretariat/documents/academic_integrity.pdf"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Var14</b:Tag>
    <b:SourceType>Book</b:SourceType>
    <b:Guid>{15121395-3C0D-4BEB-8945-749F579C4220}</b:Guid>
    <b:Title>Intermediate Microeconomics with Calculus</b:Title>
    <b:Year>2014</b:Year>
    <b:City>New York</b:City>
    <b:Author>
      <b:Author>
        <b:NameList>
          <b:Person>
            <b:Last>Varian</b:Last>
            <b:First>Hal</b:First>
            <b:Middle>R.</b:Middle>
          </b:Person>
        </b:NameList>
      </b:Author>
    </b:Author>
    <b:RefOrder>2</b:RefOrder>
  </b:Source>
  <b:Source>
    <b:Tag>Bis20</b:Tag>
    <b:SourceType>JournalArticle</b:SourceType>
    <b:Guid>{338076E4-EBFC-4381-9D66-F1C8CCE18CBF}</b:Guid>
    <b:Title>Best Practices for Using Hedonic Property Value Models to Measure Willingness to Pay for Environmental Quality</b:Title>
    <b:Year>2020</b:Year>
    <b:JournalName>Review of Environmental Economics and Policy</b:JournalName>
    <b:Author>
      <b:Author>
        <b:NameList>
          <b:Person>
            <b:Last>Bishop</b:Last>
            <b:Middle>C.</b:Middle>
            <b:First>Kelly</b:First>
          </b:Person>
          <b:Person>
            <b:Last>Kuminoff</b:Last>
            <b:Middle>V.</b:Middle>
            <b:First>Nicolai</b:First>
          </b:Person>
          <b:Person>
            <b:Last>Banzhaf</b:Last>
            <b:Middle>Spencer</b:Middle>
            <b:First>H.</b:First>
          </b:Person>
          <b:Person>
            <b:Last>Boyle</b:Last>
            <b:Middle>J.</b:Middle>
            <b:First>Kevin</b:First>
          </b:Person>
          <b:Person>
            <b:Last>von Gravenitz</b:Last>
            <b:First>Katherine</b:First>
          </b:Person>
          <b:Person>
            <b:Last>Pope</b:Last>
            <b:Middle>C.</b:Middle>
            <b:First>Jaren</b:First>
          </b:Person>
          <b:Person>
            <b:Last>Smith</b:Last>
            <b:Middle>Kerry</b:Middle>
            <b:First>V.</b:First>
          </b:Person>
        </b:NameList>
      </b:Author>
    </b:Author>
    <b:RefOrder>3</b:RefOrder>
  </b:Source>
  <b:Source>
    <b:Tag>DEF07</b:Tag>
    <b:SourceType>Report</b:SourceType>
    <b:Guid>{F6BC07DA-9A21-4BEA-A421-BDA8AC02DAA5}</b:Guid>
    <b:Author>
      <b:Author>
        <b:Corporate>DEFRA</b:Corporate>
      </b:Author>
    </b:Author>
    <b:Title>An introductory guide to valuing ecosystem services</b:Title>
    <b:Year>2007</b:Year>
    <b:Publisher>Department for Environment, Food and Rural Affairs</b:Publisher>
    <b:City>London</b:City>
    <b:RefOrder>4</b:RefOrder>
  </b:Source>
  <b:Source>
    <b:Tag>Ozd16</b:Tag>
    <b:SourceType>Report</b:SourceType>
    <b:Guid>{E63CB4A9-3F4F-465A-BB4D-B5D09BBAF3CA}</b:Guid>
    <b:Author>
      <b:Author>
        <b:NameList>
          <b:Person>
            <b:Last>Ozdemiroglu</b:Last>
            <b:First>Ece</b:First>
          </b:Person>
          <b:Person>
            <b:Last>Hails</b:Last>
            <b:First>Rosie</b:First>
          </b:Person>
        </b:NameList>
      </b:Author>
    </b:Author>
    <b:Title>Demystifying Economic Valuation</b:Title>
    <b:Year>2016</b:Year>
    <b:Publisher>Valuing Nature</b:Publisher>
    <b:RefOrder>5</b:RefOrder>
  </b:Source>
  <b:Source>
    <b:Tag>Lip56</b:Tag>
    <b:SourceType>JournalArticle</b:SourceType>
    <b:Guid>{6F1FBBE4-DAEE-4F50-8547-8FEA8E2970CA}</b:Guid>
    <b:Author>
      <b:Author>
        <b:NameList>
          <b:Person>
            <b:Last>Lipsey</b:Last>
            <b:First>R.G.</b:First>
          </b:Person>
          <b:Person>
            <b:Last>Lancaster</b:Last>
            <b:First>Kelvin</b:First>
          </b:Person>
        </b:NameList>
      </b:Author>
    </b:Author>
    <b:Title>The General Theory of Second Best</b:Title>
    <b:Year>1956</b:Year>
    <b:JournalName>The Review of Economic Studies</b:JournalName>
    <b:Pages>11-32</b:Pages>
    <b:RefOrder>6</b:RefOrder>
  </b:Source>
  <b:Source>
    <b:Tag>Lip07</b:Tag>
    <b:SourceType>JournalArticle</b:SourceType>
    <b:Guid>{E6394264-482D-49A9-A2E1-9650396E5B0B}</b:Guid>
    <b:Author>
      <b:Author>
        <b:NameList>
          <b:Person>
            <b:Last>Lipsey</b:Last>
            <b:First>R.G.</b:First>
          </b:Person>
        </b:NameList>
      </b:Author>
    </b:Author>
    <b:Title>International Tax and Public Finance</b:Title>
    <b:JournalName>Springer Science</b:JournalName>
    <b:Year>2007</b:Year>
    <b:Pages>349-364</b:Pages>
    <b:RefOrder>7</b:RefOrder>
  </b:Source>
  <b:Source>
    <b:Tag>McF17</b:Tag>
    <b:SourceType>BookSection</b:SourceType>
    <b:Guid>{223410CD-1711-4183-A88C-04395D824E7A}</b:Guid>
    <b:Title>Stated preference methods and their applicability to environmental use and non-use valuations</b:Title>
    <b:Year>2017</b:Year>
    <b:Pages>153-187</b:Pages>
    <b:Author>
      <b:Author>
        <b:NameList>
          <b:Person>
            <b:Last>McFadden</b:Last>
            <b:First>Daniel</b:First>
          </b:Person>
        </b:NameList>
      </b:Author>
      <b:BookAuthor>
        <b:NameList>
          <b:Person>
            <b:Last>McFadden</b:Last>
            <b:First>Daniel</b:First>
          </b:Person>
          <b:Person>
            <b:Last>Train</b:Last>
            <b:First>Kenneth</b:First>
          </b:Person>
        </b:NameList>
      </b:BookAuthor>
    </b:Author>
    <b:BookTitle>Contingent Valuation of Environmental Goods</b:BookTitle>
    <b:City>Cheltenham</b:City>
    <b:Publisher>Edward Elgar Publishing</b:Publisher>
    <b:RefOrder>1</b:RefOrder>
  </b:Source>
  <b:Source>
    <b:Tag>Bis17</b:Tag>
    <b:SourceType>JournalArticle</b:SourceType>
    <b:Guid>{F1020464-AF56-4DBF-A0F8-AA377BD6903E}</b:Guid>
    <b:Title>Putting a value on injuries to natural assets: The BP oil spill</b:Title>
    <b:Year>2017</b:Year>
    <b:JournalName>Science</b:JournalName>
    <b:Pages>253-254</b:Pages>
    <b:Author>
      <b:Author>
        <b:NameList>
          <b:Person>
            <b:Last>Bishop</b:Last>
            <b:Middle>C.</b:Middle>
            <b:First>Richard</b:First>
          </b:Person>
          <b:Person>
            <b:Last>Boyle</b:Last>
            <b:Middle>J.</b:Middle>
            <b:First>Kevin</b:First>
          </b:Person>
          <b:Person>
            <b:Last>Carson</b:Last>
            <b:Middle>T.</b:Middle>
            <b:First>Richard</b:First>
          </b:Person>
          <b:Person>
            <b:Last>Chapman</b:Last>
            <b:First>David</b:First>
          </b:Person>
          <b:Person>
            <b:Last>Hanemann</b:Last>
            <b:Middle>Michael</b:Middle>
            <b:First>W.</b:First>
          </b:Person>
          <b:Person>
            <b:Last>Kanninen</b:Last>
            <b:First>Barbara</b:First>
          </b:Person>
          <b:Person>
            <b:Last>Kopp</b:Last>
            <b:Middle>J.</b:Middle>
            <b:First>Raymond</b:First>
          </b:Person>
          <b:Person>
            <b:Last>Krosnick</b:Last>
            <b:Middle>A.</b:Middle>
            <b:First>Jon</b:First>
          </b:Person>
          <b:Person>
            <b:Last>List</b:Last>
            <b:First>John</b:First>
          </b:Person>
          <b:Person>
            <b:Last>Meade</b:Last>
            <b:First>Norman</b:First>
          </b:Person>
          <b:Person>
            <b:Last>Paterson</b:Last>
            <b:First>Robert</b:First>
          </b:Person>
          <b:Person>
            <b:Last>Presser</b:Last>
            <b:First>Stanley</b:First>
          </b:Person>
          <b:Person>
            <b:Last>Smith</b:Last>
            <b:Middle>Kerry</b:Middle>
            <b:First>V.</b:First>
          </b:Person>
          <b:Person>
            <b:Last>Tourangeau</b:Last>
            <b:First>Roger</b:First>
          </b:Person>
          <b:Person>
            <b:Last>Welsh</b:Last>
            <b:First>Michael</b:First>
          </b:Person>
          <b:Person>
            <b:Last>Wooldridge</b:Last>
            <b:Middle>M.</b:Middle>
            <b:First>Jeffrey</b:First>
          </b:Person>
          <b:Person>
            <b:Last>Debell</b:Last>
            <b:First>Matthew</b:First>
          </b:Person>
          <b:Person>
            <b:Last>Donovan</b:Last>
            <b:First>Colleen</b:First>
          </b:Person>
          <b:Person>
            <b:Last>Konopka</b:Last>
            <b:First>Matthew</b:First>
          </b:Person>
          <b:Person>
            <b:Last>Scherer</b:Last>
            <b:First>Nora</b:First>
          </b:Person>
        </b:NameList>
      </b:Author>
    </b:Author>
    <b:RefOrder>8</b:RefOrder>
  </b:Source>
  <b:Source>
    <b:Tag>Bar171</b:Tag>
    <b:SourceType>JournalArticle</b:SourceType>
    <b:Guid>{892B95B9-0879-417C-9E16-762A796A31AF}</b:Guid>
    <b:Author>
      <b:Author>
        <b:NameList>
          <b:Person>
            <b:Last>Baron</b:Last>
            <b:First>Jonathan</b:First>
          </b:Person>
        </b:NameList>
      </b:Author>
    </b:Author>
    <b:Title>Contingent valuation: Flawed logic?</b:Title>
    <b:JournalName>Science</b:JournalName>
    <b:Year>2017</b:Year>
    <b:Pages>363</b:Pages>
    <b:RefOrder>9</b:RefOrder>
  </b:Source>
</b:Sources>
</file>

<file path=customXml/itemProps1.xml><?xml version="1.0" encoding="utf-8"?>
<ds:datastoreItem xmlns:ds="http://schemas.openxmlformats.org/officeDocument/2006/customXml" ds:itemID="{B6DCF6D7-C46D-4E29-8EBD-A779A4B3F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2154</TotalTime>
  <Pages>15</Pages>
  <Words>2581</Words>
  <Characters>14716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8</cp:revision>
  <cp:lastPrinted>2025-05-21T00:33:00Z</cp:lastPrinted>
  <dcterms:created xsi:type="dcterms:W3CDTF">2025-05-19T13:04:00Z</dcterms:created>
  <dcterms:modified xsi:type="dcterms:W3CDTF">2025-05-21T08:16:00Z</dcterms:modified>
</cp:coreProperties>
</file>