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3459E7" w14:textId="03542B6C" w:rsidR="00931372" w:rsidRPr="00E61FF5" w:rsidRDefault="00E61FF5" w:rsidP="00200343">
      <w:pPr>
        <w:pStyle w:val="Title"/>
        <w:spacing w:line="480" w:lineRule="auto"/>
      </w:pPr>
      <w:bookmarkStart w:id="0" w:name="_Hlk187199129"/>
      <w:r w:rsidRPr="00E61FF5">
        <w:t>Discuss Minsky's Financial Instability Hypothesis about the nature and origin of financial crises in modern economics</w:t>
      </w:r>
    </w:p>
    <w:p w14:paraId="26AA4C0A" w14:textId="7BC22E25" w:rsidR="006F7A14" w:rsidRDefault="00E61FF5" w:rsidP="00200343">
      <w:pPr>
        <w:spacing w:line="480" w:lineRule="auto"/>
      </w:pPr>
      <w:r>
        <w:t xml:space="preserve">In this paper I will explain Minsky’s Financial Instability Hypothesis (FIH) </w:t>
      </w:r>
      <w:r w:rsidR="00BF079D">
        <w:t xml:space="preserve">and </w:t>
      </w:r>
      <w:r w:rsidR="006F7A14">
        <w:t xml:space="preserve">extend it to include a model of ‘cash-in-the-market pricing’ developed by Allen &amp; Gale </w:t>
      </w:r>
      <w:sdt>
        <w:sdtPr>
          <w:id w:val="6038811"/>
          <w:citation/>
        </w:sdtPr>
        <w:sdtContent>
          <w:r w:rsidR="006F7A14">
            <w:fldChar w:fldCharType="begin"/>
          </w:r>
          <w:r w:rsidR="006F7A14">
            <w:instrText xml:space="preserve">CITATION All07 \n  \t  \l 2057 </w:instrText>
          </w:r>
          <w:r w:rsidR="006F7A14">
            <w:fldChar w:fldCharType="separate"/>
          </w:r>
          <w:r w:rsidR="006F7A14">
            <w:rPr>
              <w:noProof/>
            </w:rPr>
            <w:t>(2007)</w:t>
          </w:r>
          <w:r w:rsidR="006F7A14">
            <w:fldChar w:fldCharType="end"/>
          </w:r>
        </w:sdtContent>
      </w:sdt>
      <w:r w:rsidR="006F7A14">
        <w:t>.</w:t>
      </w:r>
    </w:p>
    <w:p w14:paraId="32D36C56" w14:textId="6C45D87B" w:rsidR="0067309B" w:rsidRDefault="00D3615B" w:rsidP="00200343">
      <w:pPr>
        <w:spacing w:line="480" w:lineRule="auto"/>
      </w:pPr>
      <w:r>
        <w:t xml:space="preserve">The </w:t>
      </w:r>
      <w:r w:rsidR="006B4C6F">
        <w:t xml:space="preserve">Financial Instability Hypothesis </w:t>
      </w:r>
      <w:r>
        <w:t xml:space="preserve">models the economy such that exogenous shocks are not necessary to generate business cycles </w:t>
      </w:r>
      <w:sdt>
        <w:sdtPr>
          <w:id w:val="1809663943"/>
          <w:citation/>
        </w:sdtPr>
        <w:sdtContent>
          <w:r>
            <w:fldChar w:fldCharType="begin"/>
          </w:r>
          <w:r>
            <w:instrText xml:space="preserve"> CITATION Min921 \l 2057 </w:instrText>
          </w:r>
          <w:r>
            <w:fldChar w:fldCharType="separate"/>
          </w:r>
          <w:r>
            <w:rPr>
              <w:noProof/>
            </w:rPr>
            <w:t>(Minsky, 1992)</w:t>
          </w:r>
          <w:r>
            <w:fldChar w:fldCharType="end"/>
          </w:r>
        </w:sdtContent>
      </w:sdt>
      <w:r>
        <w:t xml:space="preserve">. Instead, business cycles are endogenous. Minsky </w:t>
      </w:r>
      <w:sdt>
        <w:sdtPr>
          <w:id w:val="-725455342"/>
          <w:citation/>
        </w:sdtPr>
        <w:sdtContent>
          <w:r w:rsidR="0067309B">
            <w:fldChar w:fldCharType="begin"/>
          </w:r>
          <w:r w:rsidR="0080562C">
            <w:instrText xml:space="preserve">CITATION 1986 \n  \t  \l 2057 </w:instrText>
          </w:r>
          <w:r w:rsidR="0067309B">
            <w:fldChar w:fldCharType="separate"/>
          </w:r>
          <w:r w:rsidR="0080562C">
            <w:rPr>
              <w:noProof/>
            </w:rPr>
            <w:t>(2008)</w:t>
          </w:r>
          <w:r w:rsidR="0067309B">
            <w:fldChar w:fldCharType="end"/>
          </w:r>
        </w:sdtContent>
      </w:sdt>
      <w:r>
        <w:t xml:space="preserve"> </w:t>
      </w:r>
      <w:r w:rsidR="0067309B">
        <w:t xml:space="preserve">begins </w:t>
      </w:r>
      <w:r w:rsidR="00645C5F">
        <w:t xml:space="preserve">with </w:t>
      </w:r>
      <w:r w:rsidR="0067309B">
        <w:t xml:space="preserve">a monetary theory of production, i.e., firms </w:t>
      </w:r>
      <w:r w:rsidR="00645C5F">
        <w:t xml:space="preserve">must acquire </w:t>
      </w:r>
      <w:r w:rsidR="0067309B">
        <w:t>finance to produce goods; see</w:t>
      </w:r>
      <w:r w:rsidR="00807283">
        <w:t xml:space="preserve"> </w:t>
      </w:r>
      <w:r w:rsidR="00807283">
        <w:fldChar w:fldCharType="begin"/>
      </w:r>
      <w:r w:rsidR="00807283">
        <w:instrText xml:space="preserve"> REF _Ref187102447 \h </w:instrText>
      </w:r>
      <w:r w:rsidR="00200343">
        <w:instrText xml:space="preserve"> \* MERGEFORMAT </w:instrText>
      </w:r>
      <w:r w:rsidR="00807283">
        <w:fldChar w:fldCharType="separate"/>
      </w:r>
      <w:r w:rsidR="00A440E2">
        <w:t xml:space="preserve">Figure </w:t>
      </w:r>
      <w:r w:rsidR="00A440E2">
        <w:rPr>
          <w:noProof/>
        </w:rPr>
        <w:t>I</w:t>
      </w:r>
      <w:r w:rsidR="00807283">
        <w:fldChar w:fldCharType="end"/>
      </w:r>
      <w:r w:rsidR="0067309B">
        <w:t>.</w:t>
      </w:r>
    </w:p>
    <w:p w14:paraId="702E8A75" w14:textId="02CF240F" w:rsidR="00807283" w:rsidRDefault="006E0B36" w:rsidP="00200343">
      <w:pPr>
        <w:keepNext/>
        <w:spacing w:line="480" w:lineRule="auto"/>
        <w:jc w:val="center"/>
      </w:pPr>
      <w:r>
        <w:rPr>
          <w:noProof/>
        </w:rPr>
        <w:drawing>
          <wp:inline distT="0" distB="0" distL="0" distR="0" wp14:anchorId="5FA6F28B" wp14:editId="71E2D299">
            <wp:extent cx="4102873" cy="3012834"/>
            <wp:effectExtent l="0" t="0" r="0" b="0"/>
            <wp:docPr id="7398822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882200" name=""/>
                    <pic:cNvPicPr/>
                  </pic:nvPicPr>
                  <pic:blipFill>
                    <a:blip r:embed="rId6"/>
                    <a:stretch>
                      <a:fillRect/>
                    </a:stretch>
                  </pic:blipFill>
                  <pic:spPr>
                    <a:xfrm>
                      <a:off x="0" y="0"/>
                      <a:ext cx="4119440" cy="3025000"/>
                    </a:xfrm>
                    <a:prstGeom prst="rect">
                      <a:avLst/>
                    </a:prstGeom>
                  </pic:spPr>
                </pic:pic>
              </a:graphicData>
            </a:graphic>
          </wp:inline>
        </w:drawing>
      </w:r>
    </w:p>
    <w:p w14:paraId="39CF559F" w14:textId="642BFAC5" w:rsidR="00807283" w:rsidRDefault="00807283" w:rsidP="00200343">
      <w:pPr>
        <w:pStyle w:val="Caption"/>
        <w:spacing w:line="480" w:lineRule="auto"/>
        <w:jc w:val="center"/>
      </w:pPr>
      <w:bookmarkStart w:id="1" w:name="_Ref187102447"/>
      <w:r>
        <w:t xml:space="preserve">Figure </w:t>
      </w:r>
      <w:fldSimple w:instr=" SEQ Figure \* ROMAN ">
        <w:r w:rsidR="00A440E2">
          <w:rPr>
            <w:noProof/>
          </w:rPr>
          <w:t>I</w:t>
        </w:r>
      </w:fldSimple>
      <w:bookmarkEnd w:id="1"/>
      <w:r>
        <w:t xml:space="preserve"> – adapted from </w:t>
      </w:r>
      <w:sdt>
        <w:sdtPr>
          <w:id w:val="-171797740"/>
          <w:citation/>
        </w:sdtPr>
        <w:sdtContent>
          <w:r>
            <w:fldChar w:fldCharType="begin"/>
          </w:r>
          <w:r>
            <w:instrText xml:space="preserve">CITATION Rea06 \p 107 \l 2057 </w:instrText>
          </w:r>
          <w:r>
            <w:fldChar w:fldCharType="separate"/>
          </w:r>
          <w:r>
            <w:rPr>
              <w:noProof/>
            </w:rPr>
            <w:t>(Realfonzo, 2006, p. 107)</w:t>
          </w:r>
          <w:r>
            <w:fldChar w:fldCharType="end"/>
          </w:r>
        </w:sdtContent>
      </w:sdt>
    </w:p>
    <w:p w14:paraId="4E4096E1" w14:textId="572269D9" w:rsidR="0065415F" w:rsidRDefault="00200343" w:rsidP="00200343">
      <w:pPr>
        <w:spacing w:line="480" w:lineRule="auto"/>
      </w:pPr>
      <w:r>
        <w:t>Arrows indicate monetary flows; f</w:t>
      </w:r>
      <w:r w:rsidR="000C2594">
        <w:t>lows which help firms repay debt commitments are in blue, flows which hinder th</w:t>
      </w:r>
      <w:r w:rsidR="00FB20F3">
        <w:t>em</w:t>
      </w:r>
      <w:r w:rsidR="000C2594">
        <w:t xml:space="preserve"> are in orange. </w:t>
      </w:r>
      <w:r w:rsidR="009C288A">
        <w:t>Bear in mind</w:t>
      </w:r>
      <w:r w:rsidR="0065415F">
        <w:t>:</w:t>
      </w:r>
    </w:p>
    <w:p w14:paraId="0EA9CA09" w14:textId="530974B8" w:rsidR="0065415F" w:rsidRDefault="0065415F" w:rsidP="00200343">
      <w:pPr>
        <w:pStyle w:val="ListParagraph"/>
        <w:numPr>
          <w:ilvl w:val="0"/>
          <w:numId w:val="2"/>
        </w:numPr>
        <w:spacing w:line="480" w:lineRule="auto"/>
      </w:pPr>
      <w:r>
        <w:t>F</w:t>
      </w:r>
      <w:r w:rsidR="00DA106E">
        <w:t>irms’ costs are labour</w:t>
      </w:r>
      <w:r w:rsidR="009C288A">
        <w:t xml:space="preserve"> and capital, but capital expenditure circulates amongst firms,</w:t>
      </w:r>
    </w:p>
    <w:p w14:paraId="4D8DB1E5" w14:textId="5CBCDC9D" w:rsidR="0065415F" w:rsidRDefault="009C288A" w:rsidP="00200343">
      <w:pPr>
        <w:pStyle w:val="ListParagraph"/>
        <w:numPr>
          <w:ilvl w:val="0"/>
          <w:numId w:val="2"/>
        </w:numPr>
        <w:spacing w:line="480" w:lineRule="auto"/>
      </w:pPr>
      <w:r>
        <w:t>We assume b</w:t>
      </w:r>
      <w:r w:rsidR="00DA106E">
        <w:t xml:space="preserve">anks do not spend </w:t>
      </w:r>
      <w:r w:rsidR="0065415F">
        <w:t xml:space="preserve">their </w:t>
      </w:r>
      <w:r w:rsidR="00DA106E">
        <w:t xml:space="preserve">interest </w:t>
      </w:r>
      <w:r w:rsidR="0065415F">
        <w:t>earnings,</w:t>
      </w:r>
    </w:p>
    <w:p w14:paraId="5C18B5BC" w14:textId="03A6BA24" w:rsidR="0065415F" w:rsidRDefault="00F35BB1" w:rsidP="00200343">
      <w:pPr>
        <w:pStyle w:val="ListParagraph"/>
        <w:numPr>
          <w:ilvl w:val="0"/>
          <w:numId w:val="2"/>
        </w:numPr>
        <w:spacing w:line="480" w:lineRule="auto"/>
      </w:pPr>
      <w:r>
        <w:t>T</w:t>
      </w:r>
      <w:r w:rsidR="0065415F">
        <w:t xml:space="preserve">axes </w:t>
      </w:r>
      <w:r>
        <w:t xml:space="preserve">paid </w:t>
      </w:r>
      <w:r w:rsidR="0065415F">
        <w:t>to the government</w:t>
      </w:r>
      <w:r w:rsidR="009C288A">
        <w:t xml:space="preserve"> </w:t>
      </w:r>
      <w:r>
        <w:t xml:space="preserve">are </w:t>
      </w:r>
      <w:r w:rsidR="009C288A">
        <w:t>not shown here</w:t>
      </w:r>
      <w:r w:rsidR="0065415F">
        <w:t>.</w:t>
      </w:r>
    </w:p>
    <w:p w14:paraId="5A982B8A" w14:textId="4934B8E6" w:rsidR="00FC285E" w:rsidRDefault="000C2594" w:rsidP="00200343">
      <w:pPr>
        <w:spacing w:line="480" w:lineRule="auto"/>
      </w:pPr>
      <w:r>
        <w:lastRenderedPageBreak/>
        <w:t xml:space="preserve">For </w:t>
      </w:r>
      <w:r w:rsidR="00FC285E">
        <w:t xml:space="preserve">firms, the banks’ initial finance creates a </w:t>
      </w:r>
      <w:r w:rsidR="0092243A">
        <w:t>definite</w:t>
      </w:r>
      <w:r w:rsidR="00FC285E">
        <w:t xml:space="preserve"> final reimbursement</w:t>
      </w:r>
      <w:r w:rsidR="00DA106E">
        <w:t xml:space="preserve"> obligation</w:t>
      </w:r>
      <w:r w:rsidR="009C288A">
        <w:t>. H</w:t>
      </w:r>
      <w:r w:rsidR="00FC285E">
        <w:t xml:space="preserve">owever, </w:t>
      </w:r>
      <w:r w:rsidR="00DA106E">
        <w:t xml:space="preserve">firms do not </w:t>
      </w:r>
      <w:r w:rsidR="0065415F">
        <w:t xml:space="preserve">necessarily </w:t>
      </w:r>
      <w:r w:rsidR="00DA106E">
        <w:t xml:space="preserve">know whether they will be able to fulfil this </w:t>
      </w:r>
      <w:r>
        <w:t>commitment</w:t>
      </w:r>
      <w:r w:rsidR="00DA106E">
        <w:t>:</w:t>
      </w:r>
      <w:r w:rsidR="0065415F">
        <w:t xml:space="preserve"> </w:t>
      </w:r>
      <w:r w:rsidR="009C288A">
        <w:t>to</w:t>
      </w:r>
      <w:r w:rsidR="0065415F">
        <w:t xml:space="preserve"> reimburse</w:t>
      </w:r>
      <w:r w:rsidR="009C288A">
        <w:t xml:space="preserve"> banks</w:t>
      </w:r>
      <w:r w:rsidR="0065415F">
        <w:t xml:space="preserve">, </w:t>
      </w:r>
      <w:r w:rsidR="009C288A">
        <w:t>earnings by firms in the goods</w:t>
      </w:r>
      <w:r w:rsidR="006E0B36">
        <w:t>, equity and bond</w:t>
      </w:r>
      <w:r w:rsidR="009C288A">
        <w:t xml:space="preserve"> market</w:t>
      </w:r>
      <w:r w:rsidR="006E0B36">
        <w:t>s</w:t>
      </w:r>
      <w:r w:rsidR="009C288A">
        <w:t xml:space="preserve"> must be more than or equal to the quantity </w:t>
      </w:r>
      <w:r w:rsidR="00F84641">
        <w:t>spent</w:t>
      </w:r>
      <w:r w:rsidR="009C288A">
        <w:t xml:space="preserve"> in the labour market </w:t>
      </w:r>
      <w:r w:rsidR="00F84641">
        <w:t>(</w:t>
      </w:r>
      <w:r w:rsidR="009C288A">
        <w:t>plus interest</w:t>
      </w:r>
      <w:r w:rsidR="00F84641">
        <w:t>)</w:t>
      </w:r>
      <w:r w:rsidR="009C288A">
        <w:t>.</w:t>
      </w:r>
      <w:r w:rsidR="00DA106E">
        <w:t xml:space="preserve"> </w:t>
      </w:r>
      <w:r w:rsidR="00EC6E7C">
        <w:t>Therefore</w:t>
      </w:r>
      <w:r w:rsidR="009C288A">
        <w:t xml:space="preserve">, firms’ ability to </w:t>
      </w:r>
      <w:r>
        <w:t xml:space="preserve">honour </w:t>
      </w:r>
      <w:r w:rsidR="00EC6E7C">
        <w:t>debt</w:t>
      </w:r>
      <w:r>
        <w:t xml:space="preserve"> commitment</w:t>
      </w:r>
      <w:r w:rsidR="00EC6E7C">
        <w:t>s</w:t>
      </w:r>
      <w:r>
        <w:t xml:space="preserve"> </w:t>
      </w:r>
      <w:r w:rsidR="009C288A">
        <w:t xml:space="preserve">depends </w:t>
      </w:r>
      <w:r w:rsidR="0010719E">
        <w:t xml:space="preserve">on </w:t>
      </w:r>
      <w:r w:rsidR="0010719E">
        <w:t>consumer</w:t>
      </w:r>
      <w:r w:rsidR="00EC6E7C">
        <w:t xml:space="preserve"> </w:t>
      </w:r>
      <w:r w:rsidR="009C288A">
        <w:t xml:space="preserve">and the </w:t>
      </w:r>
      <w:r w:rsidR="0010719E">
        <w:t>government</w:t>
      </w:r>
      <w:r w:rsidR="00EC6E7C">
        <w:t xml:space="preserve"> behaviour</w:t>
      </w:r>
      <w:r w:rsidR="009C288A">
        <w:t xml:space="preserve">. These factors are uncertain and </w:t>
      </w:r>
      <w:r w:rsidR="00F35BB1">
        <w:t xml:space="preserve">banks </w:t>
      </w:r>
      <w:r>
        <w:t>therefore</w:t>
      </w:r>
      <w:r w:rsidR="00F35BB1">
        <w:t xml:space="preserve"> lend based on </w:t>
      </w:r>
      <w:r w:rsidR="009C288A">
        <w:t>firms</w:t>
      </w:r>
      <w:r w:rsidR="00F35BB1">
        <w:t>’</w:t>
      </w:r>
      <w:r w:rsidR="009C288A">
        <w:t xml:space="preserve"> profit expectations</w:t>
      </w:r>
      <w:r w:rsidR="006E0B36">
        <w:t xml:space="preserve">; see </w:t>
      </w:r>
      <w:r w:rsidR="00D57B6A">
        <w:fldChar w:fldCharType="begin"/>
      </w:r>
      <w:r w:rsidR="00D57B6A">
        <w:instrText xml:space="preserve"> REF _Ref187149218 \h </w:instrText>
      </w:r>
      <w:r w:rsidR="00200343">
        <w:instrText xml:space="preserve"> \* MERGEFORMAT </w:instrText>
      </w:r>
      <w:r w:rsidR="00D57B6A">
        <w:fldChar w:fldCharType="separate"/>
      </w:r>
      <w:r w:rsidR="00A440E2">
        <w:t xml:space="preserve">Figure </w:t>
      </w:r>
      <w:r w:rsidR="00A440E2">
        <w:rPr>
          <w:noProof/>
        </w:rPr>
        <w:t>II</w:t>
      </w:r>
      <w:r w:rsidR="00D57B6A">
        <w:fldChar w:fldCharType="end"/>
      </w:r>
      <w:r w:rsidR="006E0B36">
        <w:t>.</w:t>
      </w:r>
    </w:p>
    <w:p w14:paraId="53D16538" w14:textId="77777777" w:rsidR="00D57B6A" w:rsidRDefault="00D57B6A" w:rsidP="00200343">
      <w:pPr>
        <w:keepNext/>
        <w:spacing w:line="480" w:lineRule="auto"/>
        <w:jc w:val="center"/>
      </w:pPr>
      <w:r>
        <w:rPr>
          <w:noProof/>
        </w:rPr>
        <w:drawing>
          <wp:inline distT="0" distB="0" distL="0" distR="0" wp14:anchorId="4DBA70AD" wp14:editId="005310BF">
            <wp:extent cx="3912042" cy="2265049"/>
            <wp:effectExtent l="0" t="0" r="0" b="1905"/>
            <wp:docPr id="4518277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827730" name=""/>
                    <pic:cNvPicPr/>
                  </pic:nvPicPr>
                  <pic:blipFill>
                    <a:blip r:embed="rId7"/>
                    <a:stretch>
                      <a:fillRect/>
                    </a:stretch>
                  </pic:blipFill>
                  <pic:spPr>
                    <a:xfrm>
                      <a:off x="0" y="0"/>
                      <a:ext cx="3926435" cy="2273382"/>
                    </a:xfrm>
                    <a:prstGeom prst="rect">
                      <a:avLst/>
                    </a:prstGeom>
                  </pic:spPr>
                </pic:pic>
              </a:graphicData>
            </a:graphic>
          </wp:inline>
        </w:drawing>
      </w:r>
    </w:p>
    <w:p w14:paraId="68D87D3B" w14:textId="36DBE6D8" w:rsidR="00807283" w:rsidRDefault="00D57B6A" w:rsidP="00200343">
      <w:pPr>
        <w:pStyle w:val="Caption"/>
        <w:spacing w:line="480" w:lineRule="auto"/>
        <w:jc w:val="center"/>
      </w:pPr>
      <w:bookmarkStart w:id="2" w:name="_Ref187149218"/>
      <w:r>
        <w:t xml:space="preserve">Figure </w:t>
      </w:r>
      <w:fldSimple w:instr=" SEQ Figure \* ROMAN ">
        <w:r w:rsidR="00A440E2">
          <w:rPr>
            <w:noProof/>
          </w:rPr>
          <w:t>II</w:t>
        </w:r>
      </w:fldSimple>
      <w:bookmarkEnd w:id="2"/>
      <w:r>
        <w:t xml:space="preserve"> – adapted from </w:t>
      </w:r>
      <w:sdt>
        <w:sdtPr>
          <w:id w:val="-1869598467"/>
          <w:citation/>
        </w:sdtPr>
        <w:sdtContent>
          <w:r>
            <w:fldChar w:fldCharType="begin"/>
          </w:r>
          <w:r w:rsidR="0092243A">
            <w:instrText xml:space="preserve">CITATION DeA06 \p 157 \l 2057 </w:instrText>
          </w:r>
          <w:r>
            <w:fldChar w:fldCharType="separate"/>
          </w:r>
          <w:r w:rsidR="0092243A">
            <w:rPr>
              <w:noProof/>
            </w:rPr>
            <w:t>(De Antoni, 2006, p. 157)</w:t>
          </w:r>
          <w:r>
            <w:fldChar w:fldCharType="end"/>
          </w:r>
        </w:sdtContent>
      </w:sdt>
    </w:p>
    <w:p w14:paraId="381C5F11" w14:textId="07B1168E" w:rsidR="00D57B6A" w:rsidRDefault="00D57B6A" w:rsidP="00200343">
      <w:pPr>
        <w:spacing w:line="480" w:lineRule="auto"/>
        <w:rPr>
          <w:rFonts w:eastAsiaTheme="minorEastAsia"/>
        </w:rPr>
      </w:pPr>
      <w:r>
        <w:fldChar w:fldCharType="begin"/>
      </w:r>
      <w:r>
        <w:instrText xml:space="preserve"> REF _Ref187149218 \h </w:instrText>
      </w:r>
      <w:r w:rsidR="00200343">
        <w:instrText xml:space="preserve"> \* MERGEFORMAT </w:instrText>
      </w:r>
      <w:r>
        <w:fldChar w:fldCharType="separate"/>
      </w:r>
      <w:r w:rsidR="00A440E2">
        <w:t xml:space="preserve">Figure </w:t>
      </w:r>
      <w:r w:rsidR="00A440E2">
        <w:rPr>
          <w:noProof/>
        </w:rPr>
        <w:t>II</w:t>
      </w:r>
      <w:r>
        <w:fldChar w:fldCharType="end"/>
      </w:r>
      <w:r>
        <w:t xml:space="preserve"> models the demand and supply price of capital assets. The demand price </w:t>
      </w:r>
      <m:oMath>
        <m:sSub>
          <m:sSubPr>
            <m:ctrlPr>
              <w:rPr>
                <w:rFonts w:ascii="Cambria Math" w:hAnsi="Cambria Math"/>
                <w:i/>
              </w:rPr>
            </m:ctrlPr>
          </m:sSubPr>
          <m:e>
            <m:r>
              <w:rPr>
                <w:rFonts w:ascii="Cambria Math" w:hAnsi="Cambria Math"/>
              </w:rPr>
              <m:t>P</m:t>
            </m:r>
          </m:e>
          <m:sub>
            <m:r>
              <w:rPr>
                <w:rFonts w:ascii="Cambria Math" w:hAnsi="Cambria Math"/>
              </w:rPr>
              <m:t>k</m:t>
            </m:r>
          </m:sub>
        </m:sSub>
      </m:oMath>
      <w:r>
        <w:rPr>
          <w:rFonts w:eastAsiaTheme="minorEastAsia"/>
        </w:rPr>
        <w:t xml:space="preserve"> is equal to the present value of future profit expectations </w:t>
      </w:r>
      <m:oMath>
        <m:r>
          <w:rPr>
            <w:rFonts w:ascii="Cambria Math" w:eastAsiaTheme="minorEastAsia" w:hAnsi="Cambria Math"/>
          </w:rPr>
          <m:t>PV(</m:t>
        </m:r>
        <m:sSup>
          <m:sSupPr>
            <m:ctrlPr>
              <w:rPr>
                <w:rFonts w:ascii="Cambria Math" w:eastAsiaTheme="minorEastAsia" w:hAnsi="Cambria Math"/>
                <w:i/>
              </w:rPr>
            </m:ctrlPr>
          </m:sSupPr>
          <m:e>
            <m:r>
              <m:rPr>
                <m:sty m:val="p"/>
              </m:rPr>
              <w:rPr>
                <w:rFonts w:ascii="Cambria Math" w:eastAsiaTheme="minorEastAsia" w:hAnsi="Cambria Math"/>
              </w:rPr>
              <m:t>Π</m:t>
            </m:r>
          </m:e>
          <m:sup>
            <m:r>
              <w:rPr>
                <w:rFonts w:ascii="Cambria Math" w:eastAsiaTheme="minorEastAsia" w:hAnsi="Cambria Math"/>
              </w:rPr>
              <m:t>e</m:t>
            </m:r>
          </m:sup>
        </m:sSup>
        <m:r>
          <w:rPr>
            <w:rFonts w:ascii="Cambria Math" w:eastAsiaTheme="minorEastAsia" w:hAnsi="Cambria Math"/>
          </w:rPr>
          <m:t>)</m:t>
        </m:r>
      </m:oMath>
      <w:r w:rsidR="007B6A67">
        <w:rPr>
          <w:rFonts w:eastAsiaTheme="minorEastAsia"/>
        </w:rPr>
        <w:t xml:space="preserve"> from operat</w:t>
      </w:r>
      <w:r w:rsidR="00F35BB1">
        <w:rPr>
          <w:rFonts w:eastAsiaTheme="minorEastAsia"/>
        </w:rPr>
        <w:t>ions</w:t>
      </w:r>
      <w:r w:rsidR="0092243A">
        <w:rPr>
          <w:rFonts w:eastAsiaTheme="minorEastAsia"/>
        </w:rPr>
        <w:t xml:space="preserve">; if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k</m:t>
            </m:r>
          </m:sub>
        </m:sSub>
        <m:r>
          <w:rPr>
            <w:rFonts w:ascii="Cambria Math" w:eastAsiaTheme="minorEastAsia" w:hAnsi="Cambria Math"/>
          </w:rPr>
          <m:t>&gt;PV</m:t>
        </m:r>
        <m:d>
          <m:dPr>
            <m:ctrlPr>
              <w:rPr>
                <w:rFonts w:ascii="Cambria Math" w:eastAsiaTheme="minorEastAsia" w:hAnsi="Cambria Math"/>
                <w:i/>
              </w:rPr>
            </m:ctrlPr>
          </m:dPr>
          <m:e>
            <m:sSup>
              <m:sSupPr>
                <m:ctrlPr>
                  <w:rPr>
                    <w:rFonts w:ascii="Cambria Math" w:eastAsiaTheme="minorEastAsia" w:hAnsi="Cambria Math"/>
                    <w:i/>
                  </w:rPr>
                </m:ctrlPr>
              </m:sSupPr>
              <m:e>
                <m:r>
                  <m:rPr>
                    <m:sty m:val="p"/>
                  </m:rPr>
                  <w:rPr>
                    <w:rFonts w:ascii="Cambria Math" w:eastAsiaTheme="minorEastAsia" w:hAnsi="Cambria Math"/>
                  </w:rPr>
                  <m:t>Π</m:t>
                </m:r>
              </m:e>
              <m:sup>
                <m:r>
                  <w:rPr>
                    <w:rFonts w:ascii="Cambria Math" w:eastAsiaTheme="minorEastAsia" w:hAnsi="Cambria Math"/>
                  </w:rPr>
                  <m:t>e</m:t>
                </m:r>
              </m:sup>
            </m:sSup>
          </m:e>
        </m:d>
      </m:oMath>
      <w:r w:rsidR="0092243A">
        <w:rPr>
          <w:rFonts w:eastAsiaTheme="minorEastAsia"/>
        </w:rPr>
        <w:t xml:space="preserve">, investors make a loss, so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k</m:t>
            </m:r>
          </m:sub>
        </m:sSub>
        <m:r>
          <w:rPr>
            <w:rFonts w:ascii="Cambria Math" w:eastAsiaTheme="minorEastAsia" w:hAnsi="Cambria Math"/>
          </w:rPr>
          <m:t>=PV(</m:t>
        </m:r>
        <m:sSup>
          <m:sSupPr>
            <m:ctrlPr>
              <w:rPr>
                <w:rFonts w:ascii="Cambria Math" w:eastAsiaTheme="minorEastAsia" w:hAnsi="Cambria Math"/>
                <w:i/>
              </w:rPr>
            </m:ctrlPr>
          </m:sSupPr>
          <m:e>
            <m:r>
              <m:rPr>
                <m:sty m:val="p"/>
              </m:rPr>
              <w:rPr>
                <w:rFonts w:ascii="Cambria Math" w:eastAsiaTheme="minorEastAsia" w:hAnsi="Cambria Math"/>
              </w:rPr>
              <m:t>Π</m:t>
            </m:r>
          </m:e>
          <m:sup>
            <m:r>
              <w:rPr>
                <w:rFonts w:ascii="Cambria Math" w:eastAsiaTheme="minorEastAsia" w:hAnsi="Cambria Math"/>
              </w:rPr>
              <m:t>e</m:t>
            </m:r>
          </m:sup>
        </m:sSup>
        <m:r>
          <w:rPr>
            <w:rFonts w:ascii="Cambria Math" w:eastAsiaTheme="minorEastAsia" w:hAnsi="Cambria Math"/>
          </w:rPr>
          <m:t>)</m:t>
        </m:r>
      </m:oMath>
      <w:r w:rsidR="0092243A">
        <w:rPr>
          <w:rFonts w:eastAsiaTheme="minorEastAsia"/>
        </w:rPr>
        <w:t xml:space="preserve"> the maximum price willing to be paid</w:t>
      </w:r>
      <w:r>
        <w:rPr>
          <w:rFonts w:eastAsiaTheme="minorEastAsia"/>
        </w:rPr>
        <w:t xml:space="preserve">. The supply price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oMath>
      <w:r>
        <w:rPr>
          <w:rFonts w:eastAsiaTheme="minorEastAsia"/>
        </w:rPr>
        <w:t xml:space="preserve"> is the marginal cost of</w:t>
      </w:r>
      <w:r w:rsidR="00EC6E7C">
        <w:rPr>
          <w:rFonts w:eastAsiaTheme="minorEastAsia"/>
        </w:rPr>
        <w:t xml:space="preserve"> asset</w:t>
      </w:r>
      <w:r>
        <w:rPr>
          <w:rFonts w:eastAsiaTheme="minorEastAsia"/>
        </w:rPr>
        <w:t xml:space="preserve"> production</w:t>
      </w:r>
      <w:r w:rsidR="0092243A">
        <w:rPr>
          <w:rFonts w:eastAsiaTheme="minorEastAsia"/>
        </w:rPr>
        <w:t xml:space="preserve"> which eventually curves upward due to</w:t>
      </w:r>
      <w:r w:rsidR="007B6A67">
        <w:rPr>
          <w:rFonts w:eastAsiaTheme="minorEastAsia"/>
        </w:rPr>
        <w:t xml:space="preserve"> diminishing marginal </w:t>
      </w:r>
      <w:r w:rsidR="00EC6E7C">
        <w:rPr>
          <w:rFonts w:eastAsiaTheme="minorEastAsia"/>
        </w:rPr>
        <w:t>productivity</w:t>
      </w:r>
      <w:r w:rsidR="0092243A">
        <w:rPr>
          <w:rFonts w:eastAsiaTheme="minorEastAsia"/>
        </w:rPr>
        <w:t>.</w:t>
      </w:r>
    </w:p>
    <w:p w14:paraId="2DCF77DF" w14:textId="582A0279" w:rsidR="0092243A" w:rsidRDefault="00F84641" w:rsidP="00200343">
      <w:pPr>
        <w:spacing w:line="480" w:lineRule="auto"/>
        <w:rPr>
          <w:rFonts w:eastAsiaTheme="minorEastAsia"/>
        </w:rPr>
      </w:pPr>
      <w:r>
        <w:rPr>
          <w:rFonts w:eastAsiaTheme="minorEastAsia"/>
        </w:rPr>
        <w:t>For simplicity, assume we are at the start of the monetary circuit.</w:t>
      </w:r>
      <w:r w:rsidRPr="00F84641">
        <w:rPr>
          <w:rFonts w:eastAsiaTheme="minorEastAsia"/>
        </w:rPr>
        <w:t xml:space="preserve"> </w:t>
      </w:r>
      <w:r>
        <w:rPr>
          <w:rFonts w:eastAsiaTheme="minorEastAsia"/>
        </w:rPr>
        <w:t>F</w:t>
      </w:r>
      <w:r>
        <w:rPr>
          <w:rFonts w:eastAsiaTheme="minorEastAsia"/>
        </w:rPr>
        <w:t xml:space="preserve">irms cannot make investments </w:t>
      </w:r>
      <m:oMath>
        <m:r>
          <w:rPr>
            <w:rFonts w:ascii="Cambria Math" w:eastAsiaTheme="minorEastAsia" w:hAnsi="Cambria Math"/>
          </w:rPr>
          <m:t>In</m:t>
        </m:r>
      </m:oMath>
      <w:r>
        <w:rPr>
          <w:rFonts w:eastAsiaTheme="minorEastAsia"/>
        </w:rPr>
        <w:t xml:space="preserve"> as they have no access to funds</w:t>
      </w:r>
      <w:r>
        <w:rPr>
          <w:rFonts w:eastAsiaTheme="minorEastAsia"/>
        </w:rPr>
        <w:t xml:space="preserve"> and consumers have no earnings to buy equity or bonds; banks </w:t>
      </w:r>
      <w:r w:rsidR="00EC6E7C">
        <w:rPr>
          <w:rFonts w:eastAsiaTheme="minorEastAsia"/>
        </w:rPr>
        <w:t>therefore</w:t>
      </w:r>
      <w:r>
        <w:rPr>
          <w:rFonts w:eastAsiaTheme="minorEastAsia"/>
        </w:rPr>
        <w:t xml:space="preserve"> provide all financing</w:t>
      </w:r>
      <w:r w:rsidR="0092243A">
        <w:rPr>
          <w:rFonts w:eastAsiaTheme="minorEastAsia"/>
        </w:rPr>
        <w:t xml:space="preserve">; see </w:t>
      </w:r>
      <w:r w:rsidR="0092243A">
        <w:rPr>
          <w:rFonts w:eastAsiaTheme="minorEastAsia"/>
        </w:rPr>
        <w:fldChar w:fldCharType="begin"/>
      </w:r>
      <w:r w:rsidR="0092243A">
        <w:rPr>
          <w:rFonts w:eastAsiaTheme="minorEastAsia"/>
        </w:rPr>
        <w:instrText xml:space="preserve"> REF _Ref187150096 \h </w:instrText>
      </w:r>
      <w:r w:rsidR="0092243A">
        <w:rPr>
          <w:rFonts w:eastAsiaTheme="minorEastAsia"/>
        </w:rPr>
      </w:r>
      <w:r w:rsidR="00200343">
        <w:rPr>
          <w:rFonts w:eastAsiaTheme="minorEastAsia"/>
        </w:rPr>
        <w:instrText xml:space="preserve"> \* MERGEFORMAT </w:instrText>
      </w:r>
      <w:r w:rsidR="0092243A">
        <w:rPr>
          <w:rFonts w:eastAsiaTheme="minorEastAsia"/>
        </w:rPr>
        <w:fldChar w:fldCharType="separate"/>
      </w:r>
      <w:r w:rsidR="00A440E2">
        <w:t xml:space="preserve">Figure </w:t>
      </w:r>
      <w:r w:rsidR="00A440E2">
        <w:rPr>
          <w:noProof/>
        </w:rPr>
        <w:t>III</w:t>
      </w:r>
      <w:r w:rsidR="0092243A">
        <w:rPr>
          <w:rFonts w:eastAsiaTheme="minorEastAsia"/>
        </w:rPr>
        <w:fldChar w:fldCharType="end"/>
      </w:r>
      <w:r w:rsidR="0092243A">
        <w:rPr>
          <w:rFonts w:eastAsiaTheme="minorEastAsia"/>
        </w:rPr>
        <w:t>.</w:t>
      </w:r>
    </w:p>
    <w:p w14:paraId="7188BE6F" w14:textId="77777777" w:rsidR="0092243A" w:rsidRDefault="0092243A" w:rsidP="00200343">
      <w:pPr>
        <w:keepNext/>
        <w:spacing w:line="480" w:lineRule="auto"/>
        <w:jc w:val="center"/>
      </w:pPr>
      <w:r>
        <w:rPr>
          <w:noProof/>
        </w:rPr>
        <w:lastRenderedPageBreak/>
        <w:drawing>
          <wp:inline distT="0" distB="0" distL="0" distR="0" wp14:anchorId="7DC83C93" wp14:editId="60DD4F28">
            <wp:extent cx="4027149" cy="2363373"/>
            <wp:effectExtent l="0" t="0" r="0" b="0"/>
            <wp:docPr id="14680476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047610" name=""/>
                    <pic:cNvPicPr/>
                  </pic:nvPicPr>
                  <pic:blipFill>
                    <a:blip r:embed="rId8"/>
                    <a:stretch>
                      <a:fillRect/>
                    </a:stretch>
                  </pic:blipFill>
                  <pic:spPr>
                    <a:xfrm>
                      <a:off x="0" y="0"/>
                      <a:ext cx="4043526" cy="2372984"/>
                    </a:xfrm>
                    <a:prstGeom prst="rect">
                      <a:avLst/>
                    </a:prstGeom>
                  </pic:spPr>
                </pic:pic>
              </a:graphicData>
            </a:graphic>
          </wp:inline>
        </w:drawing>
      </w:r>
    </w:p>
    <w:p w14:paraId="6B89DF2E" w14:textId="38A50E63" w:rsidR="0092243A" w:rsidRDefault="0092243A" w:rsidP="00200343">
      <w:pPr>
        <w:pStyle w:val="Caption"/>
        <w:spacing w:line="480" w:lineRule="auto"/>
        <w:jc w:val="center"/>
      </w:pPr>
      <w:bookmarkStart w:id="3" w:name="_Ref187150096"/>
      <w:r>
        <w:t xml:space="preserve">Figure </w:t>
      </w:r>
      <w:fldSimple w:instr=" SEQ Figure \* ROMAN ">
        <w:r w:rsidR="00A440E2">
          <w:rPr>
            <w:noProof/>
          </w:rPr>
          <w:t>III</w:t>
        </w:r>
      </w:fldSimple>
      <w:bookmarkEnd w:id="3"/>
      <w:r>
        <w:t xml:space="preserve"> – adapted from </w:t>
      </w:r>
      <w:sdt>
        <w:sdtPr>
          <w:id w:val="1829478707"/>
          <w:citation/>
        </w:sdtPr>
        <w:sdtContent>
          <w:r>
            <w:fldChar w:fldCharType="begin"/>
          </w:r>
          <w:r>
            <w:instrText xml:space="preserve">CITATION DeA06 \p 157 \l 2057 </w:instrText>
          </w:r>
          <w:r>
            <w:fldChar w:fldCharType="separate"/>
          </w:r>
          <w:r>
            <w:rPr>
              <w:noProof/>
            </w:rPr>
            <w:t>(De Antoni, 2006, p. 157)</w:t>
          </w:r>
          <w:r>
            <w:fldChar w:fldCharType="end"/>
          </w:r>
        </w:sdtContent>
      </w:sdt>
    </w:p>
    <w:p w14:paraId="6B58632A" w14:textId="45833A33" w:rsidR="0092243A" w:rsidRDefault="00EC6E7C" w:rsidP="00200343">
      <w:pPr>
        <w:spacing w:line="480" w:lineRule="auto"/>
        <w:rPr>
          <w:rFonts w:eastAsiaTheme="minorEastAsia"/>
        </w:rPr>
      </w:pPr>
      <w:r>
        <w:t xml:space="preserve">In </w:t>
      </w:r>
      <w:r>
        <w:fldChar w:fldCharType="begin"/>
      </w:r>
      <w:r>
        <w:instrText xml:space="preserve"> REF _Ref187150096 \h </w:instrText>
      </w:r>
      <w:r w:rsidR="00200343">
        <w:instrText xml:space="preserve"> \* MERGEFORMAT </w:instrText>
      </w:r>
      <w:r>
        <w:fldChar w:fldCharType="separate"/>
      </w:r>
      <w:r w:rsidR="00A440E2">
        <w:t xml:space="preserve">Figure </w:t>
      </w:r>
      <w:r w:rsidR="00A440E2">
        <w:rPr>
          <w:noProof/>
        </w:rPr>
        <w:t>III</w:t>
      </w:r>
      <w:r>
        <w:fldChar w:fldCharType="end"/>
      </w:r>
      <w:r w:rsidR="0092243A">
        <w:t xml:space="preserve">, borrower risk </w:t>
      </w:r>
      <m:oMath>
        <m:r>
          <w:rPr>
            <w:rFonts w:ascii="Cambria Math" w:hAnsi="Cambria Math"/>
          </w:rPr>
          <m:t>Br</m:t>
        </m:r>
      </m:oMath>
      <w:r w:rsidR="0092243A">
        <w:rPr>
          <w:rFonts w:eastAsiaTheme="minorEastAsia"/>
        </w:rPr>
        <w:t xml:space="preserve"> and lender risk </w:t>
      </w:r>
      <m:oMath>
        <m:r>
          <w:rPr>
            <w:rFonts w:ascii="Cambria Math" w:eastAsiaTheme="minorEastAsia" w:hAnsi="Cambria Math"/>
          </w:rPr>
          <m:t>Lr</m:t>
        </m:r>
      </m:oMath>
      <w:r w:rsidR="0092243A">
        <w:rPr>
          <w:rFonts w:eastAsiaTheme="minorEastAsia"/>
        </w:rPr>
        <w:t xml:space="preserve"> are priced into investment decisions. </w:t>
      </w:r>
      <m:oMath>
        <m:r>
          <w:rPr>
            <w:rFonts w:ascii="Cambria Math" w:eastAsiaTheme="minorEastAsia" w:hAnsi="Cambria Math"/>
          </w:rPr>
          <m:t>Lr</m:t>
        </m:r>
      </m:oMath>
      <w:r w:rsidR="0092243A">
        <w:rPr>
          <w:rFonts w:eastAsiaTheme="minorEastAsia"/>
        </w:rPr>
        <w:t xml:space="preserve"> is</w:t>
      </w:r>
      <w:r w:rsidR="0080562C">
        <w:rPr>
          <w:rFonts w:eastAsiaTheme="minorEastAsia"/>
        </w:rPr>
        <w:t xml:space="preserve"> expressed as an increased interest rate on loans</w:t>
      </w:r>
      <w:r w:rsidR="00D24ED5">
        <w:rPr>
          <w:rFonts w:eastAsiaTheme="minorEastAsia"/>
        </w:rPr>
        <w:t xml:space="preserve"> </w:t>
      </w:r>
      <w:r w:rsidR="0079050E">
        <w:rPr>
          <w:rFonts w:eastAsiaTheme="minorEastAsia"/>
        </w:rPr>
        <w:t xml:space="preserve">pushing up the </w:t>
      </w:r>
      <w:r w:rsidR="007B6A67">
        <w:rPr>
          <w:rFonts w:eastAsiaTheme="minorEastAsia"/>
        </w:rPr>
        <w:t xml:space="preserve">firms’ perceived asset cost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m:t>
        </m:r>
      </m:oMath>
      <w:r w:rsidR="007B6A67">
        <w:rPr>
          <w:rFonts w:eastAsiaTheme="minorEastAsia"/>
        </w:rPr>
        <w:t xml:space="preserve">, </w:t>
      </w:r>
      <w:r w:rsidR="00D24ED5">
        <w:rPr>
          <w:rFonts w:eastAsiaTheme="minorEastAsia"/>
        </w:rPr>
        <w:t xml:space="preserve">and </w:t>
      </w:r>
      <m:oMath>
        <m:r>
          <w:rPr>
            <w:rFonts w:ascii="Cambria Math" w:eastAsiaTheme="minorEastAsia" w:hAnsi="Cambria Math"/>
          </w:rPr>
          <m:t>Br</m:t>
        </m:r>
      </m:oMath>
      <w:r w:rsidR="00D24ED5">
        <w:rPr>
          <w:rFonts w:eastAsiaTheme="minorEastAsia"/>
        </w:rPr>
        <w:t xml:space="preserve"> </w:t>
      </w:r>
      <w:r w:rsidR="000C2594">
        <w:rPr>
          <w:rFonts w:eastAsiaTheme="minorEastAsia"/>
        </w:rPr>
        <w:t>i</w:t>
      </w:r>
      <w:r w:rsidR="00D24ED5">
        <w:rPr>
          <w:rFonts w:eastAsiaTheme="minorEastAsia"/>
        </w:rPr>
        <w:t xml:space="preserve">s </w:t>
      </w:r>
      <w:r w:rsidR="007B6A67">
        <w:rPr>
          <w:rFonts w:eastAsiaTheme="minorEastAsia"/>
        </w:rPr>
        <w:t>the</w:t>
      </w:r>
      <w:r w:rsidR="00D24ED5">
        <w:rPr>
          <w:rFonts w:eastAsiaTheme="minorEastAsia"/>
        </w:rPr>
        <w:t xml:space="preserve"> cash-flow margin </w:t>
      </w:r>
      <w:r>
        <w:rPr>
          <w:rFonts w:eastAsiaTheme="minorEastAsia"/>
        </w:rPr>
        <w:t>desired</w:t>
      </w:r>
      <w:r w:rsidR="007B6A67">
        <w:rPr>
          <w:rFonts w:eastAsiaTheme="minorEastAsia"/>
        </w:rPr>
        <w:t xml:space="preserve"> </w:t>
      </w:r>
      <w:r w:rsidR="00D24ED5">
        <w:rPr>
          <w:rFonts w:eastAsiaTheme="minorEastAsia"/>
        </w:rPr>
        <w:t xml:space="preserve">by firms to </w:t>
      </w:r>
      <w:r w:rsidR="007B6A67">
        <w:rPr>
          <w:rFonts w:eastAsiaTheme="minorEastAsia"/>
        </w:rPr>
        <w:t xml:space="preserve">accept </w:t>
      </w:r>
      <w:r w:rsidR="00D24ED5">
        <w:rPr>
          <w:rFonts w:eastAsiaTheme="minorEastAsia"/>
        </w:rPr>
        <w:t xml:space="preserve">risk </w:t>
      </w:r>
      <w:sdt>
        <w:sdtPr>
          <w:rPr>
            <w:rFonts w:eastAsiaTheme="minorEastAsia"/>
          </w:rPr>
          <w:id w:val="288939895"/>
          <w:citation/>
        </w:sdtPr>
        <w:sdtContent>
          <w:r w:rsidR="00D24ED5">
            <w:rPr>
              <w:rFonts w:eastAsiaTheme="minorEastAsia"/>
            </w:rPr>
            <w:fldChar w:fldCharType="begin"/>
          </w:r>
          <w:r w:rsidR="00D24ED5">
            <w:rPr>
              <w:rFonts w:eastAsiaTheme="minorEastAsia"/>
            </w:rPr>
            <w:instrText xml:space="preserve">CITATION 1986 \p 213-4 \t  \l 2057 </w:instrText>
          </w:r>
          <w:r w:rsidR="00D24ED5">
            <w:rPr>
              <w:rFonts w:eastAsiaTheme="minorEastAsia"/>
            </w:rPr>
            <w:fldChar w:fldCharType="separate"/>
          </w:r>
          <w:r w:rsidR="00D24ED5" w:rsidRPr="00D24ED5">
            <w:rPr>
              <w:rFonts w:eastAsiaTheme="minorEastAsia"/>
              <w:noProof/>
            </w:rPr>
            <w:t>(Minsky, 2008, pp. 213-4)</w:t>
          </w:r>
          <w:r w:rsidR="00D24ED5">
            <w:rPr>
              <w:rFonts w:eastAsiaTheme="minorEastAsia"/>
            </w:rPr>
            <w:fldChar w:fldCharType="end"/>
          </w:r>
        </w:sdtContent>
      </w:sdt>
      <w:r w:rsidR="00D24ED5">
        <w:rPr>
          <w:rFonts w:eastAsiaTheme="minorEastAsia"/>
        </w:rPr>
        <w:t xml:space="preserve">. </w:t>
      </w:r>
      <m:oMath>
        <m:r>
          <w:rPr>
            <w:rFonts w:ascii="Cambria Math" w:eastAsiaTheme="minorEastAsia" w:hAnsi="Cambria Math"/>
          </w:rPr>
          <m:t>Br</m:t>
        </m:r>
      </m:oMath>
      <w:r w:rsidR="00D24ED5">
        <w:rPr>
          <w:rFonts w:eastAsiaTheme="minorEastAsia"/>
        </w:rPr>
        <w:t xml:space="preserve"> and </w:t>
      </w:r>
      <m:oMath>
        <m:r>
          <w:rPr>
            <w:rFonts w:ascii="Cambria Math" w:eastAsiaTheme="minorEastAsia" w:hAnsi="Cambria Math"/>
          </w:rPr>
          <m:t>Lr</m:t>
        </m:r>
      </m:oMath>
      <w:r w:rsidR="00D24ED5">
        <w:rPr>
          <w:rFonts w:eastAsiaTheme="minorEastAsia"/>
        </w:rPr>
        <w:t xml:space="preserve"> increase with the size of the </w:t>
      </w:r>
      <w:r w:rsidR="00F35BB1">
        <w:rPr>
          <w:rFonts w:eastAsiaTheme="minorEastAsia"/>
        </w:rPr>
        <w:t xml:space="preserve">investment </w:t>
      </w:r>
      <w:r w:rsidR="00D24ED5">
        <w:rPr>
          <w:rFonts w:eastAsiaTheme="minorEastAsia"/>
        </w:rPr>
        <w:t xml:space="preserve">until they meet at an equilibrium level of investment </w:t>
      </w:r>
      <m:oMath>
        <m:r>
          <w:rPr>
            <w:rFonts w:ascii="Cambria Math" w:eastAsiaTheme="minorEastAsia" w:hAnsi="Cambria Math"/>
          </w:rPr>
          <m:t>Ie</m:t>
        </m:r>
      </m:oMath>
      <w:r w:rsidR="00D24ED5">
        <w:rPr>
          <w:rFonts w:eastAsiaTheme="minorEastAsia"/>
        </w:rPr>
        <w:t>.</w:t>
      </w:r>
    </w:p>
    <w:p w14:paraId="2B708E47" w14:textId="464A621E" w:rsidR="00D24ED5" w:rsidRDefault="00D24ED5" w:rsidP="00200343">
      <w:pPr>
        <w:spacing w:line="480" w:lineRule="auto"/>
        <w:rPr>
          <w:rFonts w:eastAsiaTheme="minorEastAsia"/>
        </w:rPr>
      </w:pPr>
      <w:r>
        <w:rPr>
          <w:rFonts w:eastAsiaTheme="minorEastAsia"/>
        </w:rPr>
        <w:t xml:space="preserve">If firms experience an unexpected but </w:t>
      </w:r>
      <w:r w:rsidR="00F84641">
        <w:rPr>
          <w:rFonts w:eastAsiaTheme="minorEastAsia"/>
        </w:rPr>
        <w:t xml:space="preserve">seemingly </w:t>
      </w:r>
      <w:r>
        <w:rPr>
          <w:rFonts w:eastAsiaTheme="minorEastAsia"/>
        </w:rPr>
        <w:t>permanent increase in profits</w:t>
      </w:r>
      <w:r w:rsidR="00F84641">
        <w:rPr>
          <w:rFonts w:eastAsiaTheme="minorEastAsia"/>
        </w:rPr>
        <w:t xml:space="preserve"> (a boom)</w:t>
      </w:r>
      <w:r>
        <w:rPr>
          <w:rFonts w:eastAsiaTheme="minorEastAsia"/>
        </w:rPr>
        <w:t xml:space="preserve">, profit expectations and confidence in firms will shift the </w:t>
      </w:r>
      <w:r w:rsidR="00C10526">
        <w:rPr>
          <w:rFonts w:eastAsiaTheme="minorEastAsia"/>
        </w:rPr>
        <w:t xml:space="preserve">diagram to </w:t>
      </w:r>
      <w:r w:rsidR="0079050E">
        <w:rPr>
          <w:rFonts w:eastAsiaTheme="minorEastAsia"/>
        </w:rPr>
        <w:fldChar w:fldCharType="begin"/>
      </w:r>
      <w:r w:rsidR="0079050E">
        <w:rPr>
          <w:rFonts w:eastAsiaTheme="minorEastAsia"/>
        </w:rPr>
        <w:instrText xml:space="preserve"> REF _Ref187152359 \h </w:instrText>
      </w:r>
      <w:r w:rsidR="0079050E">
        <w:rPr>
          <w:rFonts w:eastAsiaTheme="minorEastAsia"/>
        </w:rPr>
      </w:r>
      <w:r w:rsidR="00200343">
        <w:rPr>
          <w:rFonts w:eastAsiaTheme="minorEastAsia"/>
        </w:rPr>
        <w:instrText xml:space="preserve"> \* MERGEFORMAT </w:instrText>
      </w:r>
      <w:r w:rsidR="0079050E">
        <w:rPr>
          <w:rFonts w:eastAsiaTheme="minorEastAsia"/>
        </w:rPr>
        <w:fldChar w:fldCharType="separate"/>
      </w:r>
      <w:r w:rsidR="00A440E2">
        <w:t xml:space="preserve">Figure </w:t>
      </w:r>
      <w:r w:rsidR="00A440E2">
        <w:rPr>
          <w:noProof/>
        </w:rPr>
        <w:t>IV</w:t>
      </w:r>
      <w:r w:rsidR="0079050E">
        <w:rPr>
          <w:rFonts w:eastAsiaTheme="minorEastAsia"/>
        </w:rPr>
        <w:fldChar w:fldCharType="end"/>
      </w:r>
      <w:r w:rsidR="00214ABA">
        <w:rPr>
          <w:rFonts w:eastAsiaTheme="minorEastAsia"/>
        </w:rPr>
        <w:t xml:space="preserve"> </w:t>
      </w:r>
      <w:sdt>
        <w:sdtPr>
          <w:rPr>
            <w:rFonts w:eastAsiaTheme="minorEastAsia"/>
          </w:rPr>
          <w:id w:val="1839421041"/>
          <w:citation/>
        </w:sdtPr>
        <w:sdtContent>
          <w:r w:rsidR="00214ABA">
            <w:rPr>
              <w:rFonts w:eastAsiaTheme="minorEastAsia"/>
            </w:rPr>
            <w:fldChar w:fldCharType="begin"/>
          </w:r>
          <w:r w:rsidR="00214ABA">
            <w:rPr>
              <w:rFonts w:eastAsiaTheme="minorEastAsia"/>
            </w:rPr>
            <w:instrText xml:space="preserve">CITATION DeA06 \p 160 \l 2057 </w:instrText>
          </w:r>
          <w:r w:rsidR="00214ABA">
            <w:rPr>
              <w:rFonts w:eastAsiaTheme="minorEastAsia"/>
            </w:rPr>
            <w:fldChar w:fldCharType="separate"/>
          </w:r>
          <w:r w:rsidR="00214ABA" w:rsidRPr="00214ABA">
            <w:rPr>
              <w:rFonts w:eastAsiaTheme="minorEastAsia"/>
              <w:noProof/>
            </w:rPr>
            <w:t>(De Antoni, 2006, p. 160)</w:t>
          </w:r>
          <w:r w:rsidR="00214ABA">
            <w:rPr>
              <w:rFonts w:eastAsiaTheme="minorEastAsia"/>
            </w:rPr>
            <w:fldChar w:fldCharType="end"/>
          </w:r>
        </w:sdtContent>
      </w:sdt>
      <w:r w:rsidR="00C10526">
        <w:rPr>
          <w:rFonts w:eastAsiaTheme="minorEastAsia"/>
        </w:rPr>
        <w:t>.</w:t>
      </w:r>
    </w:p>
    <w:p w14:paraId="305D46C8" w14:textId="77777777" w:rsidR="0079050E" w:rsidRDefault="0079050E" w:rsidP="00200343">
      <w:pPr>
        <w:keepNext/>
        <w:spacing w:line="480" w:lineRule="auto"/>
        <w:jc w:val="center"/>
      </w:pPr>
      <w:r>
        <w:rPr>
          <w:noProof/>
        </w:rPr>
        <w:lastRenderedPageBreak/>
        <w:drawing>
          <wp:inline distT="0" distB="0" distL="0" distR="0" wp14:anchorId="71087F01" wp14:editId="7741BAE0">
            <wp:extent cx="4146364" cy="2482948"/>
            <wp:effectExtent l="0" t="0" r="6985" b="0"/>
            <wp:docPr id="10878569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856992" name=""/>
                    <pic:cNvPicPr/>
                  </pic:nvPicPr>
                  <pic:blipFill>
                    <a:blip r:embed="rId9"/>
                    <a:stretch>
                      <a:fillRect/>
                    </a:stretch>
                  </pic:blipFill>
                  <pic:spPr>
                    <a:xfrm>
                      <a:off x="0" y="0"/>
                      <a:ext cx="4160604" cy="2491475"/>
                    </a:xfrm>
                    <a:prstGeom prst="rect">
                      <a:avLst/>
                    </a:prstGeom>
                  </pic:spPr>
                </pic:pic>
              </a:graphicData>
            </a:graphic>
          </wp:inline>
        </w:drawing>
      </w:r>
    </w:p>
    <w:p w14:paraId="6E5510C3" w14:textId="4E21EE8B" w:rsidR="00C10526" w:rsidRDefault="0079050E" w:rsidP="00200343">
      <w:pPr>
        <w:pStyle w:val="Caption"/>
        <w:spacing w:line="480" w:lineRule="auto"/>
        <w:jc w:val="center"/>
        <w:rPr>
          <w:rFonts w:eastAsiaTheme="minorEastAsia"/>
        </w:rPr>
      </w:pPr>
      <w:bookmarkStart w:id="4" w:name="_Ref187152359"/>
      <w:r>
        <w:t xml:space="preserve">Figure </w:t>
      </w:r>
      <w:fldSimple w:instr=" SEQ Figure \* ROMAN ">
        <w:r w:rsidR="00A440E2">
          <w:rPr>
            <w:noProof/>
          </w:rPr>
          <w:t>IV</w:t>
        </w:r>
      </w:fldSimple>
      <w:bookmarkEnd w:id="4"/>
      <w:r>
        <w:t xml:space="preserve"> - </w:t>
      </w:r>
      <w:r>
        <w:t xml:space="preserve">adapted from </w:t>
      </w:r>
      <w:sdt>
        <w:sdtPr>
          <w:id w:val="-309557935"/>
          <w:citation/>
        </w:sdtPr>
        <w:sdtContent>
          <w:r>
            <w:fldChar w:fldCharType="begin"/>
          </w:r>
          <w:r>
            <w:instrText xml:space="preserve">CITATION DeA06 \p 160 \l 2057 </w:instrText>
          </w:r>
          <w:r>
            <w:fldChar w:fldCharType="separate"/>
          </w:r>
          <w:r>
            <w:rPr>
              <w:noProof/>
            </w:rPr>
            <w:t>(De Antoni, 2006, p. 160)</w:t>
          </w:r>
          <w:r>
            <w:fldChar w:fldCharType="end"/>
          </w:r>
        </w:sdtContent>
      </w:sdt>
    </w:p>
    <w:p w14:paraId="5119872F" w14:textId="593BAC06" w:rsidR="0079050E" w:rsidRDefault="0079050E" w:rsidP="00200343">
      <w:pPr>
        <w:spacing w:line="480" w:lineRule="auto"/>
        <w:rPr>
          <w:rFonts w:eastAsiaTheme="minorEastAsia"/>
        </w:rPr>
      </w:pPr>
      <w:r>
        <w:t>For the sake of simplicity, we again ignore</w:t>
      </w:r>
      <w:r w:rsidR="00EC6E7C">
        <w:t xml:space="preserve"> equity and bond markets</w:t>
      </w:r>
      <w:r>
        <w:t xml:space="preserve">. Increased profit expectations shift </w:t>
      </w:r>
      <m:oMath>
        <m:sSub>
          <m:sSubPr>
            <m:ctrlPr>
              <w:rPr>
                <w:rFonts w:ascii="Cambria Math" w:hAnsi="Cambria Math"/>
                <w:i/>
              </w:rPr>
            </m:ctrlPr>
          </m:sSubPr>
          <m:e>
            <m:r>
              <w:rPr>
                <w:rFonts w:ascii="Cambria Math" w:hAnsi="Cambria Math"/>
              </w:rPr>
              <m:t>P</m:t>
            </m:r>
          </m:e>
          <m:sub>
            <m:r>
              <w:rPr>
                <w:rFonts w:ascii="Cambria Math" w:hAnsi="Cambria Math"/>
              </w:rPr>
              <m:t>k</m:t>
            </m:r>
          </m:sub>
        </m:sSub>
      </m:oMath>
      <w:r>
        <w:rPr>
          <w:rFonts w:eastAsiaTheme="minorEastAsia"/>
        </w:rPr>
        <w:t xml:space="preserve"> to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k</m:t>
            </m:r>
          </m:sub>
        </m:sSub>
        <m:r>
          <w:rPr>
            <w:rFonts w:ascii="Cambria Math" w:eastAsiaTheme="minorEastAsia" w:hAnsi="Cambria Math"/>
          </w:rPr>
          <m:t>'</m:t>
        </m:r>
      </m:oMath>
      <w:r>
        <w:rPr>
          <w:rFonts w:eastAsiaTheme="minorEastAsia"/>
        </w:rPr>
        <w:t xml:space="preserve"> and increased confidence decreases </w:t>
      </w:r>
      <m:oMath>
        <m:r>
          <w:rPr>
            <w:rFonts w:ascii="Cambria Math" w:eastAsiaTheme="minorEastAsia" w:hAnsi="Cambria Math"/>
          </w:rPr>
          <m:t>Br</m:t>
        </m:r>
      </m:oMath>
      <w:r>
        <w:rPr>
          <w:rFonts w:eastAsiaTheme="minorEastAsia"/>
        </w:rPr>
        <w:t xml:space="preserve"> and </w:t>
      </w:r>
      <m:oMath>
        <m:r>
          <w:rPr>
            <w:rFonts w:ascii="Cambria Math" w:eastAsiaTheme="minorEastAsia" w:hAnsi="Cambria Math"/>
          </w:rPr>
          <m:t>Lr</m:t>
        </m:r>
      </m:oMath>
      <w:r>
        <w:rPr>
          <w:rFonts w:eastAsiaTheme="minorEastAsia"/>
        </w:rPr>
        <w:t xml:space="preserve"> for the same level of investment. These changes combine and </w:t>
      </w:r>
      <m:oMath>
        <m:r>
          <w:rPr>
            <w:rFonts w:ascii="Cambria Math" w:eastAsiaTheme="minorEastAsia" w:hAnsi="Cambria Math"/>
          </w:rPr>
          <m:t>Ie</m:t>
        </m:r>
      </m:oMath>
      <w:r>
        <w:rPr>
          <w:rFonts w:eastAsiaTheme="minorEastAsia"/>
        </w:rPr>
        <w:t xml:space="preserve"> increases to </w:t>
      </w:r>
      <m:oMath>
        <m:r>
          <w:rPr>
            <w:rFonts w:ascii="Cambria Math" w:eastAsiaTheme="minorEastAsia" w:hAnsi="Cambria Math"/>
          </w:rPr>
          <m:t>Ie'</m:t>
        </m:r>
      </m:oMath>
      <w:r>
        <w:rPr>
          <w:rFonts w:eastAsiaTheme="minorEastAsia"/>
        </w:rPr>
        <w:t>.</w:t>
      </w:r>
    </w:p>
    <w:p w14:paraId="7C9F595F" w14:textId="570FB675" w:rsidR="00327C42" w:rsidRDefault="007B6A67" w:rsidP="00200343">
      <w:pPr>
        <w:spacing w:line="480" w:lineRule="auto"/>
        <w:rPr>
          <w:rFonts w:eastAsiaTheme="minorEastAsia"/>
        </w:rPr>
      </w:pPr>
      <w:r>
        <w:rPr>
          <w:rFonts w:eastAsiaTheme="minorEastAsia"/>
        </w:rPr>
        <w:t xml:space="preserve">Minsky </w:t>
      </w:r>
      <w:sdt>
        <w:sdtPr>
          <w:rPr>
            <w:rFonts w:eastAsiaTheme="minorEastAsia"/>
          </w:rPr>
          <w:id w:val="1838040463"/>
          <w:citation/>
        </w:sdtPr>
        <w:sdtContent>
          <w:r>
            <w:rPr>
              <w:rFonts w:eastAsiaTheme="minorEastAsia"/>
            </w:rPr>
            <w:fldChar w:fldCharType="begin"/>
          </w:r>
          <w:r>
            <w:rPr>
              <w:rFonts w:eastAsiaTheme="minorEastAsia"/>
            </w:rPr>
            <w:instrText xml:space="preserve">CITATION 1986 \p 230 \n  \t  \l 2057 </w:instrText>
          </w:r>
          <w:r>
            <w:rPr>
              <w:rFonts w:eastAsiaTheme="minorEastAsia"/>
            </w:rPr>
            <w:fldChar w:fldCharType="separate"/>
          </w:r>
          <w:r w:rsidRPr="007B6A67">
            <w:rPr>
              <w:rFonts w:eastAsiaTheme="minorEastAsia"/>
              <w:noProof/>
            </w:rPr>
            <w:t>(2008, p. 230)</w:t>
          </w:r>
          <w:r>
            <w:rPr>
              <w:rFonts w:eastAsiaTheme="minorEastAsia"/>
            </w:rPr>
            <w:fldChar w:fldCharType="end"/>
          </w:r>
        </w:sdtContent>
      </w:sdt>
      <w:r>
        <w:rPr>
          <w:rFonts w:eastAsiaTheme="minorEastAsia"/>
        </w:rPr>
        <w:t xml:space="preserve"> posits that some firms and their bankers will speculate on </w:t>
      </w:r>
      <w:r w:rsidR="00327C42">
        <w:rPr>
          <w:rFonts w:eastAsiaTheme="minorEastAsia"/>
        </w:rPr>
        <w:t>these potential booms. Minsky (</w:t>
      </w:r>
      <w:r w:rsidR="00327C42">
        <w:rPr>
          <w:rFonts w:eastAsiaTheme="minorEastAsia"/>
          <w:i/>
          <w:iCs/>
        </w:rPr>
        <w:t>ibid</w:t>
      </w:r>
      <w:r w:rsidR="00327C42">
        <w:rPr>
          <w:rFonts w:eastAsiaTheme="minorEastAsia"/>
        </w:rPr>
        <w:t>) defines three categories:</w:t>
      </w:r>
    </w:p>
    <w:p w14:paraId="4AD2A77D" w14:textId="77777777" w:rsidR="00327C42" w:rsidRDefault="00327C42" w:rsidP="00200343">
      <w:pPr>
        <w:pStyle w:val="ListParagraph"/>
        <w:numPr>
          <w:ilvl w:val="0"/>
          <w:numId w:val="3"/>
        </w:numPr>
        <w:spacing w:line="480" w:lineRule="auto"/>
        <w:rPr>
          <w:rFonts w:eastAsiaTheme="minorEastAsia"/>
        </w:rPr>
      </w:pPr>
      <w:r>
        <w:rPr>
          <w:rFonts w:eastAsiaTheme="minorEastAsia"/>
        </w:rPr>
        <w:t>Hedge,</w:t>
      </w:r>
    </w:p>
    <w:p w14:paraId="5A0CCFA8" w14:textId="77777777" w:rsidR="00327C42" w:rsidRDefault="00327C42" w:rsidP="00200343">
      <w:pPr>
        <w:pStyle w:val="ListParagraph"/>
        <w:numPr>
          <w:ilvl w:val="0"/>
          <w:numId w:val="3"/>
        </w:numPr>
        <w:spacing w:line="480" w:lineRule="auto"/>
        <w:rPr>
          <w:rFonts w:eastAsiaTheme="minorEastAsia"/>
        </w:rPr>
      </w:pPr>
      <w:r>
        <w:rPr>
          <w:rFonts w:eastAsiaTheme="minorEastAsia"/>
        </w:rPr>
        <w:t>Speculative,</w:t>
      </w:r>
    </w:p>
    <w:p w14:paraId="4A0882F2" w14:textId="26D9D484" w:rsidR="0079050E" w:rsidRDefault="00327C42" w:rsidP="00200343">
      <w:pPr>
        <w:pStyle w:val="ListParagraph"/>
        <w:numPr>
          <w:ilvl w:val="0"/>
          <w:numId w:val="3"/>
        </w:numPr>
        <w:spacing w:line="480" w:lineRule="auto"/>
        <w:rPr>
          <w:rFonts w:eastAsiaTheme="minorEastAsia"/>
        </w:rPr>
      </w:pPr>
      <w:r>
        <w:rPr>
          <w:rFonts w:eastAsiaTheme="minorEastAsia"/>
        </w:rPr>
        <w:t>Ultra-speculative or ‘Ponzi’.</w:t>
      </w:r>
    </w:p>
    <w:p w14:paraId="5515E53D" w14:textId="1937C284" w:rsidR="00327C42" w:rsidRDefault="00411CC1" w:rsidP="00200343">
      <w:pPr>
        <w:spacing w:line="480" w:lineRule="auto"/>
        <w:rPr>
          <w:rFonts w:eastAsiaTheme="minorEastAsia"/>
        </w:rPr>
      </w:pPr>
      <w:r>
        <w:rPr>
          <w:rFonts w:eastAsiaTheme="minorEastAsia"/>
        </w:rPr>
        <w:t>These can be described with a n</w:t>
      </w:r>
      <w:r w:rsidR="00585CE6">
        <w:rPr>
          <w:rFonts w:eastAsiaTheme="minorEastAsia"/>
        </w:rPr>
        <w:t>ovel</w:t>
      </w:r>
      <w:r>
        <w:rPr>
          <w:rFonts w:eastAsiaTheme="minorEastAsia"/>
        </w:rPr>
        <w:t xml:space="preserve"> diagram, see </w:t>
      </w:r>
      <w:r>
        <w:rPr>
          <w:rFonts w:eastAsiaTheme="minorEastAsia"/>
        </w:rPr>
        <w:fldChar w:fldCharType="begin"/>
      </w:r>
      <w:r>
        <w:rPr>
          <w:rFonts w:eastAsiaTheme="minorEastAsia"/>
        </w:rPr>
        <w:instrText xml:space="preserve"> REF _Ref187154444 \h </w:instrText>
      </w:r>
      <w:r>
        <w:rPr>
          <w:rFonts w:eastAsiaTheme="minorEastAsia"/>
        </w:rPr>
      </w:r>
      <w:r w:rsidR="00200343">
        <w:rPr>
          <w:rFonts w:eastAsiaTheme="minorEastAsia"/>
        </w:rPr>
        <w:instrText xml:space="preserve"> \* MERGEFORMAT </w:instrText>
      </w:r>
      <w:r>
        <w:rPr>
          <w:rFonts w:eastAsiaTheme="minorEastAsia"/>
        </w:rPr>
        <w:fldChar w:fldCharType="separate"/>
      </w:r>
      <w:r w:rsidR="00A440E2">
        <w:t xml:space="preserve">Figure </w:t>
      </w:r>
      <w:r w:rsidR="00A440E2">
        <w:rPr>
          <w:noProof/>
        </w:rPr>
        <w:t>V</w:t>
      </w:r>
      <w:r>
        <w:rPr>
          <w:rFonts w:eastAsiaTheme="minorEastAsia"/>
        </w:rPr>
        <w:fldChar w:fldCharType="end"/>
      </w:r>
      <w:r>
        <w:rPr>
          <w:rFonts w:eastAsiaTheme="minorEastAsia"/>
        </w:rPr>
        <w:t>.</w:t>
      </w:r>
    </w:p>
    <w:p w14:paraId="3CB49151" w14:textId="751574F4" w:rsidR="00411CC1" w:rsidRDefault="00411CC1" w:rsidP="00200343">
      <w:pPr>
        <w:keepNext/>
        <w:spacing w:line="480" w:lineRule="auto"/>
        <w:jc w:val="center"/>
      </w:pPr>
      <w:r>
        <w:rPr>
          <w:noProof/>
        </w:rPr>
        <w:lastRenderedPageBreak/>
        <w:drawing>
          <wp:inline distT="0" distB="0" distL="0" distR="0" wp14:anchorId="5334AE19" wp14:editId="3FEBE3C2">
            <wp:extent cx="4180878" cy="2336400"/>
            <wp:effectExtent l="0" t="0" r="0" b="6985"/>
            <wp:docPr id="13192828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282813" name=""/>
                    <pic:cNvPicPr/>
                  </pic:nvPicPr>
                  <pic:blipFill>
                    <a:blip r:embed="rId10"/>
                    <a:stretch>
                      <a:fillRect/>
                    </a:stretch>
                  </pic:blipFill>
                  <pic:spPr>
                    <a:xfrm>
                      <a:off x="0" y="0"/>
                      <a:ext cx="4180878" cy="2336400"/>
                    </a:xfrm>
                    <a:prstGeom prst="rect">
                      <a:avLst/>
                    </a:prstGeom>
                  </pic:spPr>
                </pic:pic>
              </a:graphicData>
            </a:graphic>
          </wp:inline>
        </w:drawing>
      </w:r>
    </w:p>
    <w:p w14:paraId="78013A5B" w14:textId="69380C60" w:rsidR="00411CC1" w:rsidRDefault="00411CC1" w:rsidP="00200343">
      <w:pPr>
        <w:pStyle w:val="Caption"/>
        <w:spacing w:line="480" w:lineRule="auto"/>
        <w:jc w:val="center"/>
        <w:rPr>
          <w:rFonts w:eastAsiaTheme="minorEastAsia"/>
        </w:rPr>
      </w:pPr>
      <w:bookmarkStart w:id="5" w:name="_Ref187154444"/>
      <w:r>
        <w:t xml:space="preserve">Figure </w:t>
      </w:r>
      <w:fldSimple w:instr=" SEQ Figure \* ROMAN ">
        <w:r w:rsidR="00A440E2">
          <w:rPr>
            <w:noProof/>
          </w:rPr>
          <w:t>V</w:t>
        </w:r>
      </w:fldSimple>
      <w:bookmarkEnd w:id="5"/>
      <w:r>
        <w:t xml:space="preserve"> – own illustration, adapted partly from </w:t>
      </w:r>
      <w:sdt>
        <w:sdtPr>
          <w:id w:val="-842016969"/>
          <w:citation/>
        </w:sdtPr>
        <w:sdtContent>
          <w:r>
            <w:fldChar w:fldCharType="begin"/>
          </w:r>
          <w:r>
            <w:instrText xml:space="preserve"> CITATION DeA06 \l 2057 </w:instrText>
          </w:r>
          <w:r>
            <w:fldChar w:fldCharType="separate"/>
          </w:r>
          <w:r>
            <w:rPr>
              <w:noProof/>
            </w:rPr>
            <w:t>(De Antoni, 2006)</w:t>
          </w:r>
          <w:r>
            <w:fldChar w:fldCharType="end"/>
          </w:r>
        </w:sdtContent>
      </w:sdt>
    </w:p>
    <w:p w14:paraId="62A4056F" w14:textId="2780453E" w:rsidR="00327C42" w:rsidRDefault="00411CC1" w:rsidP="00200343">
      <w:pPr>
        <w:spacing w:line="480" w:lineRule="auto"/>
        <w:rPr>
          <w:rFonts w:eastAsiaTheme="minorEastAsia"/>
        </w:rPr>
      </w:pPr>
      <w:r>
        <w:rPr>
          <w:rFonts w:eastAsiaTheme="minorEastAsia"/>
        </w:rPr>
        <w:fldChar w:fldCharType="begin"/>
      </w:r>
      <w:r>
        <w:rPr>
          <w:rFonts w:eastAsiaTheme="minorEastAsia"/>
        </w:rPr>
        <w:instrText xml:space="preserve"> REF _Ref187154444 \h </w:instrText>
      </w:r>
      <w:r>
        <w:rPr>
          <w:rFonts w:eastAsiaTheme="minorEastAsia"/>
        </w:rPr>
      </w:r>
      <w:r w:rsidR="00200343">
        <w:rPr>
          <w:rFonts w:eastAsiaTheme="minorEastAsia"/>
        </w:rPr>
        <w:instrText xml:space="preserve"> \* MERGEFORMAT </w:instrText>
      </w:r>
      <w:r>
        <w:rPr>
          <w:rFonts w:eastAsiaTheme="minorEastAsia"/>
        </w:rPr>
        <w:fldChar w:fldCharType="separate"/>
      </w:r>
      <w:r w:rsidR="00A440E2">
        <w:t xml:space="preserve">Figure </w:t>
      </w:r>
      <w:r w:rsidR="00A440E2">
        <w:rPr>
          <w:noProof/>
        </w:rPr>
        <w:t>V</w:t>
      </w:r>
      <w:r>
        <w:rPr>
          <w:rFonts w:eastAsiaTheme="minorEastAsia"/>
        </w:rPr>
        <w:fldChar w:fldCharType="end"/>
      </w:r>
      <w:r>
        <w:rPr>
          <w:rFonts w:eastAsiaTheme="minorEastAsia"/>
        </w:rPr>
        <w:t xml:space="preserve"> delineates long-run and short-run profit expectations.</w:t>
      </w:r>
    </w:p>
    <w:p w14:paraId="7DB8F7B1" w14:textId="78CAACB5" w:rsidR="00214ABA" w:rsidRPr="00214ABA" w:rsidRDefault="00214ABA" w:rsidP="00200343">
      <w:pPr>
        <w:spacing w:line="480" w:lineRule="auto"/>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m:t>
              </m:r>
            </m:sup>
          </m:sSup>
          <m:r>
            <w:rPr>
              <w:rFonts w:ascii="Cambria Math" w:eastAsiaTheme="minorEastAsia" w:hAnsi="Cambria Math"/>
            </w:rPr>
            <m:t>=r</m:t>
          </m:r>
          <m:r>
            <w:rPr>
              <w:rFonts w:ascii="Cambria Math" w:eastAsiaTheme="minorEastAsia" w:hAnsi="Cambria Math"/>
            </w:rPr>
            <m:t>=i+x</m:t>
          </m:r>
        </m:oMath>
      </m:oMathPara>
    </w:p>
    <w:p w14:paraId="44DB5C83" w14:textId="18AD3A6C" w:rsidR="00214ABA" w:rsidRDefault="00214ABA" w:rsidP="00200343">
      <w:pPr>
        <w:spacing w:line="480" w:lineRule="auto"/>
        <w:rPr>
          <w:rFonts w:eastAsiaTheme="minorEastAsia"/>
        </w:rPr>
      </w:pPr>
      <w:r>
        <w:rPr>
          <w:rFonts w:eastAsiaTheme="minorEastAsia"/>
        </w:rPr>
        <w:t xml:space="preserve">Where </w:t>
      </w:r>
      <w:r w:rsidR="00B80561">
        <w:rPr>
          <w:rFonts w:eastAsiaTheme="minorEastAsia"/>
        </w:rPr>
        <w:t xml:space="preserve">the market rate </w:t>
      </w:r>
      <m:oMath>
        <m:r>
          <w:rPr>
            <w:rFonts w:ascii="Cambria Math" w:eastAsiaTheme="minorEastAsia" w:hAnsi="Cambria Math"/>
          </w:rPr>
          <m:t>r</m:t>
        </m:r>
      </m:oMath>
      <w:r w:rsidR="00B80561">
        <w:rPr>
          <w:rFonts w:eastAsiaTheme="minorEastAsia"/>
        </w:rPr>
        <w:t xml:space="preserve"> is equal to the risk-free rate </w:t>
      </w:r>
      <m:oMath>
        <m:r>
          <w:rPr>
            <w:rFonts w:ascii="Cambria Math" w:eastAsiaTheme="minorEastAsia" w:hAnsi="Cambria Math"/>
          </w:rPr>
          <m:t>i</m:t>
        </m:r>
      </m:oMath>
      <w:r w:rsidR="00B80561">
        <w:rPr>
          <w:rFonts w:eastAsiaTheme="minorEastAsia"/>
        </w:rPr>
        <w:t xml:space="preserve"> plus a risk premium </w:t>
      </w:r>
      <m:oMath>
        <m:r>
          <w:rPr>
            <w:rFonts w:ascii="Cambria Math" w:eastAsiaTheme="minorEastAsia" w:hAnsi="Cambria Math"/>
          </w:rPr>
          <m:t>x</m:t>
        </m:r>
        <m:r>
          <w:rPr>
            <w:rFonts w:ascii="Cambria Math" w:eastAsiaTheme="minorEastAsia" w:hAnsi="Cambria Math"/>
          </w:rPr>
          <m:t>=Lr</m:t>
        </m:r>
      </m:oMath>
      <w:r>
        <w:rPr>
          <w:rFonts w:eastAsiaTheme="minorEastAsia"/>
        </w:rPr>
        <w:t>. Minsky (</w:t>
      </w:r>
      <w:r>
        <w:rPr>
          <w:rFonts w:eastAsiaTheme="minorEastAsia"/>
          <w:i/>
          <w:iCs/>
        </w:rPr>
        <w:t>ibid</w:t>
      </w:r>
      <w:r>
        <w:rPr>
          <w:rFonts w:eastAsiaTheme="minorEastAsia"/>
        </w:rPr>
        <w:t>) defines hedge investors as agents who are not dependent on finance after the initial loan</w:t>
      </w:r>
      <w:r w:rsidR="00A640EC">
        <w:rPr>
          <w:rFonts w:eastAsiaTheme="minorEastAsia"/>
        </w:rPr>
        <w:t>:</w:t>
      </w:r>
      <w:r>
        <w:rPr>
          <w:rFonts w:eastAsiaTheme="minorEastAsia"/>
        </w:rPr>
        <w:t xml:space="preserve"> they receive sufficient cashflow to repay interest and the principal</w:t>
      </w:r>
      <w:r w:rsidR="00B80561">
        <w:rPr>
          <w:rFonts w:eastAsiaTheme="minorEastAsia"/>
        </w:rPr>
        <w:t>:</w:t>
      </w:r>
      <w:r>
        <w:rPr>
          <w:rFonts w:eastAsiaTheme="minorEastAsia"/>
        </w:rPr>
        <w:t xml:space="preserve"> </w:t>
      </w:r>
      <m:oMath>
        <m:r>
          <w:rPr>
            <w:rFonts w:ascii="Cambria Math" w:eastAsiaTheme="minorEastAsia" w:hAnsi="Cambria Math"/>
          </w:rPr>
          <m:t>P</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sSubSup>
              <m:sSubSupPr>
                <m:ctrlPr>
                  <w:rPr>
                    <w:rFonts w:ascii="Cambria Math" w:eastAsiaTheme="minorEastAsia" w:hAnsi="Cambria Math"/>
                    <w:i/>
                  </w:rPr>
                </m:ctrlPr>
              </m:sSubSupPr>
              <m:e>
                <m:r>
                  <m:rPr>
                    <m:sty m:val="p"/>
                  </m:rPr>
                  <w:rPr>
                    <w:rFonts w:ascii="Cambria Math" w:eastAsiaTheme="minorEastAsia" w:hAnsi="Cambria Math"/>
                  </w:rPr>
                  <m:t>Π</m:t>
                </m:r>
              </m:e>
              <m:sub>
                <m:r>
                  <w:rPr>
                    <w:rFonts w:ascii="Cambria Math" w:eastAsiaTheme="minorEastAsia" w:hAnsi="Cambria Math"/>
                  </w:rPr>
                  <m:t>SR</m:t>
                </m:r>
              </m:sub>
              <m:sup>
                <m:r>
                  <w:rPr>
                    <w:rFonts w:ascii="Cambria Math" w:eastAsiaTheme="minorEastAsia" w:hAnsi="Cambria Math"/>
                  </w:rPr>
                  <m:t>e</m:t>
                </m:r>
              </m:sup>
            </m:sSubSup>
          </m:e>
        </m:d>
        <m:r>
          <w:rPr>
            <w:rFonts w:ascii="Cambria Math" w:eastAsiaTheme="minorEastAsia" w:hAnsi="Cambria Math"/>
          </w:rPr>
          <m:t>&gt;r</m:t>
        </m:r>
      </m:oMath>
      <w:r>
        <w:rPr>
          <w:rFonts w:eastAsiaTheme="minorEastAsia"/>
        </w:rPr>
        <w:t xml:space="preserve">. Speculative investors </w:t>
      </w:r>
      <w:r w:rsidR="000C2594">
        <w:rPr>
          <w:rFonts w:eastAsiaTheme="minorEastAsia"/>
        </w:rPr>
        <w:t>have</w:t>
      </w:r>
      <w:r w:rsidR="00B80561">
        <w:rPr>
          <w:rFonts w:eastAsiaTheme="minorEastAsia"/>
        </w:rPr>
        <w:t xml:space="preserve"> </w:t>
      </w:r>
      <m:oMath>
        <m:r>
          <w:rPr>
            <w:rFonts w:ascii="Cambria Math" w:eastAsiaTheme="minorEastAsia" w:hAnsi="Cambria Math"/>
          </w:rPr>
          <m:t>P</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sSubSup>
              <m:sSubSupPr>
                <m:ctrlPr>
                  <w:rPr>
                    <w:rFonts w:ascii="Cambria Math" w:eastAsiaTheme="minorEastAsia" w:hAnsi="Cambria Math"/>
                    <w:i/>
                  </w:rPr>
                </m:ctrlPr>
              </m:sSubSupPr>
              <m:e>
                <m:r>
                  <m:rPr>
                    <m:sty m:val="p"/>
                  </m:rPr>
                  <w:rPr>
                    <w:rFonts w:ascii="Cambria Math" w:eastAsiaTheme="minorEastAsia" w:hAnsi="Cambria Math"/>
                  </w:rPr>
                  <m:t>Π</m:t>
                </m:r>
              </m:e>
              <m:sub>
                <m:r>
                  <w:rPr>
                    <w:rFonts w:ascii="Cambria Math" w:eastAsiaTheme="minorEastAsia" w:hAnsi="Cambria Math"/>
                  </w:rPr>
                  <m:t>SR</m:t>
                </m:r>
              </m:sub>
              <m:sup>
                <m:r>
                  <w:rPr>
                    <w:rFonts w:ascii="Cambria Math" w:eastAsiaTheme="minorEastAsia" w:hAnsi="Cambria Math"/>
                  </w:rPr>
                  <m:t>e</m:t>
                </m:r>
              </m:sup>
            </m:sSubSup>
          </m:e>
        </m:d>
        <m:r>
          <w:rPr>
            <w:rFonts w:ascii="Cambria Math" w:eastAsiaTheme="minorEastAsia" w:hAnsi="Cambria Math"/>
          </w:rPr>
          <m:t>=r</m:t>
        </m:r>
      </m:oMath>
      <w:r w:rsidR="00B80561">
        <w:rPr>
          <w:rFonts w:eastAsiaTheme="minorEastAsia"/>
        </w:rPr>
        <w:t xml:space="preserve"> </w:t>
      </w:r>
      <w:r>
        <w:rPr>
          <w:rFonts w:eastAsiaTheme="minorEastAsia"/>
        </w:rPr>
        <w:t xml:space="preserve">and roll-over their debt until long-run expectations are </w:t>
      </w:r>
      <w:r w:rsidR="000C2594">
        <w:rPr>
          <w:rFonts w:eastAsiaTheme="minorEastAsia"/>
        </w:rPr>
        <w:t>realised</w:t>
      </w:r>
      <w:r>
        <w:rPr>
          <w:rFonts w:eastAsiaTheme="minorEastAsia"/>
        </w:rPr>
        <w:t xml:space="preserve">; Ponzi investors </w:t>
      </w:r>
      <w:r w:rsidR="000C2594">
        <w:rPr>
          <w:rFonts w:eastAsiaTheme="minorEastAsia"/>
        </w:rPr>
        <w:t>have</w:t>
      </w:r>
      <w:r w:rsidR="00B80561">
        <w:rPr>
          <w:rFonts w:eastAsiaTheme="minorEastAsia"/>
        </w:rPr>
        <w:t xml:space="preserve"> </w:t>
      </w:r>
      <m:oMath>
        <m:r>
          <w:rPr>
            <w:rFonts w:ascii="Cambria Math" w:eastAsiaTheme="minorEastAsia" w:hAnsi="Cambria Math"/>
          </w:rPr>
          <m:t>P</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sSubSup>
              <m:sSubSupPr>
                <m:ctrlPr>
                  <w:rPr>
                    <w:rFonts w:ascii="Cambria Math" w:eastAsiaTheme="minorEastAsia" w:hAnsi="Cambria Math"/>
                    <w:i/>
                  </w:rPr>
                </m:ctrlPr>
              </m:sSubSupPr>
              <m:e>
                <m:r>
                  <m:rPr>
                    <m:sty m:val="p"/>
                  </m:rPr>
                  <w:rPr>
                    <w:rFonts w:ascii="Cambria Math" w:eastAsiaTheme="minorEastAsia" w:hAnsi="Cambria Math"/>
                  </w:rPr>
                  <m:t>Π</m:t>
                </m:r>
              </m:e>
              <m:sub>
                <m:r>
                  <w:rPr>
                    <w:rFonts w:ascii="Cambria Math" w:eastAsiaTheme="minorEastAsia" w:hAnsi="Cambria Math"/>
                  </w:rPr>
                  <m:t>SR</m:t>
                </m:r>
              </m:sub>
              <m:sup>
                <m:r>
                  <w:rPr>
                    <w:rFonts w:ascii="Cambria Math" w:eastAsiaTheme="minorEastAsia" w:hAnsi="Cambria Math"/>
                  </w:rPr>
                  <m:t>e</m:t>
                </m:r>
              </m:sup>
            </m:sSubSup>
          </m:e>
        </m:d>
        <m:r>
          <w:rPr>
            <w:rFonts w:ascii="Cambria Math" w:eastAsiaTheme="minorEastAsia" w:hAnsi="Cambria Math"/>
          </w:rPr>
          <m:t>&lt;r</m:t>
        </m:r>
      </m:oMath>
      <w:r w:rsidR="00B80561">
        <w:rPr>
          <w:rFonts w:eastAsiaTheme="minorEastAsia"/>
        </w:rPr>
        <w:t xml:space="preserve"> </w:t>
      </w:r>
      <w:r>
        <w:rPr>
          <w:rFonts w:eastAsiaTheme="minorEastAsia"/>
        </w:rPr>
        <w:t xml:space="preserve">and require </w:t>
      </w:r>
      <w:r w:rsidR="000C2594">
        <w:rPr>
          <w:rFonts w:eastAsiaTheme="minorEastAsia"/>
        </w:rPr>
        <w:t>new loans</w:t>
      </w:r>
      <w:r>
        <w:rPr>
          <w:rFonts w:eastAsiaTheme="minorEastAsia"/>
        </w:rPr>
        <w:t xml:space="preserve"> to stay solvent in the short-run.</w:t>
      </w:r>
    </w:p>
    <w:p w14:paraId="6615A1AA" w14:textId="61E98AB0" w:rsidR="00F35BB1" w:rsidRDefault="00CA64FB" w:rsidP="00200343">
      <w:pPr>
        <w:spacing w:line="480" w:lineRule="auto"/>
        <w:rPr>
          <w:rFonts w:eastAsiaTheme="minorEastAsia"/>
        </w:rPr>
      </w:pPr>
      <w:r>
        <w:rPr>
          <w:rFonts w:eastAsiaTheme="minorEastAsia"/>
        </w:rPr>
        <w:t>S</w:t>
      </w:r>
      <w:r w:rsidR="00B80561">
        <w:rPr>
          <w:rFonts w:eastAsiaTheme="minorEastAsia"/>
        </w:rPr>
        <w:t xml:space="preserve">peculators exceeding profit expectations </w:t>
      </w:r>
      <w:r w:rsidR="00A64C11">
        <w:rPr>
          <w:rFonts w:eastAsiaTheme="minorEastAsia"/>
        </w:rPr>
        <w:t xml:space="preserve">eventually </w:t>
      </w:r>
      <w:r w:rsidR="00B80561">
        <w:rPr>
          <w:rFonts w:eastAsiaTheme="minorEastAsia"/>
        </w:rPr>
        <w:t xml:space="preserve">leads to </w:t>
      </w:r>
      <w:r w:rsidR="00C80651">
        <w:rPr>
          <w:rFonts w:eastAsiaTheme="minorEastAsia"/>
        </w:rPr>
        <w:t xml:space="preserve">the endogenous accumulation of </w:t>
      </w:r>
      <w:r w:rsidR="00B80561">
        <w:rPr>
          <w:rFonts w:eastAsiaTheme="minorEastAsia"/>
        </w:rPr>
        <w:t xml:space="preserve">financial fragility. </w:t>
      </w:r>
      <w:r w:rsidR="00C80651">
        <w:rPr>
          <w:rFonts w:eastAsiaTheme="minorEastAsia"/>
        </w:rPr>
        <w:t xml:space="preserve">During </w:t>
      </w:r>
      <w:r w:rsidR="000C2594">
        <w:rPr>
          <w:rFonts w:eastAsiaTheme="minorEastAsia"/>
        </w:rPr>
        <w:t>the</w:t>
      </w:r>
      <w:r w:rsidR="00C80651">
        <w:rPr>
          <w:rFonts w:eastAsiaTheme="minorEastAsia"/>
        </w:rPr>
        <w:t xml:space="preserve"> upswing, speculators prove to banks that their projected long-run expectations </w:t>
      </w:r>
      <w:r w:rsidR="00F84641">
        <w:rPr>
          <w:rFonts w:eastAsiaTheme="minorEastAsia"/>
        </w:rPr>
        <w:t>we</w:t>
      </w:r>
      <w:r w:rsidR="00C80651">
        <w:rPr>
          <w:rFonts w:eastAsiaTheme="minorEastAsia"/>
        </w:rPr>
        <w:t>re valid</w:t>
      </w:r>
      <w:r w:rsidR="00A64C11">
        <w:rPr>
          <w:rFonts w:eastAsiaTheme="minorEastAsia"/>
        </w:rPr>
        <w:t xml:space="preserve">. Meanwhile, </w:t>
      </w:r>
      <w:r w:rsidR="00F84641">
        <w:rPr>
          <w:rFonts w:eastAsiaTheme="minorEastAsia"/>
        </w:rPr>
        <w:t>hedgers</w:t>
      </w:r>
      <w:r w:rsidR="00C80651">
        <w:rPr>
          <w:rFonts w:eastAsiaTheme="minorEastAsia"/>
        </w:rPr>
        <w:t xml:space="preserve"> will realise they </w:t>
      </w:r>
      <w:r w:rsidR="00F84641">
        <w:rPr>
          <w:rFonts w:eastAsiaTheme="minorEastAsia"/>
        </w:rPr>
        <w:t>did</w:t>
      </w:r>
      <w:r w:rsidR="00C80651">
        <w:rPr>
          <w:rFonts w:eastAsiaTheme="minorEastAsia"/>
        </w:rPr>
        <w:t xml:space="preserve"> not fully utilise </w:t>
      </w:r>
      <w:r w:rsidR="00F84641">
        <w:rPr>
          <w:rFonts w:eastAsiaTheme="minorEastAsia"/>
        </w:rPr>
        <w:t xml:space="preserve">available leverage </w:t>
      </w:r>
      <w:r w:rsidR="00C80651">
        <w:rPr>
          <w:rFonts w:eastAsiaTheme="minorEastAsia"/>
        </w:rPr>
        <w:t xml:space="preserve">and </w:t>
      </w:r>
      <w:r w:rsidR="00F35BB1">
        <w:rPr>
          <w:rFonts w:eastAsiaTheme="minorEastAsia"/>
        </w:rPr>
        <w:t xml:space="preserve">are </w:t>
      </w:r>
      <w:r w:rsidR="00C80651">
        <w:rPr>
          <w:rFonts w:eastAsiaTheme="minorEastAsia"/>
        </w:rPr>
        <w:t xml:space="preserve">incentivised to </w:t>
      </w:r>
      <w:r w:rsidR="00F35BB1">
        <w:rPr>
          <w:rFonts w:eastAsiaTheme="minorEastAsia"/>
        </w:rPr>
        <w:t>do s</w:t>
      </w:r>
      <w:r w:rsidR="00F84641">
        <w:rPr>
          <w:rFonts w:eastAsiaTheme="minorEastAsia"/>
        </w:rPr>
        <w:t xml:space="preserve">o. </w:t>
      </w:r>
      <w:r w:rsidR="00A64C11">
        <w:rPr>
          <w:rFonts w:eastAsiaTheme="minorEastAsia"/>
        </w:rPr>
        <w:t>As a result, f</w:t>
      </w:r>
      <w:r w:rsidR="00F35BB1">
        <w:rPr>
          <w:rFonts w:eastAsiaTheme="minorEastAsia"/>
        </w:rPr>
        <w:t xml:space="preserve">irms become </w:t>
      </w:r>
      <w:r w:rsidR="00C80651">
        <w:rPr>
          <w:rFonts w:eastAsiaTheme="minorEastAsia"/>
        </w:rPr>
        <w:t xml:space="preserve">increasingly reliant on the financial sector to roll-over </w:t>
      </w:r>
      <w:r w:rsidR="00A64C11">
        <w:rPr>
          <w:rFonts w:eastAsiaTheme="minorEastAsia"/>
        </w:rPr>
        <w:t>debt or maintain a flow of credit.</w:t>
      </w:r>
    </w:p>
    <w:p w14:paraId="5CE5C6FE" w14:textId="1E1682E4" w:rsidR="004B294B" w:rsidRDefault="00F35BB1" w:rsidP="00200343">
      <w:pPr>
        <w:spacing w:line="480" w:lineRule="auto"/>
        <w:rPr>
          <w:rFonts w:eastAsiaTheme="minorEastAsia"/>
        </w:rPr>
      </w:pPr>
      <w:r>
        <w:rPr>
          <w:rFonts w:eastAsiaTheme="minorEastAsia"/>
        </w:rPr>
        <w:t xml:space="preserve">When expectations are not met, due to </w:t>
      </w:r>
      <w:r w:rsidR="00BA1494">
        <w:rPr>
          <w:rFonts w:eastAsiaTheme="minorEastAsia"/>
        </w:rPr>
        <w:t xml:space="preserve">either </w:t>
      </w:r>
      <w:r>
        <w:rPr>
          <w:rFonts w:eastAsiaTheme="minorEastAsia"/>
        </w:rPr>
        <w:t xml:space="preserve">reduced government spending or increased consumer savings, there is a ‘Minsky moment’. </w:t>
      </w:r>
      <w:r w:rsidR="00BA1494">
        <w:rPr>
          <w:rFonts w:eastAsiaTheme="minorEastAsia"/>
        </w:rPr>
        <w:t xml:space="preserve">Liquidity preference across the entire </w:t>
      </w:r>
      <w:r w:rsidR="00BA1494">
        <w:rPr>
          <w:rFonts w:eastAsiaTheme="minorEastAsia"/>
        </w:rPr>
        <w:lastRenderedPageBreak/>
        <w:t xml:space="preserve">economy </w:t>
      </w:r>
      <w:r w:rsidR="000C2594">
        <w:rPr>
          <w:rFonts w:eastAsiaTheme="minorEastAsia"/>
        </w:rPr>
        <w:t xml:space="preserve">rises precipitously </w:t>
      </w:r>
      <w:r w:rsidR="00BA1494">
        <w:rPr>
          <w:rFonts w:eastAsiaTheme="minorEastAsia"/>
        </w:rPr>
        <w:t>due to strong uncertainty, meaning that</w:t>
      </w:r>
      <w:r w:rsidR="00162EBD">
        <w:rPr>
          <w:rFonts w:eastAsiaTheme="minorEastAsia"/>
        </w:rPr>
        <w:t>: consumers save more in banks, rather than via the equity and bond market; banks shift from illiquid loans to liquid investments</w:t>
      </w:r>
      <w:r w:rsidR="00585CE6">
        <w:rPr>
          <w:rFonts w:eastAsiaTheme="minorEastAsia"/>
        </w:rPr>
        <w:t xml:space="preserve"> such as treasuries</w:t>
      </w:r>
      <w:r w:rsidR="00162EBD">
        <w:rPr>
          <w:rFonts w:eastAsiaTheme="minorEastAsia"/>
        </w:rPr>
        <w:t xml:space="preserve">; and firms demand financing to service their debt and meet their </w:t>
      </w:r>
      <w:r w:rsidR="00CA64FB">
        <w:rPr>
          <w:rFonts w:eastAsiaTheme="minorEastAsia"/>
        </w:rPr>
        <w:t xml:space="preserve">ballooning risk </w:t>
      </w:r>
      <w:r w:rsidR="00162EBD">
        <w:rPr>
          <w:rFonts w:eastAsiaTheme="minorEastAsia"/>
        </w:rPr>
        <w:t xml:space="preserve">margin </w:t>
      </w:r>
      <m:oMath>
        <m:r>
          <w:rPr>
            <w:rFonts w:ascii="Cambria Math" w:eastAsiaTheme="minorEastAsia" w:hAnsi="Cambria Math"/>
          </w:rPr>
          <m:t>Br</m:t>
        </m:r>
      </m:oMath>
      <w:r w:rsidR="00162EBD">
        <w:rPr>
          <w:rFonts w:eastAsiaTheme="minorEastAsia"/>
        </w:rPr>
        <w:t xml:space="preserve"> </w:t>
      </w:r>
      <w:sdt>
        <w:sdtPr>
          <w:rPr>
            <w:rFonts w:eastAsiaTheme="minorEastAsia"/>
          </w:rPr>
          <w:id w:val="64077967"/>
          <w:citation/>
        </w:sdtPr>
        <w:sdtContent>
          <w:r w:rsidR="00162EBD">
            <w:rPr>
              <w:rFonts w:eastAsiaTheme="minorEastAsia"/>
            </w:rPr>
            <w:fldChar w:fldCharType="begin"/>
          </w:r>
          <w:r w:rsidR="00162EBD">
            <w:rPr>
              <w:rFonts w:eastAsiaTheme="minorEastAsia"/>
            </w:rPr>
            <w:instrText xml:space="preserve">CITATION Dow06 \p 41 \l 2057 </w:instrText>
          </w:r>
          <w:r w:rsidR="00162EBD">
            <w:rPr>
              <w:rFonts w:eastAsiaTheme="minorEastAsia"/>
            </w:rPr>
            <w:fldChar w:fldCharType="separate"/>
          </w:r>
          <w:r w:rsidR="00162EBD" w:rsidRPr="00162EBD">
            <w:rPr>
              <w:rFonts w:eastAsiaTheme="minorEastAsia"/>
              <w:noProof/>
            </w:rPr>
            <w:t>(Dow, 2006, p. 41)</w:t>
          </w:r>
          <w:r w:rsidR="00162EBD">
            <w:rPr>
              <w:rFonts w:eastAsiaTheme="minorEastAsia"/>
            </w:rPr>
            <w:fldChar w:fldCharType="end"/>
          </w:r>
        </w:sdtContent>
      </w:sdt>
      <w:r w:rsidR="00162EBD">
        <w:rPr>
          <w:rFonts w:eastAsiaTheme="minorEastAsia"/>
        </w:rPr>
        <w:t xml:space="preserve">. Firms </w:t>
      </w:r>
      <w:r w:rsidR="00CA64FB">
        <w:rPr>
          <w:rFonts w:eastAsiaTheme="minorEastAsia"/>
        </w:rPr>
        <w:t xml:space="preserve">do not </w:t>
      </w:r>
      <w:r w:rsidR="00162EBD">
        <w:rPr>
          <w:rFonts w:eastAsiaTheme="minorEastAsia"/>
        </w:rPr>
        <w:t>attain extra financing due to banks’ unwillingness to lend and must sell capital assets. This causes a spiral of debt-deflation, wherein asset prices collapse due to excess supply, requiring firms to sell more to meet their debt commitments.</w:t>
      </w:r>
    </w:p>
    <w:p w14:paraId="01F2777C" w14:textId="656F5950" w:rsidR="00B80561" w:rsidRDefault="00585CE6" w:rsidP="00200343">
      <w:pPr>
        <w:spacing w:line="480" w:lineRule="auto"/>
        <w:rPr>
          <w:rFonts w:eastAsiaTheme="minorEastAsia"/>
        </w:rPr>
      </w:pPr>
      <w:r>
        <w:rPr>
          <w:rFonts w:eastAsiaTheme="minorEastAsia"/>
        </w:rPr>
        <w:t>Ultimately, not all commitments can be fulfilled and there will be a wave of bankruptcies</w:t>
      </w:r>
      <w:r w:rsidR="004B294B">
        <w:rPr>
          <w:rFonts w:eastAsiaTheme="minorEastAsia"/>
        </w:rPr>
        <w:t xml:space="preserve">, followed by a recovery period dominated by hedged investment until the cycle repeats. </w:t>
      </w:r>
      <w:r w:rsidR="00B707D8">
        <w:rPr>
          <w:rFonts w:eastAsiaTheme="minorEastAsia"/>
        </w:rPr>
        <w:t>S</w:t>
      </w:r>
      <w:r w:rsidR="004B294B">
        <w:rPr>
          <w:rFonts w:eastAsiaTheme="minorEastAsia"/>
        </w:rPr>
        <w:t xml:space="preserve">ome critics </w:t>
      </w:r>
      <w:r w:rsidR="00B707D8">
        <w:rPr>
          <w:rFonts w:eastAsiaTheme="minorEastAsia"/>
        </w:rPr>
        <w:t xml:space="preserve">argue such a cyclical nature would require people to behave irrationally, never learning from mistakes; however, </w:t>
      </w:r>
      <w:r w:rsidR="004B294B">
        <w:rPr>
          <w:rFonts w:eastAsiaTheme="minorEastAsia"/>
        </w:rPr>
        <w:t>this is not</w:t>
      </w:r>
      <w:r w:rsidR="00B707D8">
        <w:rPr>
          <w:rFonts w:eastAsiaTheme="minorEastAsia"/>
        </w:rPr>
        <w:t xml:space="preserve"> a</w:t>
      </w:r>
      <w:r w:rsidR="004B294B">
        <w:rPr>
          <w:rFonts w:eastAsiaTheme="minorEastAsia"/>
        </w:rPr>
        <w:t xml:space="preserve"> necessary </w:t>
      </w:r>
      <w:r w:rsidR="00B707D8">
        <w:rPr>
          <w:rFonts w:eastAsiaTheme="minorEastAsia"/>
        </w:rPr>
        <w:t>assumption</w:t>
      </w:r>
      <w:r w:rsidR="004B294B">
        <w:rPr>
          <w:rFonts w:eastAsiaTheme="minorEastAsia"/>
        </w:rPr>
        <w:t xml:space="preserve">. As Skott </w:t>
      </w:r>
      <w:sdt>
        <w:sdtPr>
          <w:rPr>
            <w:rFonts w:eastAsiaTheme="minorEastAsia"/>
          </w:rPr>
          <w:id w:val="404498671"/>
          <w:citation/>
        </w:sdtPr>
        <w:sdtContent>
          <w:r w:rsidR="004B294B">
            <w:rPr>
              <w:rFonts w:eastAsiaTheme="minorEastAsia"/>
            </w:rPr>
            <w:fldChar w:fldCharType="begin"/>
          </w:r>
          <w:r w:rsidR="004B294B">
            <w:rPr>
              <w:rFonts w:eastAsiaTheme="minorEastAsia"/>
            </w:rPr>
            <w:instrText xml:space="preserve">CITATION Sko96 \p 270 \n  \t  \l 2057 </w:instrText>
          </w:r>
          <w:r w:rsidR="004B294B">
            <w:rPr>
              <w:rFonts w:eastAsiaTheme="minorEastAsia"/>
            </w:rPr>
            <w:fldChar w:fldCharType="separate"/>
          </w:r>
          <w:r w:rsidR="004B294B" w:rsidRPr="004B294B">
            <w:rPr>
              <w:rFonts w:eastAsiaTheme="minorEastAsia"/>
              <w:noProof/>
            </w:rPr>
            <w:t>(1996, p. 270)</w:t>
          </w:r>
          <w:r w:rsidR="004B294B">
            <w:rPr>
              <w:rFonts w:eastAsiaTheme="minorEastAsia"/>
            </w:rPr>
            <w:fldChar w:fldCharType="end"/>
          </w:r>
        </w:sdtContent>
      </w:sdt>
      <w:r w:rsidR="004B294B">
        <w:rPr>
          <w:rFonts w:eastAsiaTheme="minorEastAsia"/>
        </w:rPr>
        <w:t xml:space="preserve"> notes, knowledge from past mistakes does not help with present situations: past crises lead to changes in the institutional environment wherein novel innovations will render previously risky actions safe, and safe actions risky. Agents trying to extrapolate from past experiences will be “in the positions of generals using the strategies of a previous war.” (</w:t>
      </w:r>
      <w:r w:rsidR="004B294B">
        <w:rPr>
          <w:rFonts w:eastAsiaTheme="minorEastAsia"/>
          <w:i/>
          <w:iCs/>
        </w:rPr>
        <w:t>ibid</w:t>
      </w:r>
      <w:r w:rsidR="004B294B">
        <w:rPr>
          <w:rFonts w:eastAsiaTheme="minorEastAsia"/>
        </w:rPr>
        <w:t>).</w:t>
      </w:r>
    </w:p>
    <w:p w14:paraId="77CEE96E" w14:textId="7D5952D3" w:rsidR="00951812" w:rsidRPr="00951812" w:rsidRDefault="00951812" w:rsidP="00200343">
      <w:pPr>
        <w:spacing w:line="480" w:lineRule="auto"/>
        <w:rPr>
          <w:rFonts w:eastAsiaTheme="minorEastAsia"/>
          <w:b/>
          <w:bCs/>
        </w:rPr>
      </w:pPr>
      <w:r>
        <w:rPr>
          <w:rFonts w:eastAsiaTheme="minorEastAsia"/>
          <w:b/>
          <w:bCs/>
        </w:rPr>
        <w:t>Expanding Minsky to account for liquidity uncertainty</w:t>
      </w:r>
    </w:p>
    <w:p w14:paraId="4D2CFF66" w14:textId="584EC1AF" w:rsidR="00225D2D" w:rsidRDefault="00AD5B0A" w:rsidP="00200343">
      <w:pPr>
        <w:spacing w:line="480" w:lineRule="auto"/>
      </w:pPr>
      <w:r>
        <w:t xml:space="preserve">Allen &amp; Gale </w:t>
      </w:r>
      <w:sdt>
        <w:sdtPr>
          <w:id w:val="666142071"/>
          <w:citation/>
        </w:sdtPr>
        <w:sdtContent>
          <w:r>
            <w:fldChar w:fldCharType="begin"/>
          </w:r>
          <w:r>
            <w:instrText xml:space="preserve">CITATION All07 \p 20 \n  \t  \l 2057 </w:instrText>
          </w:r>
          <w:r>
            <w:fldChar w:fldCharType="separate"/>
          </w:r>
          <w:r>
            <w:rPr>
              <w:noProof/>
            </w:rPr>
            <w:t>(2007, p. 20)</w:t>
          </w:r>
          <w:r>
            <w:fldChar w:fldCharType="end"/>
          </w:r>
        </w:sdtContent>
      </w:sdt>
      <w:r>
        <w:t xml:space="preserve"> suggest two mechanisms which </w:t>
      </w:r>
      <w:r w:rsidR="00D94F67">
        <w:t xml:space="preserve">can </w:t>
      </w:r>
      <w:r>
        <w:t xml:space="preserve">crash asset prices: falling future </w:t>
      </w:r>
      <w:r w:rsidR="00D94F67">
        <w:t>returns</w:t>
      </w:r>
      <w:r w:rsidR="00253ED6">
        <w:t>,</w:t>
      </w:r>
      <w:r>
        <w:t xml:space="preserve"> and unexpected liquidity shocks. </w:t>
      </w:r>
      <w:r w:rsidR="00D94F67">
        <w:t>Minsky is primarily concerned with the former</w:t>
      </w:r>
      <w:r>
        <w:t xml:space="preserve">, however Allen &amp; Gale’s </w:t>
      </w:r>
      <w:sdt>
        <w:sdtPr>
          <w:id w:val="-404845927"/>
          <w:citation/>
        </w:sdtPr>
        <w:sdtContent>
          <w:r>
            <w:fldChar w:fldCharType="begin"/>
          </w:r>
          <w:r>
            <w:instrText xml:space="preserve">CITATION All07 \n  \t  \l 2057 </w:instrText>
          </w:r>
          <w:r>
            <w:fldChar w:fldCharType="separate"/>
          </w:r>
          <w:r>
            <w:rPr>
              <w:noProof/>
            </w:rPr>
            <w:t>(2007)</w:t>
          </w:r>
          <w:r>
            <w:fldChar w:fldCharType="end"/>
          </w:r>
        </w:sdtContent>
      </w:sdt>
      <w:r>
        <w:t xml:space="preserve"> ‘cash-in-the-market pricing’ model </w:t>
      </w:r>
      <w:r w:rsidR="004B294B">
        <w:t xml:space="preserve">shows </w:t>
      </w:r>
      <w:r w:rsidR="00CD2E5F">
        <w:t xml:space="preserve">that </w:t>
      </w:r>
      <w:r w:rsidR="00D94F67">
        <w:t xml:space="preserve">liquidity shocks can cause </w:t>
      </w:r>
      <w:r w:rsidR="00CD2E5F">
        <w:t xml:space="preserve">crashes </w:t>
      </w:r>
      <w:r w:rsidR="00D94F67">
        <w:t xml:space="preserve">to </w:t>
      </w:r>
      <w:r w:rsidR="00CD2E5F">
        <w:t xml:space="preserve">occur even when asset returns are certain. By extending Minsky’s FIH to include both mechanisms, it can better </w:t>
      </w:r>
      <w:r w:rsidR="00D94F67">
        <w:t>model financial crises.</w:t>
      </w:r>
    </w:p>
    <w:p w14:paraId="420CE6D4" w14:textId="439746D1" w:rsidR="00D94F67" w:rsidRDefault="00253ED6" w:rsidP="00200343">
      <w:pPr>
        <w:spacing w:line="480" w:lineRule="auto"/>
      </w:pPr>
      <w:r>
        <w:t xml:space="preserve">Cash-in-the-market pricing occurs when there is a </w:t>
      </w:r>
      <w:r w:rsidR="00951812">
        <w:t xml:space="preserve">liquidity shortage </w:t>
      </w:r>
      <w:r>
        <w:t xml:space="preserve">and the asset price becomes equal to the ratio of available liquidity to the amount of the asset supplied. Allen &amp; Gale (2007, p. 104) model a liquidity shock by </w:t>
      </w:r>
      <w:r w:rsidR="00A277BC">
        <w:t>assuming there exist a large number of agents</w:t>
      </w:r>
      <w:r w:rsidR="00FE6247">
        <w:t xml:space="preserve"> </w:t>
      </w:r>
      <w:r w:rsidR="00FE6247">
        <w:lastRenderedPageBreak/>
        <w:t xml:space="preserve">represented by the unit set </w:t>
      </w:r>
      <m:oMath>
        <m:r>
          <w:rPr>
            <w:rFonts w:ascii="Cambria Math" w:hAnsi="Cambria Math"/>
          </w:rPr>
          <m:t>[0,1]</m:t>
        </m:r>
      </m:oMath>
      <w:r w:rsidR="00A277BC">
        <w:t xml:space="preserve"> delineated into</w:t>
      </w:r>
      <w:r w:rsidR="005932FB">
        <w:t xml:space="preserve"> </w:t>
      </w:r>
      <m:oMath>
        <m:r>
          <w:rPr>
            <w:rFonts w:ascii="Cambria Math" w:hAnsi="Cambria Math"/>
          </w:rPr>
          <m:t>λ</m:t>
        </m:r>
      </m:oMath>
      <w:r w:rsidR="00A277BC">
        <w:t xml:space="preserve"> early </w:t>
      </w:r>
      <w:r w:rsidR="005932FB">
        <w:t xml:space="preserve">consumers </w:t>
      </w:r>
      <w:r w:rsidR="00A277BC">
        <w:t xml:space="preserve">and </w:t>
      </w:r>
      <m:oMath>
        <m:r>
          <w:rPr>
            <w:rFonts w:ascii="Cambria Math" w:hAnsi="Cambria Math"/>
          </w:rPr>
          <m:t>(</m:t>
        </m:r>
        <m:r>
          <w:rPr>
            <w:rFonts w:ascii="Cambria Math" w:hAnsi="Cambria Math"/>
          </w:rPr>
          <m:t>1-</m:t>
        </m:r>
        <m:r>
          <w:rPr>
            <w:rFonts w:ascii="Cambria Math" w:hAnsi="Cambria Math"/>
          </w:rPr>
          <m:t>λ)</m:t>
        </m:r>
      </m:oMath>
      <w:r w:rsidR="005932FB">
        <w:rPr>
          <w:rFonts w:eastAsiaTheme="minorEastAsia"/>
        </w:rPr>
        <w:t xml:space="preserve"> </w:t>
      </w:r>
      <w:r w:rsidR="00A277BC">
        <w:t xml:space="preserve">late consumers who invest </w:t>
      </w:r>
      <w:r w:rsidR="00A640EC">
        <w:t xml:space="preserve">in </w:t>
      </w:r>
      <w:r w:rsidR="00A277BC">
        <w:t>either</w:t>
      </w:r>
      <w:r w:rsidR="005932FB">
        <w:t>:</w:t>
      </w:r>
    </w:p>
    <w:p w14:paraId="63DB176C" w14:textId="44045386" w:rsidR="00A277BC" w:rsidRDefault="00A277BC" w:rsidP="00200343">
      <w:pPr>
        <w:pStyle w:val="ListParagraph"/>
        <w:numPr>
          <w:ilvl w:val="0"/>
          <w:numId w:val="4"/>
        </w:numPr>
        <w:spacing w:line="480" w:lineRule="auto"/>
      </w:pPr>
      <w:r>
        <w:t>The short asset</w:t>
      </w:r>
      <w:r w:rsidR="005932FB">
        <w:t>,</w:t>
      </w:r>
      <w:r>
        <w:t xml:space="preserve"> represent</w:t>
      </w:r>
      <w:r w:rsidR="005932FB">
        <w:t>ing</w:t>
      </w:r>
      <w:r>
        <w:t xml:space="preserve"> </w:t>
      </w:r>
      <w:r w:rsidR="00FE6247">
        <w:t xml:space="preserve">a </w:t>
      </w:r>
      <w:r>
        <w:t xml:space="preserve">storage </w:t>
      </w:r>
      <w:r w:rsidR="00FE6247">
        <w:t xml:space="preserve">technology for </w:t>
      </w:r>
      <w:r>
        <w:t>cash earning no interest,</w:t>
      </w:r>
    </w:p>
    <w:p w14:paraId="0958DB85" w14:textId="09E00DC9" w:rsidR="00A277BC" w:rsidRDefault="00A277BC" w:rsidP="00200343">
      <w:pPr>
        <w:pStyle w:val="ListParagraph"/>
        <w:numPr>
          <w:ilvl w:val="0"/>
          <w:numId w:val="4"/>
        </w:numPr>
        <w:spacing w:line="480" w:lineRule="auto"/>
      </w:pPr>
      <w:r>
        <w:t>The long asset</w:t>
      </w:r>
      <w:r w:rsidR="005932FB">
        <w:t>,</w:t>
      </w:r>
      <w:r>
        <w:t xml:space="preserve"> represent</w:t>
      </w:r>
      <w:r w:rsidR="005932FB">
        <w:t>ing</w:t>
      </w:r>
      <w:r>
        <w:t xml:space="preserve"> a productive investment with a two-period lag.</w:t>
      </w:r>
    </w:p>
    <w:p w14:paraId="0393AFE2" w14:textId="168E92DD" w:rsidR="00A277BC" w:rsidRDefault="00A277BC" w:rsidP="00200343">
      <w:pPr>
        <w:spacing w:line="480" w:lineRule="auto"/>
        <w:rPr>
          <w:rFonts w:eastAsiaTheme="minorEastAsia"/>
        </w:rPr>
      </w:pPr>
      <w:r>
        <w:t xml:space="preserve">Consumers invest </w:t>
      </w:r>
      <m:oMath>
        <m:r>
          <w:rPr>
            <w:rFonts w:ascii="Cambria Math" w:hAnsi="Cambria Math"/>
          </w:rPr>
          <m:t xml:space="preserve">x≥0 </m:t>
        </m:r>
      </m:oMath>
      <w:r>
        <w:rPr>
          <w:rFonts w:eastAsiaTheme="minorEastAsia"/>
        </w:rPr>
        <w:t xml:space="preserve">units in the long asset and </w:t>
      </w:r>
      <m:oMath>
        <m:r>
          <w:rPr>
            <w:rFonts w:ascii="Cambria Math" w:eastAsiaTheme="minorEastAsia" w:hAnsi="Cambria Math"/>
          </w:rPr>
          <m:t>y≥0</m:t>
        </m:r>
      </m:oMath>
      <w:r>
        <w:rPr>
          <w:rFonts w:eastAsiaTheme="minorEastAsia"/>
        </w:rPr>
        <w:t xml:space="preserve"> in the short</w:t>
      </w:r>
      <w:r w:rsidR="00FE6247">
        <w:rPr>
          <w:rFonts w:eastAsiaTheme="minorEastAsia"/>
        </w:rPr>
        <w:t xml:space="preserve"> asset</w:t>
      </w:r>
      <w:r>
        <w:rPr>
          <w:rFonts w:eastAsiaTheme="minorEastAsia"/>
        </w:rPr>
        <w:t xml:space="preserve"> at period 0 such that </w:t>
      </w:r>
      <m:oMath>
        <m:r>
          <w:rPr>
            <w:rFonts w:ascii="Cambria Math" w:eastAsiaTheme="minorEastAsia" w:hAnsi="Cambria Math"/>
          </w:rPr>
          <m:t>x+y=1</m:t>
        </m:r>
      </m:oMath>
      <w:r>
        <w:rPr>
          <w:rFonts w:eastAsiaTheme="minorEastAsia"/>
        </w:rPr>
        <w:t xml:space="preserve">. The short asset </w:t>
      </w:r>
      <w:r w:rsidR="00FE6247">
        <w:rPr>
          <w:rFonts w:eastAsiaTheme="minorEastAsia"/>
        </w:rPr>
        <w:t xml:space="preserve">matures in </w:t>
      </w:r>
      <w:r>
        <w:rPr>
          <w:rFonts w:eastAsiaTheme="minorEastAsia"/>
        </w:rPr>
        <w:t>period 1, the long asset at period 2. A liquidity shock occurs because consumers do not know whether they are early or late consumers until period 1</w:t>
      </w:r>
      <w:r w:rsidR="00A80A5E">
        <w:rPr>
          <w:rFonts w:eastAsiaTheme="minorEastAsia"/>
        </w:rPr>
        <w:t xml:space="preserve">. </w:t>
      </w:r>
      <w:r w:rsidR="00FE6247">
        <w:rPr>
          <w:rFonts w:eastAsiaTheme="minorEastAsia"/>
        </w:rPr>
        <w:t xml:space="preserve">Furthermore, </w:t>
      </w:r>
      <w:r w:rsidR="005F7486">
        <w:rPr>
          <w:rFonts w:eastAsiaTheme="minorEastAsia"/>
        </w:rPr>
        <w:t xml:space="preserve">a </w:t>
      </w:r>
      <w:r w:rsidR="00FE6247">
        <w:rPr>
          <w:rFonts w:eastAsiaTheme="minorEastAsia"/>
        </w:rPr>
        <w:t>state of nature is randomly select</w:t>
      </w:r>
      <w:r w:rsidR="005F7486">
        <w:rPr>
          <w:rFonts w:eastAsiaTheme="minorEastAsia"/>
        </w:rPr>
        <w:t>ed</w:t>
      </w:r>
      <w:r w:rsidR="00FE6247">
        <w:rPr>
          <w:rFonts w:eastAsiaTheme="minorEastAsia"/>
        </w:rPr>
        <w:t xml:space="preserve"> between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H</m:t>
            </m:r>
          </m:sub>
        </m:sSub>
      </m:oMath>
      <w:r w:rsidR="00FE6247">
        <w:rPr>
          <w:rFonts w:eastAsiaTheme="minorEastAsia"/>
        </w:rPr>
        <w:t xml:space="preserve"> where there are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H</m:t>
            </m:r>
          </m:sub>
        </m:sSub>
      </m:oMath>
      <w:r w:rsidR="00FE6247">
        <w:rPr>
          <w:rFonts w:eastAsiaTheme="minorEastAsia"/>
        </w:rPr>
        <w:t xml:space="preserve"> early consumers and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L</m:t>
            </m:r>
          </m:sub>
        </m:sSub>
      </m:oMath>
      <w:r w:rsidR="00FE6247">
        <w:rPr>
          <w:rFonts w:eastAsiaTheme="minorEastAsia"/>
        </w:rPr>
        <w:t xml:space="preserve"> where there are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L</m:t>
            </m:r>
          </m:sub>
        </m:sSub>
      </m:oMath>
      <w:r w:rsidR="00FE6247">
        <w:rPr>
          <w:rFonts w:eastAsiaTheme="minorEastAsia"/>
        </w:rPr>
        <w:t xml:space="preserve"> early consumers</w:t>
      </w:r>
      <w:r w:rsidR="005F7486">
        <w:rPr>
          <w:rFonts w:eastAsiaTheme="minorEastAsia"/>
        </w:rPr>
        <w:t xml:space="preserve"> such that </w:t>
      </w:r>
      <m:oMath>
        <m:r>
          <w:rPr>
            <w:rFonts w:ascii="Cambria Math" w:eastAsiaTheme="minorEastAsia" w:hAnsi="Cambria Math"/>
          </w:rPr>
          <m:t>0&lt;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L</m:t>
            </m:r>
          </m:sub>
        </m:sSub>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H</m:t>
            </m:r>
          </m:sub>
        </m:sSub>
        <m:r>
          <w:rPr>
            <w:rFonts w:ascii="Cambria Math" w:eastAsiaTheme="minorEastAsia" w:hAnsi="Cambria Math"/>
          </w:rPr>
          <m:t>&lt;1</m:t>
        </m:r>
      </m:oMath>
      <w:r w:rsidR="005F7486">
        <w:rPr>
          <w:rFonts w:eastAsiaTheme="minorEastAsia"/>
        </w:rPr>
        <w:t>.</w:t>
      </w:r>
      <w:r w:rsidR="005932FB">
        <w:rPr>
          <w:rFonts w:eastAsiaTheme="minorEastAsia"/>
        </w:rPr>
        <w:t xml:space="preserve"> Agents in this model are, however, aware of the probability distributions.</w:t>
      </w:r>
    </w:p>
    <w:p w14:paraId="1A83EBDE" w14:textId="2351EC7D" w:rsidR="00FE6247" w:rsidRDefault="00FE6247" w:rsidP="00200343">
      <w:pPr>
        <w:spacing w:line="480" w:lineRule="auto"/>
        <w:rPr>
          <w:rFonts w:eastAsiaTheme="minorEastAsia"/>
        </w:rPr>
      </w:pPr>
      <w:r>
        <w:rPr>
          <w:rFonts w:eastAsiaTheme="minorEastAsia"/>
        </w:rPr>
        <w:t xml:space="preserve">Early consumers will sell all long assets in period 1, while late consumers will use </w:t>
      </w:r>
      <w:r w:rsidR="005F7486">
        <w:rPr>
          <w:rFonts w:eastAsiaTheme="minorEastAsia"/>
        </w:rPr>
        <w:t>matured</w:t>
      </w:r>
      <w:r>
        <w:rPr>
          <w:rFonts w:eastAsiaTheme="minorEastAsia"/>
        </w:rPr>
        <w:t xml:space="preserve"> cash </w:t>
      </w:r>
      <w:r w:rsidR="005F7486">
        <w:rPr>
          <w:rFonts w:eastAsiaTheme="minorEastAsia"/>
        </w:rPr>
        <w:t xml:space="preserve">assets </w:t>
      </w:r>
      <w:r>
        <w:rPr>
          <w:rFonts w:eastAsiaTheme="minorEastAsia"/>
        </w:rPr>
        <w:t xml:space="preserve">to buy </w:t>
      </w:r>
      <w:r w:rsidR="005F7486">
        <w:rPr>
          <w:rFonts w:eastAsiaTheme="minorEastAsia"/>
        </w:rPr>
        <w:t xml:space="preserve">long at price </w:t>
      </w:r>
      <m:oMath>
        <m:r>
          <w:rPr>
            <w:rFonts w:ascii="Cambria Math" w:eastAsiaTheme="minorEastAsia" w:hAnsi="Cambria Math"/>
          </w:rPr>
          <m:t>P</m:t>
        </m:r>
      </m:oMath>
      <w:r w:rsidR="005F7486">
        <w:rPr>
          <w:rFonts w:eastAsiaTheme="minorEastAsia"/>
        </w:rPr>
        <w:t xml:space="preserve">. </w:t>
      </w:r>
      <w:r>
        <w:rPr>
          <w:rFonts w:eastAsiaTheme="minorEastAsia"/>
        </w:rPr>
        <w:t xml:space="preserve">In period 2, late consumers receive </w:t>
      </w:r>
      <m:oMath>
        <m:r>
          <w:rPr>
            <w:rFonts w:ascii="Cambria Math" w:eastAsiaTheme="minorEastAsia" w:hAnsi="Cambria Math"/>
          </w:rPr>
          <m:t>xR</m:t>
        </m:r>
      </m:oMath>
      <w:r>
        <w:rPr>
          <w:rFonts w:eastAsiaTheme="minorEastAsia"/>
        </w:rPr>
        <w:t xml:space="preserve"> where </w:t>
      </w:r>
      <m:oMath>
        <m:r>
          <w:rPr>
            <w:rFonts w:ascii="Cambria Math" w:eastAsiaTheme="minorEastAsia" w:hAnsi="Cambria Math"/>
          </w:rPr>
          <m:t>R</m:t>
        </m:r>
      </m:oMath>
      <w:r>
        <w:rPr>
          <w:rFonts w:eastAsiaTheme="minorEastAsia"/>
        </w:rPr>
        <w:t xml:space="preserve"> is the </w:t>
      </w:r>
      <w:r w:rsidR="005F7486">
        <w:rPr>
          <w:rFonts w:eastAsiaTheme="minorEastAsia"/>
        </w:rPr>
        <w:t>return on production. Allen &amp; Gale derive</w:t>
      </w:r>
      <w:r w:rsidR="005F450D">
        <w:rPr>
          <w:rFonts w:eastAsiaTheme="minorEastAsia"/>
        </w:rPr>
        <w:t xml:space="preserve"> </w:t>
      </w:r>
      <w:r w:rsidR="005F7486">
        <w:rPr>
          <w:rFonts w:eastAsiaTheme="minorEastAsia"/>
        </w:rPr>
        <w:t xml:space="preserve">supply and demand </w:t>
      </w:r>
      <w:r w:rsidR="004B1390">
        <w:rPr>
          <w:rFonts w:eastAsiaTheme="minorEastAsia"/>
        </w:rPr>
        <w:t xml:space="preserve">prices </w:t>
      </w:r>
      <m:oMath>
        <m:r>
          <w:rPr>
            <w:rFonts w:ascii="Cambria Math" w:eastAsiaTheme="minorEastAsia" w:hAnsi="Cambria Math"/>
          </w:rPr>
          <m:t>P</m:t>
        </m:r>
      </m:oMath>
      <w:r w:rsidR="001F1E76">
        <w:rPr>
          <w:rFonts w:eastAsiaTheme="minorEastAsia"/>
        </w:rPr>
        <w:t xml:space="preserve"> </w:t>
      </w:r>
      <w:r w:rsidR="005F7486">
        <w:rPr>
          <w:rFonts w:eastAsiaTheme="minorEastAsia"/>
        </w:rPr>
        <w:t xml:space="preserve">for </w:t>
      </w:r>
      <w:r w:rsidR="005F450D">
        <w:rPr>
          <w:rFonts w:eastAsiaTheme="minorEastAsia"/>
        </w:rPr>
        <w:t xml:space="preserve">the long asset in </w:t>
      </w:r>
      <w:r w:rsidR="005F7486">
        <w:rPr>
          <w:rFonts w:eastAsiaTheme="minorEastAsia"/>
        </w:rPr>
        <w:t>period 1</w:t>
      </w:r>
      <w:r w:rsidR="005F450D">
        <w:rPr>
          <w:rFonts w:eastAsiaTheme="minorEastAsia"/>
        </w:rPr>
        <w:t xml:space="preserve">; see </w:t>
      </w:r>
      <w:r w:rsidR="005F450D">
        <w:rPr>
          <w:rFonts w:eastAsiaTheme="minorEastAsia"/>
        </w:rPr>
        <w:fldChar w:fldCharType="begin"/>
      </w:r>
      <w:r w:rsidR="005F450D">
        <w:rPr>
          <w:rFonts w:eastAsiaTheme="minorEastAsia"/>
        </w:rPr>
        <w:instrText xml:space="preserve"> REF _Ref187173109 \h </w:instrText>
      </w:r>
      <w:r w:rsidR="005F450D">
        <w:rPr>
          <w:rFonts w:eastAsiaTheme="minorEastAsia"/>
        </w:rPr>
      </w:r>
      <w:r w:rsidR="00200343">
        <w:rPr>
          <w:rFonts w:eastAsiaTheme="minorEastAsia"/>
        </w:rPr>
        <w:instrText xml:space="preserve"> \* MERGEFORMAT </w:instrText>
      </w:r>
      <w:r w:rsidR="005F450D">
        <w:rPr>
          <w:rFonts w:eastAsiaTheme="minorEastAsia"/>
        </w:rPr>
        <w:fldChar w:fldCharType="separate"/>
      </w:r>
      <w:r w:rsidR="00A440E2">
        <w:t xml:space="preserve">Figure </w:t>
      </w:r>
      <w:r w:rsidR="00A440E2">
        <w:rPr>
          <w:noProof/>
        </w:rPr>
        <w:t>VI</w:t>
      </w:r>
      <w:r w:rsidR="005F450D">
        <w:rPr>
          <w:rFonts w:eastAsiaTheme="minorEastAsia"/>
        </w:rPr>
        <w:fldChar w:fldCharType="end"/>
      </w:r>
      <w:r w:rsidR="005F450D">
        <w:rPr>
          <w:rFonts w:eastAsiaTheme="minorEastAsia"/>
        </w:rPr>
        <w:t>.</w:t>
      </w:r>
    </w:p>
    <w:p w14:paraId="77CC6996" w14:textId="26F134D9" w:rsidR="005F450D" w:rsidRDefault="007D6159" w:rsidP="00200343">
      <w:pPr>
        <w:keepNext/>
        <w:spacing w:line="480" w:lineRule="auto"/>
        <w:jc w:val="center"/>
      </w:pPr>
      <w:r>
        <w:rPr>
          <w:noProof/>
        </w:rPr>
        <w:drawing>
          <wp:inline distT="0" distB="0" distL="0" distR="0" wp14:anchorId="0E852201" wp14:editId="4439000A">
            <wp:extent cx="3856866" cy="2779200"/>
            <wp:effectExtent l="0" t="0" r="0" b="2540"/>
            <wp:docPr id="3092152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215264" name=""/>
                    <pic:cNvPicPr/>
                  </pic:nvPicPr>
                  <pic:blipFill>
                    <a:blip r:embed="rId11"/>
                    <a:stretch>
                      <a:fillRect/>
                    </a:stretch>
                  </pic:blipFill>
                  <pic:spPr>
                    <a:xfrm>
                      <a:off x="0" y="0"/>
                      <a:ext cx="3856866" cy="2779200"/>
                    </a:xfrm>
                    <a:prstGeom prst="rect">
                      <a:avLst/>
                    </a:prstGeom>
                  </pic:spPr>
                </pic:pic>
              </a:graphicData>
            </a:graphic>
          </wp:inline>
        </w:drawing>
      </w:r>
    </w:p>
    <w:p w14:paraId="1E3EB4A3" w14:textId="081A3F9D" w:rsidR="005F450D" w:rsidRDefault="005F450D" w:rsidP="00200343">
      <w:pPr>
        <w:pStyle w:val="Caption"/>
        <w:spacing w:line="480" w:lineRule="auto"/>
        <w:jc w:val="center"/>
      </w:pPr>
      <w:bookmarkStart w:id="6" w:name="_Ref187173109"/>
      <w:r>
        <w:t xml:space="preserve">Figure </w:t>
      </w:r>
      <w:fldSimple w:instr=" SEQ Figure \* ROMAN ">
        <w:r w:rsidR="00A440E2">
          <w:rPr>
            <w:noProof/>
          </w:rPr>
          <w:t>VI</w:t>
        </w:r>
      </w:fldSimple>
      <w:bookmarkEnd w:id="6"/>
      <w:r>
        <w:t xml:space="preserve"> – adapted from </w:t>
      </w:r>
      <w:sdt>
        <w:sdtPr>
          <w:id w:val="2075853234"/>
          <w:citation/>
        </w:sdtPr>
        <w:sdtContent>
          <w:r>
            <w:fldChar w:fldCharType="begin"/>
          </w:r>
          <w:r w:rsidR="007D6159">
            <w:instrText xml:space="preserve">CITATION All07 \p 110 \l 2057 </w:instrText>
          </w:r>
          <w:r>
            <w:fldChar w:fldCharType="separate"/>
          </w:r>
          <w:r w:rsidR="007D6159">
            <w:rPr>
              <w:noProof/>
            </w:rPr>
            <w:t>(Allen &amp; Gale, 2007, p. 110)</w:t>
          </w:r>
          <w:r>
            <w:fldChar w:fldCharType="end"/>
          </w:r>
        </w:sdtContent>
      </w:sdt>
    </w:p>
    <w:p w14:paraId="78B34EFC" w14:textId="6C71E15F" w:rsidR="005F450D" w:rsidRPr="004B1390" w:rsidRDefault="007D6159" w:rsidP="00200343">
      <w:pPr>
        <w:spacing w:line="480" w:lineRule="auto"/>
      </w:pPr>
      <w:r>
        <w:lastRenderedPageBreak/>
        <w:t xml:space="preserve">Supply is fixed at </w:t>
      </w:r>
      <m:oMath>
        <m:r>
          <w:rPr>
            <w:rFonts w:ascii="Cambria Math" w:hAnsi="Cambria Math"/>
          </w:rPr>
          <m:t>λ</m:t>
        </m:r>
        <m:d>
          <m:dPr>
            <m:ctrlPr>
              <w:rPr>
                <w:rFonts w:ascii="Cambria Math" w:hAnsi="Cambria Math"/>
                <w:i/>
              </w:rPr>
            </m:ctrlPr>
          </m:dPr>
          <m:e>
            <m:r>
              <w:rPr>
                <w:rFonts w:ascii="Cambria Math" w:hAnsi="Cambria Math"/>
              </w:rPr>
              <m:t>1-y</m:t>
            </m:r>
          </m:e>
        </m:d>
      </m:oMath>
      <w:r>
        <w:rPr>
          <w:rFonts w:eastAsiaTheme="minorEastAsia"/>
        </w:rPr>
        <w:t xml:space="preserve">, i.e., </w:t>
      </w:r>
      <m:oMath>
        <m:r>
          <w:rPr>
            <w:rFonts w:ascii="Cambria Math" w:eastAsiaTheme="minorEastAsia" w:hAnsi="Cambria Math"/>
          </w:rPr>
          <m:t>λx</m:t>
        </m:r>
      </m:oMath>
      <w:r w:rsidR="00951812">
        <w:rPr>
          <w:rFonts w:eastAsiaTheme="minorEastAsia"/>
        </w:rPr>
        <w:t>,</w:t>
      </w:r>
      <w:r>
        <w:rPr>
          <w:rFonts w:eastAsiaTheme="minorEastAsia"/>
        </w:rPr>
        <w:t xml:space="preserve"> as this is the quantity of long assets held by early consumers.</w:t>
      </w:r>
      <w:r>
        <w:t xml:space="preserve"> </w:t>
      </w:r>
      <w:r w:rsidR="005F450D">
        <w:t>The demand line</w:t>
      </w:r>
      <w:r w:rsidR="00A640EC">
        <w:t>’s curve</w:t>
      </w:r>
      <w:r w:rsidR="00143816">
        <w:t>d section</w:t>
      </w:r>
      <w:r w:rsidR="005F450D">
        <w:t xml:space="preserve"> </w:t>
      </w:r>
      <w:r>
        <w:t xml:space="preserve">shows </w:t>
      </w:r>
      <w:r w:rsidR="005F450D">
        <w:t>cash-in-the-market pricing</w:t>
      </w:r>
      <w:r>
        <w:t xml:space="preserve">: </w:t>
      </w:r>
      <w:r w:rsidR="004B1390">
        <w:t xml:space="preserve">if there are </w:t>
      </w:r>
      <m:oMath>
        <m:r>
          <w:rPr>
            <w:rFonts w:ascii="Cambria Math" w:hAnsi="Cambria Math"/>
          </w:rPr>
          <m:t>x&gt;</m:t>
        </m:r>
        <m:sSup>
          <m:sSupPr>
            <m:ctrlPr>
              <w:rPr>
                <w:rFonts w:ascii="Cambria Math" w:hAnsi="Cambria Math"/>
                <w:i/>
              </w:rPr>
            </m:ctrlPr>
          </m:sSupPr>
          <m:e>
            <m:r>
              <w:rPr>
                <w:rFonts w:ascii="Cambria Math" w:hAnsi="Cambria Math"/>
              </w:rPr>
              <m:t>x</m:t>
            </m:r>
          </m:e>
          <m:sup>
            <m:r>
              <w:rPr>
                <w:rFonts w:ascii="Cambria Math" w:hAnsi="Cambria Math"/>
              </w:rPr>
              <m:t>*</m:t>
            </m:r>
          </m:sup>
        </m:sSup>
      </m:oMath>
      <w:r w:rsidR="004B1390">
        <w:rPr>
          <w:rFonts w:eastAsiaTheme="minorEastAsia"/>
        </w:rPr>
        <w:t xml:space="preserve"> long assets available, there is an inverse quantity of short assets, i.e.,</w:t>
      </w:r>
      <w:r w:rsidR="004B1390">
        <w:t xml:space="preserve"> </w:t>
      </w:r>
      <w:r w:rsidR="00A80A5E">
        <w:t xml:space="preserve">initial </w:t>
      </w:r>
      <w:r>
        <w:t xml:space="preserve">overinvestment in illiquid assets by agents leads to a </w:t>
      </w:r>
      <w:r w:rsidR="00143816">
        <w:t>future</w:t>
      </w:r>
      <w:r w:rsidR="00143816">
        <w:t xml:space="preserve"> </w:t>
      </w:r>
      <w:r>
        <w:t xml:space="preserve">shortage of liquidity. Allen &amp; Gale </w:t>
      </w:r>
      <w:sdt>
        <w:sdtPr>
          <w:id w:val="-768002089"/>
          <w:citation/>
        </w:sdtPr>
        <w:sdtContent>
          <w:r>
            <w:fldChar w:fldCharType="begin"/>
          </w:r>
          <w:r>
            <w:instrText xml:space="preserve">CITATION All07 \p 111 \n  \t  \l 2057 </w:instrText>
          </w:r>
          <w:r>
            <w:fldChar w:fldCharType="separate"/>
          </w:r>
          <w:r>
            <w:rPr>
              <w:noProof/>
            </w:rPr>
            <w:t>(2007, p. 111)</w:t>
          </w:r>
          <w:r>
            <w:fldChar w:fldCharType="end"/>
          </w:r>
        </w:sdtContent>
      </w:sdt>
      <w:r>
        <w:t xml:space="preserve"> </w:t>
      </w:r>
      <w:r w:rsidR="00EB666E">
        <w:rPr>
          <w:rFonts w:eastAsiaTheme="minorEastAsia"/>
        </w:rPr>
        <w:t xml:space="preserve">show the relationship between </w:t>
      </w:r>
      <m:oMath>
        <m:r>
          <w:rPr>
            <w:rFonts w:ascii="Cambria Math" w:eastAsiaTheme="minorEastAsia" w:hAnsi="Cambria Math"/>
          </w:rPr>
          <m:t>P</m:t>
        </m:r>
      </m:oMath>
      <w:r w:rsidR="00EB666E">
        <w:rPr>
          <w:rFonts w:eastAsiaTheme="minorEastAsia"/>
        </w:rPr>
        <w:t xml:space="preserve"> and </w:t>
      </w:r>
      <w:r w:rsidR="00373317">
        <w:rPr>
          <w:rFonts w:eastAsiaTheme="minorEastAsia"/>
        </w:rPr>
        <w:t xml:space="preserve">liquidity preference </w:t>
      </w:r>
      <w:r w:rsidR="00EB666E">
        <w:rPr>
          <w:rFonts w:eastAsiaTheme="minorEastAsia"/>
        </w:rPr>
        <w:t>with parameters:</w:t>
      </w:r>
      <w:r w:rsidR="00951812">
        <w:rPr>
          <w:rFonts w:eastAsiaTheme="minorEastAsia"/>
        </w:rPr>
        <w:t xml:space="preserve"> </w:t>
      </w:r>
      <m:oMath>
        <m:r>
          <w:rPr>
            <w:rFonts w:ascii="Cambria Math" w:eastAsiaTheme="minorEastAsia" w:hAnsi="Cambria Math"/>
          </w:rPr>
          <m:t>R=1.2,</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L</m:t>
            </m:r>
          </m:sub>
        </m:sSub>
        <m:r>
          <w:rPr>
            <w:rFonts w:ascii="Cambria Math" w:eastAsiaTheme="minorEastAsia" w:hAnsi="Cambria Math"/>
          </w:rPr>
          <m:t>=0.5,</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H</m:t>
            </m:r>
          </m:sub>
        </m:sSub>
        <m:r>
          <w:rPr>
            <w:rFonts w:ascii="Cambria Math" w:eastAsiaTheme="minorEastAsia" w:hAnsi="Cambria Math"/>
          </w:rPr>
          <m:t>=0.67</m:t>
        </m:r>
      </m:oMath>
      <w:r w:rsidR="00951812">
        <w:rPr>
          <w:rFonts w:eastAsiaTheme="minorEastAsia"/>
        </w:rPr>
        <w:t xml:space="preserve">; see </w:t>
      </w:r>
      <w:r w:rsidR="00951812">
        <w:rPr>
          <w:rFonts w:eastAsiaTheme="minorEastAsia"/>
        </w:rPr>
        <w:fldChar w:fldCharType="begin"/>
      </w:r>
      <w:r w:rsidR="00951812">
        <w:rPr>
          <w:rFonts w:eastAsiaTheme="minorEastAsia"/>
        </w:rPr>
        <w:instrText xml:space="preserve"> REF _Ref187175676 \h </w:instrText>
      </w:r>
      <w:r w:rsidR="00951812">
        <w:rPr>
          <w:rFonts w:eastAsiaTheme="minorEastAsia"/>
        </w:rPr>
      </w:r>
      <w:r w:rsidR="00200343">
        <w:rPr>
          <w:rFonts w:eastAsiaTheme="minorEastAsia"/>
        </w:rPr>
        <w:instrText xml:space="preserve"> \* MERGEFORMAT </w:instrText>
      </w:r>
      <w:r w:rsidR="00951812">
        <w:rPr>
          <w:rFonts w:eastAsiaTheme="minorEastAsia"/>
        </w:rPr>
        <w:fldChar w:fldCharType="separate"/>
      </w:r>
      <w:r w:rsidR="00A440E2">
        <w:t xml:space="preserve">Figure </w:t>
      </w:r>
      <w:r w:rsidR="00A440E2">
        <w:rPr>
          <w:noProof/>
        </w:rPr>
        <w:t>VII</w:t>
      </w:r>
      <w:r w:rsidR="00951812">
        <w:rPr>
          <w:rFonts w:eastAsiaTheme="minorEastAsia"/>
        </w:rPr>
        <w:fldChar w:fldCharType="end"/>
      </w:r>
      <w:r w:rsidR="00951812">
        <w:rPr>
          <w:rFonts w:eastAsiaTheme="minorEastAsia"/>
        </w:rPr>
        <w:t>.</w:t>
      </w:r>
    </w:p>
    <w:p w14:paraId="31562DDD" w14:textId="77777777" w:rsidR="00EB666E" w:rsidRDefault="00EB666E" w:rsidP="00200343">
      <w:pPr>
        <w:keepNext/>
        <w:spacing w:line="480" w:lineRule="auto"/>
        <w:jc w:val="center"/>
      </w:pPr>
      <w:r>
        <w:rPr>
          <w:noProof/>
        </w:rPr>
        <w:drawing>
          <wp:inline distT="0" distB="0" distL="0" distR="0" wp14:anchorId="46D50E12" wp14:editId="5EC546C3">
            <wp:extent cx="3585069" cy="2778369"/>
            <wp:effectExtent l="0" t="0" r="0" b="3175"/>
            <wp:docPr id="11741026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102600" name=""/>
                    <pic:cNvPicPr/>
                  </pic:nvPicPr>
                  <pic:blipFill>
                    <a:blip r:embed="rId12"/>
                    <a:stretch>
                      <a:fillRect/>
                    </a:stretch>
                  </pic:blipFill>
                  <pic:spPr>
                    <a:xfrm>
                      <a:off x="0" y="0"/>
                      <a:ext cx="3594453" cy="2785642"/>
                    </a:xfrm>
                    <a:prstGeom prst="rect">
                      <a:avLst/>
                    </a:prstGeom>
                  </pic:spPr>
                </pic:pic>
              </a:graphicData>
            </a:graphic>
          </wp:inline>
        </w:drawing>
      </w:r>
    </w:p>
    <w:p w14:paraId="0C7F19EF" w14:textId="5615E3AB" w:rsidR="00EB666E" w:rsidRDefault="00EB666E" w:rsidP="00200343">
      <w:pPr>
        <w:pStyle w:val="Caption"/>
        <w:spacing w:line="480" w:lineRule="auto"/>
        <w:jc w:val="center"/>
      </w:pPr>
      <w:bookmarkStart w:id="7" w:name="_Ref187175676"/>
      <w:r>
        <w:t xml:space="preserve">Figure </w:t>
      </w:r>
      <w:fldSimple w:instr=" SEQ Figure \* ROMAN ">
        <w:r w:rsidR="00A440E2">
          <w:rPr>
            <w:noProof/>
          </w:rPr>
          <w:t>VII</w:t>
        </w:r>
      </w:fldSimple>
      <w:bookmarkEnd w:id="7"/>
      <w:r>
        <w:t xml:space="preserve"> – adapted from</w:t>
      </w:r>
      <w:r>
        <w:t xml:space="preserve"> </w:t>
      </w:r>
      <w:sdt>
        <w:sdtPr>
          <w:id w:val="-1675095045"/>
          <w:citation/>
        </w:sdtPr>
        <w:sdtContent>
          <w:r>
            <w:fldChar w:fldCharType="begin"/>
          </w:r>
          <w:r>
            <w:instrText xml:space="preserve">CITATION All07 \p 111 \l 2057 </w:instrText>
          </w:r>
          <w:r>
            <w:fldChar w:fldCharType="separate"/>
          </w:r>
          <w:r>
            <w:rPr>
              <w:noProof/>
            </w:rPr>
            <w:t>(Allen &amp; Gale, 2007, p. 111)</w:t>
          </w:r>
          <w:r>
            <w:fldChar w:fldCharType="end"/>
          </w:r>
        </w:sdtContent>
      </w:sdt>
    </w:p>
    <w:p w14:paraId="27341AC9" w14:textId="40BAA8E3" w:rsidR="00EB666E" w:rsidRPr="00EB666E" w:rsidRDefault="00951812" w:rsidP="00200343">
      <w:pPr>
        <w:spacing w:line="480" w:lineRule="auto"/>
      </w:pPr>
      <w:r>
        <w:t xml:space="preserve">This shows that </w:t>
      </w:r>
      <w:r w:rsidR="005932FB">
        <w:t>greater</w:t>
      </w:r>
      <w:r>
        <w:t xml:space="preserve"> initial liquidity preference </w:t>
      </w:r>
      <w:r w:rsidR="005932FB">
        <w:t>incurs</w:t>
      </w:r>
      <w:r>
        <w:t xml:space="preserve"> </w:t>
      </w:r>
      <w:r w:rsidR="00EB666E">
        <w:t>less cash-in-the-market pricing.</w:t>
      </w:r>
    </w:p>
    <w:p w14:paraId="02A1504B" w14:textId="70B69287" w:rsidR="007D6159" w:rsidRDefault="007D6159" w:rsidP="00200343">
      <w:pPr>
        <w:spacing w:line="480" w:lineRule="auto"/>
        <w:rPr>
          <w:rFonts w:eastAsiaTheme="minorEastAsia"/>
        </w:rPr>
      </w:pPr>
      <w:r>
        <w:rPr>
          <w:rFonts w:eastAsiaTheme="minorEastAsia"/>
        </w:rPr>
        <w:t xml:space="preserve">Adapting </w:t>
      </w:r>
      <w:r w:rsidR="00EB666E">
        <w:rPr>
          <w:rFonts w:eastAsiaTheme="minorEastAsia"/>
        </w:rPr>
        <w:fldChar w:fldCharType="begin"/>
      </w:r>
      <w:r w:rsidR="00EB666E">
        <w:rPr>
          <w:rFonts w:eastAsiaTheme="minorEastAsia"/>
        </w:rPr>
        <w:instrText xml:space="preserve"> REF _Ref187173109 \h </w:instrText>
      </w:r>
      <w:r w:rsidR="00EB666E">
        <w:rPr>
          <w:rFonts w:eastAsiaTheme="minorEastAsia"/>
        </w:rPr>
      </w:r>
      <w:r w:rsidR="00200343">
        <w:rPr>
          <w:rFonts w:eastAsiaTheme="minorEastAsia"/>
        </w:rPr>
        <w:instrText xml:space="preserve"> \* MERGEFORMAT </w:instrText>
      </w:r>
      <w:r w:rsidR="00EB666E">
        <w:rPr>
          <w:rFonts w:eastAsiaTheme="minorEastAsia"/>
        </w:rPr>
        <w:fldChar w:fldCharType="separate"/>
      </w:r>
      <w:r w:rsidR="00A440E2">
        <w:t xml:space="preserve">Figure </w:t>
      </w:r>
      <w:r w:rsidR="00A440E2">
        <w:rPr>
          <w:noProof/>
        </w:rPr>
        <w:t>VI</w:t>
      </w:r>
      <w:r w:rsidR="00EB666E">
        <w:rPr>
          <w:rFonts w:eastAsiaTheme="minorEastAsia"/>
        </w:rPr>
        <w:fldChar w:fldCharType="end"/>
      </w:r>
      <w:r w:rsidR="00EB666E">
        <w:rPr>
          <w:rFonts w:eastAsiaTheme="minorEastAsia"/>
        </w:rPr>
        <w:t xml:space="preserve"> </w:t>
      </w:r>
      <w:r>
        <w:rPr>
          <w:rFonts w:eastAsiaTheme="minorEastAsia"/>
        </w:rPr>
        <w:t xml:space="preserve">to Minsky, we set </w:t>
      </w:r>
      <m:oMath>
        <m:r>
          <w:rPr>
            <w:rFonts w:ascii="Cambria Math" w:eastAsiaTheme="minorEastAsia" w:hAnsi="Cambria Math"/>
          </w:rPr>
          <m:t>R=PV(</m:t>
        </m:r>
        <m:sSubSup>
          <m:sSubSupPr>
            <m:ctrlPr>
              <w:rPr>
                <w:rFonts w:ascii="Cambria Math" w:eastAsiaTheme="minorEastAsia" w:hAnsi="Cambria Math"/>
                <w:i/>
              </w:rPr>
            </m:ctrlPr>
          </m:sSubSupPr>
          <m:e>
            <m:r>
              <m:rPr>
                <m:sty m:val="p"/>
              </m:rPr>
              <w:rPr>
                <w:rFonts w:ascii="Cambria Math" w:eastAsiaTheme="minorEastAsia" w:hAnsi="Cambria Math"/>
              </w:rPr>
              <m:t>Π</m:t>
            </m:r>
          </m:e>
          <m:sub>
            <m:r>
              <w:rPr>
                <w:rFonts w:ascii="Cambria Math" w:eastAsiaTheme="minorEastAsia" w:hAnsi="Cambria Math"/>
              </w:rPr>
              <m:t>LR</m:t>
            </m:r>
          </m:sub>
          <m:sup>
            <m:r>
              <w:rPr>
                <w:rFonts w:ascii="Cambria Math" w:eastAsiaTheme="minorEastAsia" w:hAnsi="Cambria Math"/>
              </w:rPr>
              <m:t>e</m:t>
            </m:r>
          </m:sup>
        </m:sSubSup>
        <m:r>
          <w:rPr>
            <w:rFonts w:ascii="Cambria Math" w:eastAsiaTheme="minorEastAsia" w:hAnsi="Cambria Math"/>
          </w:rPr>
          <m:t>)</m:t>
        </m:r>
      </m:oMath>
      <w:r>
        <w:rPr>
          <w:rFonts w:eastAsiaTheme="minorEastAsia"/>
        </w:rPr>
        <w:t xml:space="preserve"> and modify the supply curve so that the long asset is produced rather than fixed in quantity</w:t>
      </w:r>
      <w:r w:rsidR="00951812">
        <w:rPr>
          <w:rFonts w:eastAsiaTheme="minorEastAsia"/>
        </w:rPr>
        <w:t xml:space="preserve">. </w:t>
      </w:r>
      <w:r w:rsidR="00143816">
        <w:rPr>
          <w:rFonts w:eastAsiaTheme="minorEastAsia"/>
        </w:rPr>
        <w:t>A</w:t>
      </w:r>
      <w:r w:rsidR="00951812">
        <w:rPr>
          <w:rFonts w:eastAsiaTheme="minorEastAsia"/>
        </w:rPr>
        <w:t xml:space="preserve">gents are </w:t>
      </w:r>
      <w:r w:rsidR="005932FB">
        <w:rPr>
          <w:rFonts w:eastAsiaTheme="minorEastAsia"/>
        </w:rPr>
        <w:t>no longer aware of probability distributions</w:t>
      </w:r>
      <w:r w:rsidR="00143816">
        <w:rPr>
          <w:rFonts w:eastAsiaTheme="minorEastAsia"/>
        </w:rPr>
        <w:t xml:space="preserve">, instead </w:t>
      </w:r>
      <w:r w:rsidR="005932FB">
        <w:rPr>
          <w:rFonts w:eastAsiaTheme="minorEastAsia"/>
        </w:rPr>
        <w:t>form</w:t>
      </w:r>
      <w:r w:rsidR="00143816">
        <w:rPr>
          <w:rFonts w:eastAsiaTheme="minorEastAsia"/>
        </w:rPr>
        <w:t>ing</w:t>
      </w:r>
      <w:r w:rsidR="005932FB">
        <w:rPr>
          <w:rFonts w:eastAsiaTheme="minorEastAsia"/>
        </w:rPr>
        <w:t xml:space="preserve"> future liquidity preference expectations</w:t>
      </w:r>
      <w:r>
        <w:rPr>
          <w:rFonts w:eastAsiaTheme="minorEastAsia"/>
        </w:rPr>
        <w:t xml:space="preserve">; </w:t>
      </w:r>
      <w:r w:rsidR="00373317">
        <w:rPr>
          <w:rFonts w:eastAsiaTheme="minorEastAsia"/>
        </w:rPr>
        <w:t xml:space="preserve">see </w:t>
      </w:r>
      <w:r w:rsidR="00373317">
        <w:rPr>
          <w:rFonts w:eastAsiaTheme="minorEastAsia"/>
        </w:rPr>
        <w:fldChar w:fldCharType="begin"/>
      </w:r>
      <w:r w:rsidR="00373317">
        <w:rPr>
          <w:rFonts w:eastAsiaTheme="minorEastAsia"/>
        </w:rPr>
        <w:instrText xml:space="preserve"> REF _Ref187175589 \h </w:instrText>
      </w:r>
      <w:r w:rsidR="00373317">
        <w:rPr>
          <w:rFonts w:eastAsiaTheme="minorEastAsia"/>
        </w:rPr>
      </w:r>
      <w:r w:rsidR="00200343">
        <w:rPr>
          <w:rFonts w:eastAsiaTheme="minorEastAsia"/>
        </w:rPr>
        <w:instrText xml:space="preserve"> \* MERGEFORMAT </w:instrText>
      </w:r>
      <w:r w:rsidR="00373317">
        <w:rPr>
          <w:rFonts w:eastAsiaTheme="minorEastAsia"/>
        </w:rPr>
        <w:fldChar w:fldCharType="separate"/>
      </w:r>
      <w:r w:rsidR="00A440E2">
        <w:t xml:space="preserve">Figure </w:t>
      </w:r>
      <w:r w:rsidR="00A440E2">
        <w:rPr>
          <w:noProof/>
        </w:rPr>
        <w:t>VIII</w:t>
      </w:r>
      <w:r w:rsidR="00373317">
        <w:rPr>
          <w:rFonts w:eastAsiaTheme="minorEastAsia"/>
        </w:rPr>
        <w:fldChar w:fldCharType="end"/>
      </w:r>
      <w:r>
        <w:rPr>
          <w:rFonts w:eastAsiaTheme="minorEastAsia"/>
        </w:rPr>
        <w:t>.</w:t>
      </w:r>
    </w:p>
    <w:p w14:paraId="47672374" w14:textId="1A06D5BD" w:rsidR="00373317" w:rsidRDefault="00C770D6" w:rsidP="00200343">
      <w:pPr>
        <w:keepNext/>
        <w:spacing w:line="480" w:lineRule="auto"/>
        <w:jc w:val="center"/>
      </w:pPr>
      <w:r>
        <w:rPr>
          <w:noProof/>
        </w:rPr>
        <w:lastRenderedPageBreak/>
        <w:t xml:space="preserve"> </w:t>
      </w:r>
      <w:r w:rsidR="001F1E76">
        <w:rPr>
          <w:noProof/>
        </w:rPr>
        <w:drawing>
          <wp:inline distT="0" distB="0" distL="0" distR="0" wp14:anchorId="1342689A" wp14:editId="0BA3C8AE">
            <wp:extent cx="4387850" cy="2680546"/>
            <wp:effectExtent l="0" t="0" r="0" b="5715"/>
            <wp:docPr id="14183516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351694" name=""/>
                    <pic:cNvPicPr/>
                  </pic:nvPicPr>
                  <pic:blipFill>
                    <a:blip r:embed="rId13"/>
                    <a:stretch>
                      <a:fillRect/>
                    </a:stretch>
                  </pic:blipFill>
                  <pic:spPr>
                    <a:xfrm>
                      <a:off x="0" y="0"/>
                      <a:ext cx="4396698" cy="2685951"/>
                    </a:xfrm>
                    <a:prstGeom prst="rect">
                      <a:avLst/>
                    </a:prstGeom>
                  </pic:spPr>
                </pic:pic>
              </a:graphicData>
            </a:graphic>
          </wp:inline>
        </w:drawing>
      </w:r>
    </w:p>
    <w:p w14:paraId="39961624" w14:textId="7BCA3624" w:rsidR="005F7486" w:rsidRDefault="00373317" w:rsidP="00200343">
      <w:pPr>
        <w:pStyle w:val="Caption"/>
        <w:spacing w:line="480" w:lineRule="auto"/>
        <w:jc w:val="center"/>
      </w:pPr>
      <w:bookmarkStart w:id="8" w:name="_Ref187175589"/>
      <w:r>
        <w:t xml:space="preserve">Figure </w:t>
      </w:r>
      <w:fldSimple w:instr=" SEQ Figure \* ROMAN ">
        <w:r w:rsidR="00A440E2">
          <w:rPr>
            <w:noProof/>
          </w:rPr>
          <w:t>VIII</w:t>
        </w:r>
      </w:fldSimple>
      <w:bookmarkEnd w:id="8"/>
      <w:r>
        <w:t xml:space="preserve"> – own illustration</w:t>
      </w:r>
    </w:p>
    <w:p w14:paraId="1846E67D" w14:textId="1F9CAB26" w:rsidR="00C770D6" w:rsidRDefault="00373317" w:rsidP="00200343">
      <w:pPr>
        <w:spacing w:line="480" w:lineRule="auto"/>
        <w:rPr>
          <w:rFonts w:eastAsiaTheme="minorEastAsia"/>
        </w:rPr>
      </w:pPr>
      <m:oMath>
        <m:r>
          <w:rPr>
            <w:rFonts w:ascii="Cambria Math" w:hAnsi="Cambria Math"/>
          </w:rPr>
          <m:t>A</m:t>
        </m:r>
      </m:oMath>
      <w:r>
        <w:rPr>
          <w:rFonts w:eastAsiaTheme="minorEastAsia"/>
        </w:rPr>
        <w:t xml:space="preserve"> denotes possible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k</m:t>
            </m:r>
          </m:sub>
        </m:sSub>
      </m:oMath>
      <w:r w:rsidR="001F1E76">
        <w:rPr>
          <w:rFonts w:eastAsiaTheme="minorEastAsia"/>
        </w:rPr>
        <w:t xml:space="preserve"> schedules</w:t>
      </w:r>
      <w:r>
        <w:rPr>
          <w:rFonts w:eastAsiaTheme="minorEastAsia"/>
        </w:rPr>
        <w:t xml:space="preserve"> following a sudden liquidity restriction. </w:t>
      </w:r>
      <w:r w:rsidR="001F1E76">
        <w:rPr>
          <w:rFonts w:eastAsiaTheme="minorEastAsia"/>
        </w:rPr>
        <w:t xml:space="preserve">During an economic upswing, </w:t>
      </w:r>
      <w:r w:rsidR="001F1E76">
        <w:rPr>
          <w:rFonts w:eastAsiaTheme="minorEastAsia"/>
        </w:rPr>
        <w:t>liquidity preference decreases</w:t>
      </w:r>
      <w:r w:rsidR="001F1E76">
        <w:rPr>
          <w:rFonts w:eastAsiaTheme="minorEastAsia"/>
        </w:rPr>
        <w:t xml:space="preserve"> </w:t>
      </w:r>
      <w:r w:rsidR="001F1E76">
        <w:rPr>
          <w:rFonts w:eastAsiaTheme="minorEastAsia"/>
        </w:rPr>
        <w:t>because firms honour debt commitments, making assets like loans and fixed investments preferred to cash</w:t>
      </w:r>
      <w:r w:rsidR="001F1E76">
        <w:rPr>
          <w:rFonts w:eastAsiaTheme="minorEastAsia"/>
        </w:rPr>
        <w:t xml:space="preserve"> – </w:t>
      </w:r>
      <w:r w:rsidR="001F1E76">
        <w:rPr>
          <w:rFonts w:eastAsiaTheme="minorEastAsia"/>
        </w:rPr>
        <w:fldChar w:fldCharType="begin"/>
      </w:r>
      <w:r w:rsidR="001F1E76">
        <w:rPr>
          <w:rFonts w:eastAsiaTheme="minorEastAsia"/>
        </w:rPr>
        <w:instrText xml:space="preserve"> REF _Ref187175676 \h </w:instrText>
      </w:r>
      <w:r w:rsidR="001F1E76">
        <w:rPr>
          <w:rFonts w:eastAsiaTheme="minorEastAsia"/>
        </w:rPr>
      </w:r>
      <w:r w:rsidR="00200343">
        <w:rPr>
          <w:rFonts w:eastAsiaTheme="minorEastAsia"/>
        </w:rPr>
        <w:instrText xml:space="preserve"> \* MERGEFORMAT </w:instrText>
      </w:r>
      <w:r w:rsidR="001F1E76">
        <w:rPr>
          <w:rFonts w:eastAsiaTheme="minorEastAsia"/>
        </w:rPr>
        <w:fldChar w:fldCharType="separate"/>
      </w:r>
      <w:r w:rsidR="00A440E2">
        <w:t xml:space="preserve">Figure </w:t>
      </w:r>
      <w:r w:rsidR="00A440E2">
        <w:rPr>
          <w:noProof/>
        </w:rPr>
        <w:t>VII</w:t>
      </w:r>
      <w:r w:rsidR="001F1E76">
        <w:rPr>
          <w:rFonts w:eastAsiaTheme="minorEastAsia"/>
        </w:rPr>
        <w:fldChar w:fldCharType="end"/>
      </w:r>
      <w:r w:rsidR="001F1E76">
        <w:rPr>
          <w:rFonts w:eastAsiaTheme="minorEastAsia"/>
        </w:rPr>
        <w:t xml:space="preserve"> shows this shifts firms closer to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L</m:t>
            </m:r>
          </m:sub>
        </m:sSub>
      </m:oMath>
      <w:r w:rsidR="001F1E76">
        <w:rPr>
          <w:rFonts w:eastAsiaTheme="minorEastAsia"/>
        </w:rPr>
        <w:t xml:space="preserve"> because low liquidity preference </w:t>
      </w:r>
      <w:r w:rsidR="002E7FB9">
        <w:rPr>
          <w:rFonts w:eastAsiaTheme="minorEastAsia"/>
        </w:rPr>
        <w:t xml:space="preserve">will </w:t>
      </w:r>
      <w:r w:rsidR="001F1E76">
        <w:rPr>
          <w:rFonts w:eastAsiaTheme="minorEastAsia"/>
        </w:rPr>
        <w:t>cause</w:t>
      </w:r>
      <w:r w:rsidR="002E7FB9">
        <w:rPr>
          <w:rFonts w:eastAsiaTheme="minorEastAsia"/>
        </w:rPr>
        <w:t xml:space="preserve"> </w:t>
      </w:r>
      <w:r w:rsidR="001F1E76">
        <w:rPr>
          <w:rFonts w:eastAsiaTheme="minorEastAsia"/>
        </w:rPr>
        <w:t>harsher cash-in-the-market pricing</w:t>
      </w:r>
      <w:r w:rsidR="001F1E76">
        <w:rPr>
          <w:rFonts w:eastAsiaTheme="minorEastAsia"/>
        </w:rPr>
        <w:t xml:space="preserve">. </w:t>
      </w:r>
      <w:r w:rsidR="005932FB">
        <w:rPr>
          <w:rFonts w:eastAsiaTheme="minorEastAsia"/>
        </w:rPr>
        <w:t xml:space="preserve">Meanwhile, </w:t>
      </w:r>
      <w:r w:rsidR="003D768F">
        <w:rPr>
          <w:rFonts w:eastAsiaTheme="minorEastAsia"/>
        </w:rPr>
        <w:t xml:space="preserve">investment </w:t>
      </w:r>
      <w:r w:rsidR="005932FB">
        <w:rPr>
          <w:rFonts w:eastAsiaTheme="minorEastAsia"/>
        </w:rPr>
        <w:t xml:space="preserve">is </w:t>
      </w:r>
      <w:r w:rsidR="004C1F80">
        <w:rPr>
          <w:rFonts w:eastAsiaTheme="minorEastAsia"/>
        </w:rPr>
        <w:t>expand</w:t>
      </w:r>
      <w:r w:rsidR="005932FB">
        <w:rPr>
          <w:rFonts w:eastAsiaTheme="minorEastAsia"/>
        </w:rPr>
        <w:t xml:space="preserve">ing from </w:t>
      </w:r>
      <m:oMath>
        <m:r>
          <w:rPr>
            <w:rFonts w:ascii="Cambria Math" w:eastAsiaTheme="minorEastAsia" w:hAnsi="Cambria Math"/>
          </w:rPr>
          <m:t>Ie→Ie'</m:t>
        </m:r>
      </m:oMath>
      <w:r w:rsidR="004C1F80">
        <w:rPr>
          <w:rFonts w:eastAsiaTheme="minorEastAsia"/>
        </w:rPr>
        <w:t>. Combining these facts, we can conclude that</w:t>
      </w:r>
      <w:r w:rsidR="005932FB">
        <w:rPr>
          <w:rFonts w:eastAsiaTheme="minorEastAsia"/>
        </w:rPr>
        <w:t xml:space="preserve"> the longer a boom presides, the more likely it is that capital assets experience cash-in-the-market pricing following a liquidity shock.</w:t>
      </w:r>
      <w:r w:rsidR="00A80A5E">
        <w:rPr>
          <w:rFonts w:eastAsiaTheme="minorEastAsia"/>
        </w:rPr>
        <w:t xml:space="preserve"> </w:t>
      </w:r>
      <w:r w:rsidR="00645C5F">
        <w:rPr>
          <w:rFonts w:eastAsiaTheme="minorEastAsia"/>
        </w:rPr>
        <w:t>A</w:t>
      </w:r>
      <w:r w:rsidR="00C770D6">
        <w:rPr>
          <w:rFonts w:eastAsiaTheme="minorEastAsia"/>
        </w:rPr>
        <w:t xml:space="preserve"> </w:t>
      </w:r>
      <w:r w:rsidR="00645C5F">
        <w:rPr>
          <w:rFonts w:eastAsiaTheme="minorEastAsia"/>
        </w:rPr>
        <w:t>debt-deflation spiral follow</w:t>
      </w:r>
      <w:r w:rsidR="002E7FB9">
        <w:rPr>
          <w:rFonts w:eastAsiaTheme="minorEastAsia"/>
        </w:rPr>
        <w:t>s</w:t>
      </w:r>
      <w:r w:rsidR="00645C5F">
        <w:rPr>
          <w:rFonts w:eastAsiaTheme="minorEastAsia"/>
        </w:rPr>
        <w:t xml:space="preserve"> if banks lose confidence in firms’ profit expectations</w:t>
      </w:r>
      <w:r w:rsidR="00C770D6">
        <w:rPr>
          <w:rFonts w:eastAsiaTheme="minorEastAsia"/>
        </w:rPr>
        <w:t>.</w:t>
      </w:r>
    </w:p>
    <w:p w14:paraId="6376B290" w14:textId="539598C2" w:rsidR="003D768F" w:rsidRDefault="00B27E02" w:rsidP="00200343">
      <w:pPr>
        <w:spacing w:line="480" w:lineRule="auto"/>
        <w:rPr>
          <w:rFonts w:eastAsiaTheme="minorEastAsia"/>
        </w:rPr>
      </w:pPr>
      <w:r>
        <w:rPr>
          <w:rFonts w:eastAsiaTheme="minorEastAsia"/>
        </w:rPr>
        <w:t xml:space="preserve">In this paper I have explained the fundamental theory of the Financial Instability Hypothesis and demonstrated how it can be combined with Allen &amp; Gale’s </w:t>
      </w:r>
      <w:sdt>
        <w:sdtPr>
          <w:rPr>
            <w:rFonts w:eastAsiaTheme="minorEastAsia"/>
          </w:rPr>
          <w:id w:val="-60022088"/>
          <w:citation/>
        </w:sdtPr>
        <w:sdtContent>
          <w:r>
            <w:rPr>
              <w:rFonts w:eastAsiaTheme="minorEastAsia"/>
            </w:rPr>
            <w:fldChar w:fldCharType="begin"/>
          </w:r>
          <w:r>
            <w:rPr>
              <w:rFonts w:eastAsiaTheme="minorEastAsia"/>
            </w:rPr>
            <w:instrText xml:space="preserve">CITATION All07 \n  \t  \l 2057 </w:instrText>
          </w:r>
          <w:r>
            <w:rPr>
              <w:rFonts w:eastAsiaTheme="minorEastAsia"/>
            </w:rPr>
            <w:fldChar w:fldCharType="separate"/>
          </w:r>
          <w:r w:rsidRPr="00B27E02">
            <w:rPr>
              <w:rFonts w:eastAsiaTheme="minorEastAsia"/>
              <w:noProof/>
            </w:rPr>
            <w:t>(2007)</w:t>
          </w:r>
          <w:r>
            <w:rPr>
              <w:rFonts w:eastAsiaTheme="minorEastAsia"/>
            </w:rPr>
            <w:fldChar w:fldCharType="end"/>
          </w:r>
        </w:sdtContent>
      </w:sdt>
      <w:r>
        <w:rPr>
          <w:rFonts w:eastAsiaTheme="minorEastAsia"/>
        </w:rPr>
        <w:t xml:space="preserve"> cash-in-the-market pricing model to incorporate liquidity preference uncertainty.</w:t>
      </w:r>
      <w:r w:rsidR="00EC6E7C">
        <w:rPr>
          <w:rFonts w:eastAsiaTheme="minorEastAsia"/>
        </w:rPr>
        <w:t xml:space="preserve"> This allows liquidity shocks to also be endogenised to the model, providing a fuller explanation of financial crises.</w:t>
      </w:r>
    </w:p>
    <w:sdt>
      <w:sdtPr>
        <w:id w:val="-206877124"/>
        <w:docPartObj>
          <w:docPartGallery w:val="Bibliographies"/>
          <w:docPartUnique/>
        </w:docPartObj>
      </w:sdtPr>
      <w:sdtEndPr>
        <w:rPr>
          <w:rFonts w:ascii="Times New Roman" w:eastAsiaTheme="minorHAnsi" w:hAnsi="Times New Roman" w:cs="Times New Roman"/>
          <w:color w:val="auto"/>
          <w:kern w:val="2"/>
          <w:sz w:val="24"/>
          <w:szCs w:val="24"/>
          <w:lang w:val="en-GB"/>
          <w14:ligatures w14:val="standardContextual"/>
        </w:rPr>
      </w:sdtEndPr>
      <w:sdtContent>
        <w:p w14:paraId="27CBD810" w14:textId="2E1BC15F" w:rsidR="00705C3F" w:rsidRDefault="00705C3F">
          <w:pPr>
            <w:pStyle w:val="Heading1"/>
          </w:pPr>
          <w:r>
            <w:t>Bibliography</w:t>
          </w:r>
        </w:p>
        <w:sdt>
          <w:sdtPr>
            <w:id w:val="111145805"/>
            <w:bibliography/>
          </w:sdtPr>
          <w:sdtContent>
            <w:p w14:paraId="71469D72" w14:textId="77777777" w:rsidR="00705C3F" w:rsidRDefault="00705C3F" w:rsidP="00705C3F">
              <w:pPr>
                <w:pStyle w:val="Bibliography"/>
                <w:ind w:left="720" w:hanging="720"/>
                <w:rPr>
                  <w:noProof/>
                  <w:kern w:val="0"/>
                  <w:lang w:val="en-US"/>
                  <w14:ligatures w14:val="none"/>
                </w:rPr>
              </w:pPr>
              <w:r>
                <w:fldChar w:fldCharType="begin"/>
              </w:r>
              <w:r>
                <w:instrText xml:space="preserve"> BIBLIOGRAPHY </w:instrText>
              </w:r>
              <w:r>
                <w:fldChar w:fldCharType="separate"/>
              </w:r>
              <w:r>
                <w:rPr>
                  <w:noProof/>
                  <w:lang w:val="en-US"/>
                </w:rPr>
                <w:t xml:space="preserve">Allen, F., &amp; Gale, D. (2007). </w:t>
              </w:r>
              <w:r>
                <w:rPr>
                  <w:i/>
                  <w:iCs/>
                  <w:noProof/>
                  <w:lang w:val="en-US"/>
                </w:rPr>
                <w:t>Understanding Financial Crises.</w:t>
              </w:r>
              <w:r>
                <w:rPr>
                  <w:noProof/>
                  <w:lang w:val="en-US"/>
                </w:rPr>
                <w:t xml:space="preserve"> Oxford: Oxford University Press.</w:t>
              </w:r>
            </w:p>
            <w:p w14:paraId="3D130E48" w14:textId="77777777" w:rsidR="00705C3F" w:rsidRDefault="00705C3F" w:rsidP="00705C3F">
              <w:pPr>
                <w:pStyle w:val="Bibliography"/>
                <w:ind w:left="720" w:hanging="720"/>
                <w:rPr>
                  <w:noProof/>
                  <w:lang w:val="en-US"/>
                </w:rPr>
              </w:pPr>
              <w:r>
                <w:rPr>
                  <w:noProof/>
                  <w:lang w:val="en-US"/>
                </w:rPr>
                <w:lastRenderedPageBreak/>
                <w:t xml:space="preserve">De Antoni, E. (2006). Minsky on Financial Instability. In P. Arestis, &amp; M. Sawyer, </w:t>
              </w:r>
              <w:r>
                <w:rPr>
                  <w:i/>
                  <w:iCs/>
                  <w:noProof/>
                  <w:lang w:val="en-US"/>
                </w:rPr>
                <w:t>A Handbook of Alternative Monetary Economics</w:t>
              </w:r>
              <w:r>
                <w:rPr>
                  <w:noProof/>
                  <w:lang w:val="en-US"/>
                </w:rPr>
                <w:t xml:space="preserve"> (pp. 154-171). Cheltenham: Edward Elgar Publishing Limited.</w:t>
              </w:r>
            </w:p>
            <w:p w14:paraId="1F17C157" w14:textId="77777777" w:rsidR="00705C3F" w:rsidRDefault="00705C3F" w:rsidP="00705C3F">
              <w:pPr>
                <w:pStyle w:val="Bibliography"/>
                <w:ind w:left="720" w:hanging="720"/>
                <w:rPr>
                  <w:noProof/>
                  <w:lang w:val="en-US"/>
                </w:rPr>
              </w:pPr>
              <w:r>
                <w:rPr>
                  <w:noProof/>
                  <w:lang w:val="en-US"/>
                </w:rPr>
                <w:t xml:space="preserve">Dow, S. C. (2006). Endogenous Money: Structuralist. In P. Arestis, &amp; M. Sawyer, </w:t>
              </w:r>
              <w:r>
                <w:rPr>
                  <w:i/>
                  <w:iCs/>
                  <w:noProof/>
                  <w:lang w:val="en-US"/>
                </w:rPr>
                <w:t>A Handbook of Alternative Monetary Economics</w:t>
              </w:r>
              <w:r>
                <w:rPr>
                  <w:noProof/>
                  <w:lang w:val="en-US"/>
                </w:rPr>
                <w:t xml:space="preserve"> (pp. 35-51). Cheltenham: Edward Elgar Publishing Limited.</w:t>
              </w:r>
            </w:p>
            <w:p w14:paraId="6D60F0A2" w14:textId="77777777" w:rsidR="00705C3F" w:rsidRDefault="00705C3F" w:rsidP="00705C3F">
              <w:pPr>
                <w:pStyle w:val="Bibliography"/>
                <w:ind w:left="720" w:hanging="720"/>
                <w:rPr>
                  <w:noProof/>
                  <w:lang w:val="en-US"/>
                </w:rPr>
              </w:pPr>
              <w:r>
                <w:rPr>
                  <w:noProof/>
                  <w:lang w:val="en-US"/>
                </w:rPr>
                <w:t xml:space="preserve">Minsky, H. P. (1992). </w:t>
              </w:r>
              <w:r>
                <w:rPr>
                  <w:i/>
                  <w:iCs/>
                  <w:noProof/>
                  <w:lang w:val="en-US"/>
                </w:rPr>
                <w:t>The Financial Instability Hypothesis.</w:t>
              </w:r>
              <w:r>
                <w:rPr>
                  <w:noProof/>
                  <w:lang w:val="en-US"/>
                </w:rPr>
                <w:t xml:space="preserve"> The Jerome Levy Economics Institute of Bard College.</w:t>
              </w:r>
            </w:p>
            <w:p w14:paraId="3AFC6260" w14:textId="77777777" w:rsidR="00705C3F" w:rsidRDefault="00705C3F" w:rsidP="00705C3F">
              <w:pPr>
                <w:pStyle w:val="Bibliography"/>
                <w:ind w:left="720" w:hanging="720"/>
                <w:rPr>
                  <w:noProof/>
                  <w:lang w:val="en-US"/>
                </w:rPr>
              </w:pPr>
              <w:r>
                <w:rPr>
                  <w:noProof/>
                  <w:lang w:val="en-US"/>
                </w:rPr>
                <w:t xml:space="preserve">Minsky, H. P. (2008). </w:t>
              </w:r>
              <w:r>
                <w:rPr>
                  <w:i/>
                  <w:iCs/>
                  <w:noProof/>
                  <w:lang w:val="en-US"/>
                </w:rPr>
                <w:t>Stabilizing an Unstable Economy.</w:t>
              </w:r>
              <w:r>
                <w:rPr>
                  <w:noProof/>
                  <w:lang w:val="en-US"/>
                </w:rPr>
                <w:t xml:space="preserve"> New York: McGraw Hill.</w:t>
              </w:r>
            </w:p>
            <w:p w14:paraId="7F56C986" w14:textId="77777777" w:rsidR="00705C3F" w:rsidRDefault="00705C3F" w:rsidP="00705C3F">
              <w:pPr>
                <w:pStyle w:val="Bibliography"/>
                <w:ind w:left="720" w:hanging="720"/>
                <w:rPr>
                  <w:noProof/>
                  <w:lang w:val="en-US"/>
                </w:rPr>
              </w:pPr>
              <w:r>
                <w:rPr>
                  <w:noProof/>
                  <w:lang w:val="en-US"/>
                </w:rPr>
                <w:t xml:space="preserve">Realfonzo, R. (2006). The Italian Circuitist Approach. In P. Arestis, &amp; M. Sawyer, </w:t>
              </w:r>
              <w:r>
                <w:rPr>
                  <w:i/>
                  <w:iCs/>
                  <w:noProof/>
                  <w:lang w:val="en-US"/>
                </w:rPr>
                <w:t>A Handbook of Alternative Monetary Theories</w:t>
              </w:r>
              <w:r>
                <w:rPr>
                  <w:noProof/>
                  <w:lang w:val="en-US"/>
                </w:rPr>
                <w:t xml:space="preserve"> (pp. 105-120). Cheltenham: Edward Elgar Publishing Limited.</w:t>
              </w:r>
            </w:p>
            <w:p w14:paraId="3F7E12EA" w14:textId="77777777" w:rsidR="00705C3F" w:rsidRDefault="00705C3F" w:rsidP="00705C3F">
              <w:pPr>
                <w:pStyle w:val="Bibliography"/>
                <w:ind w:left="720" w:hanging="720"/>
                <w:rPr>
                  <w:noProof/>
                  <w:lang w:val="en-US"/>
                </w:rPr>
              </w:pPr>
              <w:r>
                <w:rPr>
                  <w:noProof/>
                  <w:lang w:val="en-US"/>
                </w:rPr>
                <w:t xml:space="preserve">Skott, P. (1996). Financial Innovation, Deregulation and Minsky Cycles. In G. Epstein, &amp; H. Gintis, </w:t>
              </w:r>
              <w:r>
                <w:rPr>
                  <w:i/>
                  <w:iCs/>
                  <w:noProof/>
                  <w:lang w:val="en-US"/>
                </w:rPr>
                <w:t>Macroeconomic Policy after the Conservative Era</w:t>
              </w:r>
              <w:r>
                <w:rPr>
                  <w:noProof/>
                  <w:lang w:val="en-US"/>
                </w:rPr>
                <w:t xml:space="preserve"> (p. Chapter 9). Cambridge: Cambridge University Press.</w:t>
              </w:r>
            </w:p>
            <w:p w14:paraId="522C95A2" w14:textId="2EF5FDF1" w:rsidR="00705C3F" w:rsidRDefault="00705C3F" w:rsidP="00705C3F">
              <w:r>
                <w:rPr>
                  <w:b/>
                  <w:bCs/>
                  <w:noProof/>
                </w:rPr>
                <w:fldChar w:fldCharType="end"/>
              </w:r>
            </w:p>
          </w:sdtContent>
        </w:sdt>
      </w:sdtContent>
    </w:sdt>
    <w:bookmarkEnd w:id="0"/>
    <w:p w14:paraId="3C1F7772" w14:textId="77777777" w:rsidR="004174FA" w:rsidRPr="003D768F" w:rsidRDefault="004174FA" w:rsidP="00200343">
      <w:pPr>
        <w:spacing w:line="480" w:lineRule="auto"/>
        <w:rPr>
          <w:rFonts w:eastAsiaTheme="minorEastAsia"/>
        </w:rPr>
      </w:pPr>
    </w:p>
    <w:sectPr w:rsidR="004174FA" w:rsidRPr="003D76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707796"/>
    <w:multiLevelType w:val="hybridMultilevel"/>
    <w:tmpl w:val="34225F3A"/>
    <w:lvl w:ilvl="0" w:tplc="009CA6B0">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97E64EC"/>
    <w:multiLevelType w:val="hybridMultilevel"/>
    <w:tmpl w:val="0B62339E"/>
    <w:lvl w:ilvl="0" w:tplc="E178760C">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6287738"/>
    <w:multiLevelType w:val="hybridMultilevel"/>
    <w:tmpl w:val="1C16C9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35153A2"/>
    <w:multiLevelType w:val="hybridMultilevel"/>
    <w:tmpl w:val="E72C3D4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032608207">
    <w:abstractNumId w:val="0"/>
  </w:num>
  <w:num w:numId="2" w16cid:durableId="1476676095">
    <w:abstractNumId w:val="2"/>
  </w:num>
  <w:num w:numId="3" w16cid:durableId="1531794750">
    <w:abstractNumId w:val="3"/>
  </w:num>
  <w:num w:numId="4" w16cid:durableId="1776698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883"/>
    <w:rsid w:val="000C2594"/>
    <w:rsid w:val="0010719E"/>
    <w:rsid w:val="00143816"/>
    <w:rsid w:val="00162EBD"/>
    <w:rsid w:val="001F1E76"/>
    <w:rsid w:val="00200343"/>
    <w:rsid w:val="0020216F"/>
    <w:rsid w:val="00202E5A"/>
    <w:rsid w:val="00214ABA"/>
    <w:rsid w:val="00225D2D"/>
    <w:rsid w:val="00253ED6"/>
    <w:rsid w:val="002E7FB9"/>
    <w:rsid w:val="00327C42"/>
    <w:rsid w:val="00373317"/>
    <w:rsid w:val="003D768F"/>
    <w:rsid w:val="00411CC1"/>
    <w:rsid w:val="004174FA"/>
    <w:rsid w:val="004A46B7"/>
    <w:rsid w:val="004B1390"/>
    <w:rsid w:val="004B294B"/>
    <w:rsid w:val="004C1F80"/>
    <w:rsid w:val="00585CE6"/>
    <w:rsid w:val="005932FB"/>
    <w:rsid w:val="005C1228"/>
    <w:rsid w:val="005F450D"/>
    <w:rsid w:val="005F7486"/>
    <w:rsid w:val="006403BD"/>
    <w:rsid w:val="00645C5F"/>
    <w:rsid w:val="0065415F"/>
    <w:rsid w:val="0067309B"/>
    <w:rsid w:val="00696883"/>
    <w:rsid w:val="006B4C6F"/>
    <w:rsid w:val="006E0B36"/>
    <w:rsid w:val="006F7A14"/>
    <w:rsid w:val="00705C3F"/>
    <w:rsid w:val="00730820"/>
    <w:rsid w:val="0079050E"/>
    <w:rsid w:val="007B6A67"/>
    <w:rsid w:val="007D6159"/>
    <w:rsid w:val="0080562C"/>
    <w:rsid w:val="00807283"/>
    <w:rsid w:val="0092243A"/>
    <w:rsid w:val="00931372"/>
    <w:rsid w:val="00951812"/>
    <w:rsid w:val="009C288A"/>
    <w:rsid w:val="00A277BC"/>
    <w:rsid w:val="00A440E2"/>
    <w:rsid w:val="00A640EC"/>
    <w:rsid w:val="00A64C11"/>
    <w:rsid w:val="00A80A5E"/>
    <w:rsid w:val="00AD5B0A"/>
    <w:rsid w:val="00B27E02"/>
    <w:rsid w:val="00B707D8"/>
    <w:rsid w:val="00B80561"/>
    <w:rsid w:val="00BA1494"/>
    <w:rsid w:val="00BF079D"/>
    <w:rsid w:val="00C10526"/>
    <w:rsid w:val="00C4158C"/>
    <w:rsid w:val="00C50800"/>
    <w:rsid w:val="00C770D6"/>
    <w:rsid w:val="00C80651"/>
    <w:rsid w:val="00C820AB"/>
    <w:rsid w:val="00CA64FB"/>
    <w:rsid w:val="00CB5158"/>
    <w:rsid w:val="00CD2E5F"/>
    <w:rsid w:val="00D24ED5"/>
    <w:rsid w:val="00D3615B"/>
    <w:rsid w:val="00D57B6A"/>
    <w:rsid w:val="00D84A1F"/>
    <w:rsid w:val="00D94F67"/>
    <w:rsid w:val="00DA106E"/>
    <w:rsid w:val="00E61FF5"/>
    <w:rsid w:val="00E645B4"/>
    <w:rsid w:val="00EB666E"/>
    <w:rsid w:val="00EC6E7C"/>
    <w:rsid w:val="00F35BB1"/>
    <w:rsid w:val="00F84641"/>
    <w:rsid w:val="00FB20F3"/>
    <w:rsid w:val="00FC285E"/>
    <w:rsid w:val="00FE624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28E86"/>
  <w15:chartTrackingRefBased/>
  <w15:docId w15:val="{B8B6213F-3B73-40B7-B73F-54DB135F5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1FF5"/>
    <w:rPr>
      <w:rFonts w:ascii="Times New Roman" w:hAnsi="Times New Roman" w:cs="Times New Roman"/>
      <w:sz w:val="24"/>
      <w:szCs w:val="24"/>
    </w:rPr>
  </w:style>
  <w:style w:type="paragraph" w:styleId="Heading1">
    <w:name w:val="heading 1"/>
    <w:basedOn w:val="Normal"/>
    <w:next w:val="Normal"/>
    <w:link w:val="Heading1Char"/>
    <w:uiPriority w:val="9"/>
    <w:qFormat/>
    <w:rsid w:val="00705C3F"/>
    <w:pPr>
      <w:keepNext/>
      <w:keepLines/>
      <w:spacing w:before="240" w:after="0"/>
      <w:outlineLvl w:val="0"/>
    </w:pPr>
    <w:rPr>
      <w:rFonts w:asciiTheme="majorHAnsi" w:eastAsiaTheme="majorEastAsia" w:hAnsiTheme="majorHAnsi" w:cstheme="majorBidi"/>
      <w:color w:val="2F5496" w:themeColor="accent1" w:themeShade="BF"/>
      <w:kern w:val="0"/>
      <w:sz w:val="32"/>
      <w:szCs w:val="32"/>
      <w:lang w:val="en-US"/>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61FF5"/>
    <w:rPr>
      <w:b/>
      <w:bCs/>
    </w:rPr>
  </w:style>
  <w:style w:type="character" w:customStyle="1" w:styleId="TitleChar">
    <w:name w:val="Title Char"/>
    <w:basedOn w:val="DefaultParagraphFont"/>
    <w:link w:val="Title"/>
    <w:uiPriority w:val="10"/>
    <w:rsid w:val="00E61FF5"/>
    <w:rPr>
      <w:rFonts w:ascii="Times New Roman" w:hAnsi="Times New Roman" w:cs="Times New Roman"/>
      <w:b/>
      <w:bCs/>
      <w:sz w:val="24"/>
      <w:szCs w:val="24"/>
    </w:rPr>
  </w:style>
  <w:style w:type="paragraph" w:styleId="ListParagraph">
    <w:name w:val="List Paragraph"/>
    <w:basedOn w:val="Normal"/>
    <w:uiPriority w:val="34"/>
    <w:qFormat/>
    <w:rsid w:val="00225D2D"/>
    <w:pPr>
      <w:ind w:left="720"/>
      <w:contextualSpacing/>
    </w:pPr>
  </w:style>
  <w:style w:type="paragraph" w:styleId="Caption">
    <w:name w:val="caption"/>
    <w:basedOn w:val="Normal"/>
    <w:next w:val="Normal"/>
    <w:uiPriority w:val="35"/>
    <w:unhideWhenUsed/>
    <w:qFormat/>
    <w:rsid w:val="00807283"/>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D57B6A"/>
    <w:rPr>
      <w:color w:val="666666"/>
    </w:rPr>
  </w:style>
  <w:style w:type="character" w:customStyle="1" w:styleId="Heading1Char">
    <w:name w:val="Heading 1 Char"/>
    <w:basedOn w:val="DefaultParagraphFont"/>
    <w:link w:val="Heading1"/>
    <w:uiPriority w:val="9"/>
    <w:rsid w:val="00705C3F"/>
    <w:rPr>
      <w:rFonts w:asciiTheme="majorHAnsi" w:eastAsiaTheme="majorEastAsia" w:hAnsiTheme="majorHAnsi" w:cstheme="majorBidi"/>
      <w:color w:val="2F5496" w:themeColor="accent1" w:themeShade="BF"/>
      <w:kern w:val="0"/>
      <w:sz w:val="32"/>
      <w:szCs w:val="32"/>
      <w:lang w:val="en-US"/>
      <w14:ligatures w14:val="none"/>
    </w:rPr>
  </w:style>
  <w:style w:type="paragraph" w:styleId="Bibliography">
    <w:name w:val="Bibliography"/>
    <w:basedOn w:val="Normal"/>
    <w:next w:val="Normal"/>
    <w:uiPriority w:val="37"/>
    <w:unhideWhenUsed/>
    <w:rsid w:val="00705C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267171">
      <w:bodyDiv w:val="1"/>
      <w:marLeft w:val="0"/>
      <w:marRight w:val="0"/>
      <w:marTop w:val="0"/>
      <w:marBottom w:val="0"/>
      <w:divBdr>
        <w:top w:val="none" w:sz="0" w:space="0" w:color="auto"/>
        <w:left w:val="none" w:sz="0" w:space="0" w:color="auto"/>
        <w:bottom w:val="none" w:sz="0" w:space="0" w:color="auto"/>
        <w:right w:val="none" w:sz="0" w:space="0" w:color="auto"/>
      </w:divBdr>
    </w:div>
    <w:div w:id="95560797">
      <w:bodyDiv w:val="1"/>
      <w:marLeft w:val="0"/>
      <w:marRight w:val="0"/>
      <w:marTop w:val="0"/>
      <w:marBottom w:val="0"/>
      <w:divBdr>
        <w:top w:val="none" w:sz="0" w:space="0" w:color="auto"/>
        <w:left w:val="none" w:sz="0" w:space="0" w:color="auto"/>
        <w:bottom w:val="none" w:sz="0" w:space="0" w:color="auto"/>
        <w:right w:val="none" w:sz="0" w:space="0" w:color="auto"/>
      </w:divBdr>
    </w:div>
    <w:div w:id="218440195">
      <w:bodyDiv w:val="1"/>
      <w:marLeft w:val="0"/>
      <w:marRight w:val="0"/>
      <w:marTop w:val="0"/>
      <w:marBottom w:val="0"/>
      <w:divBdr>
        <w:top w:val="none" w:sz="0" w:space="0" w:color="auto"/>
        <w:left w:val="none" w:sz="0" w:space="0" w:color="auto"/>
        <w:bottom w:val="none" w:sz="0" w:space="0" w:color="auto"/>
        <w:right w:val="none" w:sz="0" w:space="0" w:color="auto"/>
      </w:divBdr>
    </w:div>
    <w:div w:id="234052269">
      <w:bodyDiv w:val="1"/>
      <w:marLeft w:val="0"/>
      <w:marRight w:val="0"/>
      <w:marTop w:val="0"/>
      <w:marBottom w:val="0"/>
      <w:divBdr>
        <w:top w:val="none" w:sz="0" w:space="0" w:color="auto"/>
        <w:left w:val="none" w:sz="0" w:space="0" w:color="auto"/>
        <w:bottom w:val="none" w:sz="0" w:space="0" w:color="auto"/>
        <w:right w:val="none" w:sz="0" w:space="0" w:color="auto"/>
      </w:divBdr>
    </w:div>
    <w:div w:id="306250387">
      <w:bodyDiv w:val="1"/>
      <w:marLeft w:val="0"/>
      <w:marRight w:val="0"/>
      <w:marTop w:val="0"/>
      <w:marBottom w:val="0"/>
      <w:divBdr>
        <w:top w:val="none" w:sz="0" w:space="0" w:color="auto"/>
        <w:left w:val="none" w:sz="0" w:space="0" w:color="auto"/>
        <w:bottom w:val="none" w:sz="0" w:space="0" w:color="auto"/>
        <w:right w:val="none" w:sz="0" w:space="0" w:color="auto"/>
      </w:divBdr>
    </w:div>
    <w:div w:id="329065391">
      <w:bodyDiv w:val="1"/>
      <w:marLeft w:val="0"/>
      <w:marRight w:val="0"/>
      <w:marTop w:val="0"/>
      <w:marBottom w:val="0"/>
      <w:divBdr>
        <w:top w:val="none" w:sz="0" w:space="0" w:color="auto"/>
        <w:left w:val="none" w:sz="0" w:space="0" w:color="auto"/>
        <w:bottom w:val="none" w:sz="0" w:space="0" w:color="auto"/>
        <w:right w:val="none" w:sz="0" w:space="0" w:color="auto"/>
      </w:divBdr>
    </w:div>
    <w:div w:id="329214566">
      <w:bodyDiv w:val="1"/>
      <w:marLeft w:val="0"/>
      <w:marRight w:val="0"/>
      <w:marTop w:val="0"/>
      <w:marBottom w:val="0"/>
      <w:divBdr>
        <w:top w:val="none" w:sz="0" w:space="0" w:color="auto"/>
        <w:left w:val="none" w:sz="0" w:space="0" w:color="auto"/>
        <w:bottom w:val="none" w:sz="0" w:space="0" w:color="auto"/>
        <w:right w:val="none" w:sz="0" w:space="0" w:color="auto"/>
      </w:divBdr>
    </w:div>
    <w:div w:id="434593283">
      <w:bodyDiv w:val="1"/>
      <w:marLeft w:val="0"/>
      <w:marRight w:val="0"/>
      <w:marTop w:val="0"/>
      <w:marBottom w:val="0"/>
      <w:divBdr>
        <w:top w:val="none" w:sz="0" w:space="0" w:color="auto"/>
        <w:left w:val="none" w:sz="0" w:space="0" w:color="auto"/>
        <w:bottom w:val="none" w:sz="0" w:space="0" w:color="auto"/>
        <w:right w:val="none" w:sz="0" w:space="0" w:color="auto"/>
      </w:divBdr>
    </w:div>
    <w:div w:id="469638196">
      <w:bodyDiv w:val="1"/>
      <w:marLeft w:val="0"/>
      <w:marRight w:val="0"/>
      <w:marTop w:val="0"/>
      <w:marBottom w:val="0"/>
      <w:divBdr>
        <w:top w:val="none" w:sz="0" w:space="0" w:color="auto"/>
        <w:left w:val="none" w:sz="0" w:space="0" w:color="auto"/>
        <w:bottom w:val="none" w:sz="0" w:space="0" w:color="auto"/>
        <w:right w:val="none" w:sz="0" w:space="0" w:color="auto"/>
      </w:divBdr>
    </w:div>
    <w:div w:id="499732856">
      <w:bodyDiv w:val="1"/>
      <w:marLeft w:val="0"/>
      <w:marRight w:val="0"/>
      <w:marTop w:val="0"/>
      <w:marBottom w:val="0"/>
      <w:divBdr>
        <w:top w:val="none" w:sz="0" w:space="0" w:color="auto"/>
        <w:left w:val="none" w:sz="0" w:space="0" w:color="auto"/>
        <w:bottom w:val="none" w:sz="0" w:space="0" w:color="auto"/>
        <w:right w:val="none" w:sz="0" w:space="0" w:color="auto"/>
      </w:divBdr>
    </w:div>
    <w:div w:id="571740592">
      <w:bodyDiv w:val="1"/>
      <w:marLeft w:val="0"/>
      <w:marRight w:val="0"/>
      <w:marTop w:val="0"/>
      <w:marBottom w:val="0"/>
      <w:divBdr>
        <w:top w:val="none" w:sz="0" w:space="0" w:color="auto"/>
        <w:left w:val="none" w:sz="0" w:space="0" w:color="auto"/>
        <w:bottom w:val="none" w:sz="0" w:space="0" w:color="auto"/>
        <w:right w:val="none" w:sz="0" w:space="0" w:color="auto"/>
      </w:divBdr>
    </w:div>
    <w:div w:id="587885654">
      <w:bodyDiv w:val="1"/>
      <w:marLeft w:val="0"/>
      <w:marRight w:val="0"/>
      <w:marTop w:val="0"/>
      <w:marBottom w:val="0"/>
      <w:divBdr>
        <w:top w:val="none" w:sz="0" w:space="0" w:color="auto"/>
        <w:left w:val="none" w:sz="0" w:space="0" w:color="auto"/>
        <w:bottom w:val="none" w:sz="0" w:space="0" w:color="auto"/>
        <w:right w:val="none" w:sz="0" w:space="0" w:color="auto"/>
      </w:divBdr>
    </w:div>
    <w:div w:id="629550289">
      <w:bodyDiv w:val="1"/>
      <w:marLeft w:val="0"/>
      <w:marRight w:val="0"/>
      <w:marTop w:val="0"/>
      <w:marBottom w:val="0"/>
      <w:divBdr>
        <w:top w:val="none" w:sz="0" w:space="0" w:color="auto"/>
        <w:left w:val="none" w:sz="0" w:space="0" w:color="auto"/>
        <w:bottom w:val="none" w:sz="0" w:space="0" w:color="auto"/>
        <w:right w:val="none" w:sz="0" w:space="0" w:color="auto"/>
      </w:divBdr>
    </w:div>
    <w:div w:id="756364716">
      <w:bodyDiv w:val="1"/>
      <w:marLeft w:val="0"/>
      <w:marRight w:val="0"/>
      <w:marTop w:val="0"/>
      <w:marBottom w:val="0"/>
      <w:divBdr>
        <w:top w:val="none" w:sz="0" w:space="0" w:color="auto"/>
        <w:left w:val="none" w:sz="0" w:space="0" w:color="auto"/>
        <w:bottom w:val="none" w:sz="0" w:space="0" w:color="auto"/>
        <w:right w:val="none" w:sz="0" w:space="0" w:color="auto"/>
      </w:divBdr>
    </w:div>
    <w:div w:id="783579108">
      <w:bodyDiv w:val="1"/>
      <w:marLeft w:val="0"/>
      <w:marRight w:val="0"/>
      <w:marTop w:val="0"/>
      <w:marBottom w:val="0"/>
      <w:divBdr>
        <w:top w:val="none" w:sz="0" w:space="0" w:color="auto"/>
        <w:left w:val="none" w:sz="0" w:space="0" w:color="auto"/>
        <w:bottom w:val="none" w:sz="0" w:space="0" w:color="auto"/>
        <w:right w:val="none" w:sz="0" w:space="0" w:color="auto"/>
      </w:divBdr>
    </w:div>
    <w:div w:id="797186230">
      <w:bodyDiv w:val="1"/>
      <w:marLeft w:val="0"/>
      <w:marRight w:val="0"/>
      <w:marTop w:val="0"/>
      <w:marBottom w:val="0"/>
      <w:divBdr>
        <w:top w:val="none" w:sz="0" w:space="0" w:color="auto"/>
        <w:left w:val="none" w:sz="0" w:space="0" w:color="auto"/>
        <w:bottom w:val="none" w:sz="0" w:space="0" w:color="auto"/>
        <w:right w:val="none" w:sz="0" w:space="0" w:color="auto"/>
      </w:divBdr>
    </w:div>
    <w:div w:id="864445110">
      <w:bodyDiv w:val="1"/>
      <w:marLeft w:val="0"/>
      <w:marRight w:val="0"/>
      <w:marTop w:val="0"/>
      <w:marBottom w:val="0"/>
      <w:divBdr>
        <w:top w:val="none" w:sz="0" w:space="0" w:color="auto"/>
        <w:left w:val="none" w:sz="0" w:space="0" w:color="auto"/>
        <w:bottom w:val="none" w:sz="0" w:space="0" w:color="auto"/>
        <w:right w:val="none" w:sz="0" w:space="0" w:color="auto"/>
      </w:divBdr>
    </w:div>
    <w:div w:id="983849676">
      <w:bodyDiv w:val="1"/>
      <w:marLeft w:val="0"/>
      <w:marRight w:val="0"/>
      <w:marTop w:val="0"/>
      <w:marBottom w:val="0"/>
      <w:divBdr>
        <w:top w:val="none" w:sz="0" w:space="0" w:color="auto"/>
        <w:left w:val="none" w:sz="0" w:space="0" w:color="auto"/>
        <w:bottom w:val="none" w:sz="0" w:space="0" w:color="auto"/>
        <w:right w:val="none" w:sz="0" w:space="0" w:color="auto"/>
      </w:divBdr>
    </w:div>
    <w:div w:id="1011419911">
      <w:bodyDiv w:val="1"/>
      <w:marLeft w:val="0"/>
      <w:marRight w:val="0"/>
      <w:marTop w:val="0"/>
      <w:marBottom w:val="0"/>
      <w:divBdr>
        <w:top w:val="none" w:sz="0" w:space="0" w:color="auto"/>
        <w:left w:val="none" w:sz="0" w:space="0" w:color="auto"/>
        <w:bottom w:val="none" w:sz="0" w:space="0" w:color="auto"/>
        <w:right w:val="none" w:sz="0" w:space="0" w:color="auto"/>
      </w:divBdr>
    </w:div>
    <w:div w:id="1089079873">
      <w:bodyDiv w:val="1"/>
      <w:marLeft w:val="0"/>
      <w:marRight w:val="0"/>
      <w:marTop w:val="0"/>
      <w:marBottom w:val="0"/>
      <w:divBdr>
        <w:top w:val="none" w:sz="0" w:space="0" w:color="auto"/>
        <w:left w:val="none" w:sz="0" w:space="0" w:color="auto"/>
        <w:bottom w:val="none" w:sz="0" w:space="0" w:color="auto"/>
        <w:right w:val="none" w:sz="0" w:space="0" w:color="auto"/>
      </w:divBdr>
    </w:div>
    <w:div w:id="1136071276">
      <w:bodyDiv w:val="1"/>
      <w:marLeft w:val="0"/>
      <w:marRight w:val="0"/>
      <w:marTop w:val="0"/>
      <w:marBottom w:val="0"/>
      <w:divBdr>
        <w:top w:val="none" w:sz="0" w:space="0" w:color="auto"/>
        <w:left w:val="none" w:sz="0" w:space="0" w:color="auto"/>
        <w:bottom w:val="none" w:sz="0" w:space="0" w:color="auto"/>
        <w:right w:val="none" w:sz="0" w:space="0" w:color="auto"/>
      </w:divBdr>
    </w:div>
    <w:div w:id="1155074201">
      <w:bodyDiv w:val="1"/>
      <w:marLeft w:val="0"/>
      <w:marRight w:val="0"/>
      <w:marTop w:val="0"/>
      <w:marBottom w:val="0"/>
      <w:divBdr>
        <w:top w:val="none" w:sz="0" w:space="0" w:color="auto"/>
        <w:left w:val="none" w:sz="0" w:space="0" w:color="auto"/>
        <w:bottom w:val="none" w:sz="0" w:space="0" w:color="auto"/>
        <w:right w:val="none" w:sz="0" w:space="0" w:color="auto"/>
      </w:divBdr>
    </w:div>
    <w:div w:id="1165585965">
      <w:bodyDiv w:val="1"/>
      <w:marLeft w:val="0"/>
      <w:marRight w:val="0"/>
      <w:marTop w:val="0"/>
      <w:marBottom w:val="0"/>
      <w:divBdr>
        <w:top w:val="none" w:sz="0" w:space="0" w:color="auto"/>
        <w:left w:val="none" w:sz="0" w:space="0" w:color="auto"/>
        <w:bottom w:val="none" w:sz="0" w:space="0" w:color="auto"/>
        <w:right w:val="none" w:sz="0" w:space="0" w:color="auto"/>
      </w:divBdr>
    </w:div>
    <w:div w:id="1198464632">
      <w:bodyDiv w:val="1"/>
      <w:marLeft w:val="0"/>
      <w:marRight w:val="0"/>
      <w:marTop w:val="0"/>
      <w:marBottom w:val="0"/>
      <w:divBdr>
        <w:top w:val="none" w:sz="0" w:space="0" w:color="auto"/>
        <w:left w:val="none" w:sz="0" w:space="0" w:color="auto"/>
        <w:bottom w:val="none" w:sz="0" w:space="0" w:color="auto"/>
        <w:right w:val="none" w:sz="0" w:space="0" w:color="auto"/>
      </w:divBdr>
    </w:div>
    <w:div w:id="1359428248">
      <w:bodyDiv w:val="1"/>
      <w:marLeft w:val="0"/>
      <w:marRight w:val="0"/>
      <w:marTop w:val="0"/>
      <w:marBottom w:val="0"/>
      <w:divBdr>
        <w:top w:val="none" w:sz="0" w:space="0" w:color="auto"/>
        <w:left w:val="none" w:sz="0" w:space="0" w:color="auto"/>
        <w:bottom w:val="none" w:sz="0" w:space="0" w:color="auto"/>
        <w:right w:val="none" w:sz="0" w:space="0" w:color="auto"/>
      </w:divBdr>
    </w:div>
    <w:div w:id="1439985789">
      <w:bodyDiv w:val="1"/>
      <w:marLeft w:val="0"/>
      <w:marRight w:val="0"/>
      <w:marTop w:val="0"/>
      <w:marBottom w:val="0"/>
      <w:divBdr>
        <w:top w:val="none" w:sz="0" w:space="0" w:color="auto"/>
        <w:left w:val="none" w:sz="0" w:space="0" w:color="auto"/>
        <w:bottom w:val="none" w:sz="0" w:space="0" w:color="auto"/>
        <w:right w:val="none" w:sz="0" w:space="0" w:color="auto"/>
      </w:divBdr>
    </w:div>
    <w:div w:id="1469976624">
      <w:bodyDiv w:val="1"/>
      <w:marLeft w:val="0"/>
      <w:marRight w:val="0"/>
      <w:marTop w:val="0"/>
      <w:marBottom w:val="0"/>
      <w:divBdr>
        <w:top w:val="none" w:sz="0" w:space="0" w:color="auto"/>
        <w:left w:val="none" w:sz="0" w:space="0" w:color="auto"/>
        <w:bottom w:val="none" w:sz="0" w:space="0" w:color="auto"/>
        <w:right w:val="none" w:sz="0" w:space="0" w:color="auto"/>
      </w:divBdr>
    </w:div>
    <w:div w:id="1576474860">
      <w:bodyDiv w:val="1"/>
      <w:marLeft w:val="0"/>
      <w:marRight w:val="0"/>
      <w:marTop w:val="0"/>
      <w:marBottom w:val="0"/>
      <w:divBdr>
        <w:top w:val="none" w:sz="0" w:space="0" w:color="auto"/>
        <w:left w:val="none" w:sz="0" w:space="0" w:color="auto"/>
        <w:bottom w:val="none" w:sz="0" w:space="0" w:color="auto"/>
        <w:right w:val="none" w:sz="0" w:space="0" w:color="auto"/>
      </w:divBdr>
    </w:div>
    <w:div w:id="1691369269">
      <w:bodyDiv w:val="1"/>
      <w:marLeft w:val="0"/>
      <w:marRight w:val="0"/>
      <w:marTop w:val="0"/>
      <w:marBottom w:val="0"/>
      <w:divBdr>
        <w:top w:val="none" w:sz="0" w:space="0" w:color="auto"/>
        <w:left w:val="none" w:sz="0" w:space="0" w:color="auto"/>
        <w:bottom w:val="none" w:sz="0" w:space="0" w:color="auto"/>
        <w:right w:val="none" w:sz="0" w:space="0" w:color="auto"/>
      </w:divBdr>
    </w:div>
    <w:div w:id="1701394371">
      <w:bodyDiv w:val="1"/>
      <w:marLeft w:val="0"/>
      <w:marRight w:val="0"/>
      <w:marTop w:val="0"/>
      <w:marBottom w:val="0"/>
      <w:divBdr>
        <w:top w:val="none" w:sz="0" w:space="0" w:color="auto"/>
        <w:left w:val="none" w:sz="0" w:space="0" w:color="auto"/>
        <w:bottom w:val="none" w:sz="0" w:space="0" w:color="auto"/>
        <w:right w:val="none" w:sz="0" w:space="0" w:color="auto"/>
      </w:divBdr>
    </w:div>
    <w:div w:id="1774402193">
      <w:bodyDiv w:val="1"/>
      <w:marLeft w:val="0"/>
      <w:marRight w:val="0"/>
      <w:marTop w:val="0"/>
      <w:marBottom w:val="0"/>
      <w:divBdr>
        <w:top w:val="none" w:sz="0" w:space="0" w:color="auto"/>
        <w:left w:val="none" w:sz="0" w:space="0" w:color="auto"/>
        <w:bottom w:val="none" w:sz="0" w:space="0" w:color="auto"/>
        <w:right w:val="none" w:sz="0" w:space="0" w:color="auto"/>
      </w:divBdr>
    </w:div>
    <w:div w:id="1788086528">
      <w:bodyDiv w:val="1"/>
      <w:marLeft w:val="0"/>
      <w:marRight w:val="0"/>
      <w:marTop w:val="0"/>
      <w:marBottom w:val="0"/>
      <w:divBdr>
        <w:top w:val="none" w:sz="0" w:space="0" w:color="auto"/>
        <w:left w:val="none" w:sz="0" w:space="0" w:color="auto"/>
        <w:bottom w:val="none" w:sz="0" w:space="0" w:color="auto"/>
        <w:right w:val="none" w:sz="0" w:space="0" w:color="auto"/>
      </w:divBdr>
    </w:div>
    <w:div w:id="1875536186">
      <w:bodyDiv w:val="1"/>
      <w:marLeft w:val="0"/>
      <w:marRight w:val="0"/>
      <w:marTop w:val="0"/>
      <w:marBottom w:val="0"/>
      <w:divBdr>
        <w:top w:val="none" w:sz="0" w:space="0" w:color="auto"/>
        <w:left w:val="none" w:sz="0" w:space="0" w:color="auto"/>
        <w:bottom w:val="none" w:sz="0" w:space="0" w:color="auto"/>
        <w:right w:val="none" w:sz="0" w:space="0" w:color="auto"/>
      </w:divBdr>
    </w:div>
    <w:div w:id="1895971878">
      <w:bodyDiv w:val="1"/>
      <w:marLeft w:val="0"/>
      <w:marRight w:val="0"/>
      <w:marTop w:val="0"/>
      <w:marBottom w:val="0"/>
      <w:divBdr>
        <w:top w:val="none" w:sz="0" w:space="0" w:color="auto"/>
        <w:left w:val="none" w:sz="0" w:space="0" w:color="auto"/>
        <w:bottom w:val="none" w:sz="0" w:space="0" w:color="auto"/>
        <w:right w:val="none" w:sz="0" w:space="0" w:color="auto"/>
      </w:divBdr>
    </w:div>
    <w:div w:id="1913196312">
      <w:bodyDiv w:val="1"/>
      <w:marLeft w:val="0"/>
      <w:marRight w:val="0"/>
      <w:marTop w:val="0"/>
      <w:marBottom w:val="0"/>
      <w:divBdr>
        <w:top w:val="none" w:sz="0" w:space="0" w:color="auto"/>
        <w:left w:val="none" w:sz="0" w:space="0" w:color="auto"/>
        <w:bottom w:val="none" w:sz="0" w:space="0" w:color="auto"/>
        <w:right w:val="none" w:sz="0" w:space="0" w:color="auto"/>
      </w:divBdr>
    </w:div>
    <w:div w:id="2021080627">
      <w:bodyDiv w:val="1"/>
      <w:marLeft w:val="0"/>
      <w:marRight w:val="0"/>
      <w:marTop w:val="0"/>
      <w:marBottom w:val="0"/>
      <w:divBdr>
        <w:top w:val="none" w:sz="0" w:space="0" w:color="auto"/>
        <w:left w:val="none" w:sz="0" w:space="0" w:color="auto"/>
        <w:bottom w:val="none" w:sz="0" w:space="0" w:color="auto"/>
        <w:right w:val="none" w:sz="0" w:space="0" w:color="auto"/>
      </w:divBdr>
    </w:div>
    <w:div w:id="2064333362">
      <w:bodyDiv w:val="1"/>
      <w:marLeft w:val="0"/>
      <w:marRight w:val="0"/>
      <w:marTop w:val="0"/>
      <w:marBottom w:val="0"/>
      <w:divBdr>
        <w:top w:val="none" w:sz="0" w:space="0" w:color="auto"/>
        <w:left w:val="none" w:sz="0" w:space="0" w:color="auto"/>
        <w:bottom w:val="none" w:sz="0" w:space="0" w:color="auto"/>
        <w:right w:val="none" w:sz="0" w:space="0" w:color="auto"/>
      </w:divBdr>
    </w:div>
    <w:div w:id="2081517497">
      <w:bodyDiv w:val="1"/>
      <w:marLeft w:val="0"/>
      <w:marRight w:val="0"/>
      <w:marTop w:val="0"/>
      <w:marBottom w:val="0"/>
      <w:divBdr>
        <w:top w:val="none" w:sz="0" w:space="0" w:color="auto"/>
        <w:left w:val="none" w:sz="0" w:space="0" w:color="auto"/>
        <w:bottom w:val="none" w:sz="0" w:space="0" w:color="auto"/>
        <w:right w:val="none" w:sz="0" w:space="0" w:color="auto"/>
      </w:divBdr>
    </w:div>
    <w:div w:id="2094423933">
      <w:bodyDiv w:val="1"/>
      <w:marLeft w:val="0"/>
      <w:marRight w:val="0"/>
      <w:marTop w:val="0"/>
      <w:marBottom w:val="0"/>
      <w:divBdr>
        <w:top w:val="none" w:sz="0" w:space="0" w:color="auto"/>
        <w:left w:val="none" w:sz="0" w:space="0" w:color="auto"/>
        <w:bottom w:val="none" w:sz="0" w:space="0" w:color="auto"/>
        <w:right w:val="none" w:sz="0" w:space="0" w:color="auto"/>
      </w:divBdr>
    </w:div>
    <w:div w:id="2114934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Min921</b:Tag>
    <b:SourceType>Report</b:SourceType>
    <b:Guid>{B1F2E728-F226-481B-997B-8C01B131335F}</b:Guid>
    <b:Title>The Financial Instability Hypothesis</b:Title>
    <b:Year>1992</b:Year>
    <b:Author>
      <b:Author>
        <b:NameList>
          <b:Person>
            <b:Last>Minsky</b:Last>
            <b:First>Hyman</b:First>
            <b:Middle>P.</b:Middle>
          </b:Person>
        </b:NameList>
      </b:Author>
    </b:Author>
    <b:Publisher>The Jerome Levy Economics Institute of Bard College</b:Publisher>
    <b:RefOrder>2</b:RefOrder>
  </b:Source>
  <b:Source>
    <b:Tag>Rea06</b:Tag>
    <b:SourceType>BookSection</b:SourceType>
    <b:Guid>{6C0DFA15-9229-4B7B-83BB-A59E2C2A6895}</b:Guid>
    <b:Title>The Italian Circuitist Approach</b:Title>
    <b:Year>2006</b:Year>
    <b:Publisher>Edward Elgar Publishing Limited</b:Publisher>
    <b:City>Cheltenham</b:City>
    <b:Pages>105-120</b:Pages>
    <b:Author>
      <b:Author>
        <b:NameList>
          <b:Person>
            <b:Last>Realfonzo</b:Last>
            <b:First>Riccardo</b:First>
          </b:Person>
        </b:NameList>
      </b:Author>
      <b:BookAuthor>
        <b:NameList>
          <b:Person>
            <b:Last>Arestis</b:Last>
            <b:First>Philip</b:First>
          </b:Person>
          <b:Person>
            <b:Last>Sawyer</b:Last>
            <b:First>Malcolm</b:First>
          </b:Person>
        </b:NameList>
      </b:BookAuthor>
    </b:Author>
    <b:BookTitle>A Handbook of Alternative Monetary Theories</b:BookTitle>
    <b:RefOrder>4</b:RefOrder>
  </b:Source>
  <b:Source>
    <b:Tag>DeA06</b:Tag>
    <b:SourceType>BookSection</b:SourceType>
    <b:Guid>{D3E79027-9EDF-4012-9E6B-64EE3F4D3DA1}</b:Guid>
    <b:Author>
      <b:Author>
        <b:NameList>
          <b:Person>
            <b:Last>De Antoni</b:Last>
            <b:First>Elisabetta</b:First>
          </b:Person>
        </b:NameList>
      </b:Author>
      <b:BookAuthor>
        <b:NameList>
          <b:Person>
            <b:Last>Arestis</b:Last>
            <b:First>Philip</b:First>
          </b:Person>
          <b:Person>
            <b:Last>Sawyer</b:Last>
            <b:First>Malcolm</b:First>
          </b:Person>
        </b:NameList>
      </b:BookAuthor>
    </b:Author>
    <b:Title>Minsky on Financial Instability</b:Title>
    <b:BookTitle>A Handbook of Alternative Monetary Economics</b:BookTitle>
    <b:Year>2006</b:Year>
    <b:Pages>154-171</b:Pages>
    <b:City>Cheltenham</b:City>
    <b:Publisher>Edward Elgar Publishing Limited</b:Publisher>
    <b:RefOrder>5</b:RefOrder>
  </b:Source>
  <b:Source>
    <b:Tag>1986</b:Tag>
    <b:SourceType>Book</b:SourceType>
    <b:Guid>{5DF86576-73B9-4C55-BDF3-2407743F29F4}</b:Guid>
    <b:Title>Stabilizing an Unstable Economy</b:Title>
    <b:Year>2008</b:Year>
    <b:City>New York</b:City>
    <b:Publisher>McGraw Hill</b:Publisher>
    <b:Author>
      <b:Author>
        <b:NameList>
          <b:Person>
            <b:Last>Minsky</b:Last>
            <b:First>Hyman</b:First>
            <b:Middle>P.</b:Middle>
          </b:Person>
        </b:NameList>
      </b:Author>
    </b:Author>
    <b:RefOrder>3</b:RefOrder>
  </b:Source>
  <b:Source>
    <b:Tag>Dow06</b:Tag>
    <b:SourceType>BookSection</b:SourceType>
    <b:Guid>{92495088-A939-424D-844C-E67908814F1B}</b:Guid>
    <b:Author>
      <b:Author>
        <b:NameList>
          <b:Person>
            <b:Last>Dow</b:Last>
            <b:First>Sheila</b:First>
            <b:Middle>C.</b:Middle>
          </b:Person>
        </b:NameList>
      </b:Author>
      <b:BookAuthor>
        <b:NameList>
          <b:Person>
            <b:Last>Arestis</b:Last>
            <b:First>Philip</b:First>
          </b:Person>
          <b:Person>
            <b:Last>Sawyer</b:Last>
            <b:First>Malcolm</b:First>
          </b:Person>
        </b:NameList>
      </b:BookAuthor>
    </b:Author>
    <b:Title>Endogenous Money: Structuralist</b:Title>
    <b:BookTitle>A Handbook of Alternative Monetary Economics</b:BookTitle>
    <b:Year>2006</b:Year>
    <b:Pages>35-51</b:Pages>
    <b:City>Cheltenham</b:City>
    <b:Publisher>Edward Elgar Publishing Limited</b:Publisher>
    <b:RefOrder>6</b:RefOrder>
  </b:Source>
  <b:Source>
    <b:Tag>All07</b:Tag>
    <b:SourceType>Book</b:SourceType>
    <b:Guid>{A87A675E-8AE2-4B00-8603-EF960F8E6AD3}</b:Guid>
    <b:Title>Understanding Financial Crises</b:Title>
    <b:Year>2007</b:Year>
    <b:City>Oxford</b:City>
    <b:Publisher>Oxford University Press</b:Publisher>
    <b:Author>
      <b:Author>
        <b:NameList>
          <b:Person>
            <b:Last>Allen</b:Last>
            <b:First>Franklin</b:First>
          </b:Person>
          <b:Person>
            <b:Last>Gale</b:Last>
            <b:First>Douglas</b:First>
          </b:Person>
        </b:NameList>
      </b:Author>
    </b:Author>
    <b:RefOrder>1</b:RefOrder>
  </b:Source>
  <b:Source>
    <b:Tag>Sko96</b:Tag>
    <b:SourceType>BookSection</b:SourceType>
    <b:Guid>{FBDAC561-8530-413D-BFF8-775D968933CB}</b:Guid>
    <b:Title>Financial Innovation, Deregulation and Minsky Cycles</b:Title>
    <b:Year>1996</b:Year>
    <b:City>Cambridge</b:City>
    <b:Publisher>Cambridge University Press</b:Publisher>
    <b:Author>
      <b:Author>
        <b:NameList>
          <b:Person>
            <b:Last>Skott</b:Last>
            <b:First>Peter</b:First>
          </b:Person>
        </b:NameList>
      </b:Author>
      <b:BookAuthor>
        <b:NameList>
          <b:Person>
            <b:Last>Epstein</b:Last>
            <b:First>Gerald</b:First>
          </b:Person>
          <b:Person>
            <b:Last>Gintis</b:Last>
            <b:First>Herbert</b:First>
          </b:Person>
        </b:NameList>
      </b:BookAuthor>
    </b:Author>
    <b:BookTitle>Macroeconomic Policy after the Conservative Era</b:BookTitle>
    <b:Pages>Chapter 9</b:Pages>
    <b:RefOrder>7</b:RefOrder>
  </b:Source>
</b:Sources>
</file>

<file path=customXml/itemProps1.xml><?xml version="1.0" encoding="utf-8"?>
<ds:datastoreItem xmlns:ds="http://schemas.openxmlformats.org/officeDocument/2006/customXml" ds:itemID="{11011BE5-90CA-473C-A55C-AAE1BA14C3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1531</TotalTime>
  <Pages>10</Pages>
  <Words>1879</Words>
  <Characters>10714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Diogo Trindade Ferreira [pr22dtf]</dc:creator>
  <cp:keywords/>
  <dc:description/>
  <cp:lastModifiedBy>Diogo Trindade Ferreira [pr22dtf]</cp:lastModifiedBy>
  <cp:revision>7</cp:revision>
  <cp:lastPrinted>2025-01-08T00:35:00Z</cp:lastPrinted>
  <dcterms:created xsi:type="dcterms:W3CDTF">2025-01-06T22:52:00Z</dcterms:created>
  <dcterms:modified xsi:type="dcterms:W3CDTF">2025-01-08T03:40:00Z</dcterms:modified>
</cp:coreProperties>
</file>