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4F983" w14:textId="2A2E4BDE" w:rsidR="0035443B" w:rsidRDefault="006E40D1" w:rsidP="006E40D1">
      <w:pPr>
        <w:pStyle w:val="Title"/>
      </w:pPr>
      <w:r w:rsidRPr="006E40D1">
        <w:t xml:space="preserve">Gains </w:t>
      </w:r>
      <w:r w:rsidR="002C0CDE">
        <w:t>i.e.</w:t>
      </w:r>
      <w:r w:rsidRPr="006E40D1">
        <w:t xml:space="preserve"> </w:t>
      </w:r>
      <w:r w:rsidR="002C0CDE">
        <w:t>g</w:t>
      </w:r>
      <w:r w:rsidRPr="006E40D1">
        <w:t>rowth</w:t>
      </w:r>
    </w:p>
    <w:p w14:paraId="40E575BD" w14:textId="1BBC31B1" w:rsidR="006E40D1" w:rsidRDefault="006E40D1" w:rsidP="006E40D1">
      <w:r>
        <w:t xml:space="preserve">For the past few months, Labour’s rallying slogan has been </w:t>
      </w:r>
      <w:r w:rsidR="00FA2EDB">
        <w:t>very</w:t>
      </w:r>
      <w:r>
        <w:t xml:space="preserve"> clear: this country needs economic growth. To be fair, growth is pretty great. </w:t>
      </w:r>
      <w:r w:rsidR="002B48B4">
        <w:t>GDP going up is a sign of increased employment, potentially increased productivity, and it makes government debt more manageable due to increased tax revenues.</w:t>
      </w:r>
      <w:r w:rsidR="008B5654">
        <w:t xml:space="preserve"> T</w:t>
      </w:r>
      <w:r w:rsidR="00F80582">
        <w:t xml:space="preserve">he room to grow </w:t>
      </w:r>
      <w:r w:rsidR="008B5654">
        <w:t>certainly seems to be</w:t>
      </w:r>
      <w:r w:rsidR="00F80582">
        <w:t xml:space="preserve"> there: as Rachel Reeves </w:t>
      </w:r>
      <w:r w:rsidR="008B5654">
        <w:t xml:space="preserve">seldom fails to </w:t>
      </w:r>
      <w:r w:rsidR="00F80582">
        <w:t xml:space="preserve">remind the nation, </w:t>
      </w:r>
      <w:hyperlink r:id="rId4" w:history="1">
        <w:r w:rsidR="00F80582" w:rsidRPr="00F80582">
          <w:rPr>
            <w:rStyle w:val="Hyperlink"/>
          </w:rPr>
          <w:t>“had the UK economy grown at the average rate of OECD economies over the fourteen years from 2010, it would be £143.3bn larger”</w:t>
        </w:r>
      </w:hyperlink>
      <w:r w:rsidR="00F80582">
        <w:t>.</w:t>
      </w:r>
      <w:r w:rsidR="008B5654">
        <w:t xml:space="preserve"> </w:t>
      </w:r>
      <w:r w:rsidR="002C0CDE">
        <w:t>There are similar signs</w:t>
      </w:r>
      <w:r w:rsidR="00BB26BC">
        <w:t xml:space="preserve"> for productivity</w:t>
      </w:r>
      <w:r w:rsidR="00FA2EDB">
        <w:t>:</w:t>
      </w:r>
      <w:r w:rsidR="00BB26BC">
        <w:t xml:space="preserve"> had pre-2008 trends continued, </w:t>
      </w:r>
      <w:hyperlink r:id="rId5" w:anchor=":~:text=2.1%20Growth%20and%20productivity,-In%20historical%20terms&amp;text=Productivity%20would%20have%20been%20around,the%20pre%2D2008%20trend%20continued." w:history="1">
        <w:r w:rsidR="00BB26BC" w:rsidRPr="00BB26BC">
          <w:rPr>
            <w:rStyle w:val="Hyperlink"/>
          </w:rPr>
          <w:t>it would’ve been around 26% higher in 2022</w:t>
        </w:r>
      </w:hyperlink>
      <w:r w:rsidR="00BB26BC">
        <w:t>.</w:t>
      </w:r>
    </w:p>
    <w:p w14:paraId="6A492102" w14:textId="0AADA55A" w:rsidR="00BB26BC" w:rsidRDefault="00BB26BC" w:rsidP="00BB26BC">
      <w:pPr>
        <w:jc w:val="center"/>
      </w:pPr>
      <w:r>
        <w:rPr>
          <w:noProof/>
        </w:rPr>
        <w:drawing>
          <wp:inline distT="0" distB="0" distL="0" distR="0" wp14:anchorId="04604F13" wp14:editId="11DC0D20">
            <wp:extent cx="3152851" cy="2705040"/>
            <wp:effectExtent l="0" t="0" r="0" b="635"/>
            <wp:docPr id="1576528293" name="Picture 1" descr="Graph 1 shows UK annual output per hour worked, from 1971 to 2022, using chained volume measure (2019 = 100). Productivity growth has slowed since 200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1 shows UK annual output per hour worked, from 1971 to 2022, using chained volume measure (2019 = 100). Productivity growth has slowed since 2008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08" cy="27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DDBC" w14:textId="3C38E85C" w:rsidR="00BB26BC" w:rsidRDefault="00BB26BC" w:rsidP="00BB26BC">
      <w:pPr>
        <w:jc w:val="center"/>
        <w:rPr>
          <w:i/>
          <w:iCs/>
        </w:rPr>
      </w:pPr>
      <w:r>
        <w:rPr>
          <w:i/>
          <w:iCs/>
        </w:rPr>
        <w:t xml:space="preserve">UK productivity from 1971-2022. Source: </w:t>
      </w:r>
      <w:hyperlink r:id="rId7" w:history="1">
        <w:r w:rsidRPr="00BB26BC">
          <w:rPr>
            <w:rStyle w:val="Hyperlink"/>
            <w:i/>
            <w:iCs/>
          </w:rPr>
          <w:t>House of Lords Library</w:t>
        </w:r>
      </w:hyperlink>
    </w:p>
    <w:p w14:paraId="2055CBAA" w14:textId="2DF6F745" w:rsidR="00FD1BD2" w:rsidRDefault="00BB26BC" w:rsidP="00BB26BC">
      <w:r>
        <w:t xml:space="preserve">Of course, it’s one thing </w:t>
      </w:r>
      <w:r w:rsidR="00731328">
        <w:t>to acknowledge</w:t>
      </w:r>
      <w:r>
        <w:t xml:space="preserve"> this</w:t>
      </w:r>
      <w:r w:rsidR="00FD1BD2">
        <w:t xml:space="preserve"> gaping</w:t>
      </w:r>
      <w:r>
        <w:t xml:space="preserve"> Grand Canyon of an output gap</w:t>
      </w:r>
      <w:r w:rsidR="00731328">
        <w:t>.</w:t>
      </w:r>
      <w:r w:rsidR="00FA2EDB">
        <w:t xml:space="preserve"> Labour’s plans to fix it leave some wanting.</w:t>
      </w:r>
      <w:r w:rsidR="00731328">
        <w:t xml:space="preserve"> </w:t>
      </w:r>
      <w:hyperlink r:id="rId8" w:anchor="chapter-2" w:history="1">
        <w:r w:rsidR="00731328" w:rsidRPr="00731328">
          <w:rPr>
            <w:rStyle w:val="Hyperlink"/>
          </w:rPr>
          <w:t>The OBR estimate</w:t>
        </w:r>
        <w:r w:rsidR="00226A79">
          <w:rPr>
            <w:rStyle w:val="Hyperlink"/>
          </w:rPr>
          <w:t>s</w:t>
        </w:r>
        <w:r w:rsidR="00731328" w:rsidRPr="00731328">
          <w:rPr>
            <w:rStyle w:val="Hyperlink"/>
          </w:rPr>
          <w:t xml:space="preserve"> that, while the Autumn budget will boost GDP over the next 4 years mainly due to increased demand</w:t>
        </w:r>
      </w:hyperlink>
      <w:r w:rsidR="00731328">
        <w:t xml:space="preserve">, </w:t>
      </w:r>
      <w:r w:rsidR="00226A79">
        <w:t>it will</w:t>
      </w:r>
      <w:r w:rsidR="00731328">
        <w:t xml:space="preserve"> damage the supply-side by </w:t>
      </w:r>
      <w:r w:rsidR="00226A79">
        <w:t xml:space="preserve">increasing </w:t>
      </w:r>
      <w:r w:rsidR="00731328">
        <w:t>employers</w:t>
      </w:r>
      <w:r w:rsidR="00EA652A">
        <w:t>’</w:t>
      </w:r>
      <w:r w:rsidR="00731328">
        <w:t xml:space="preserve"> NICs and </w:t>
      </w:r>
      <w:r w:rsidR="00226A79">
        <w:t>crowding out the private sector</w:t>
      </w:r>
      <w:r w:rsidR="00FA2EDB">
        <w:t>;</w:t>
      </w:r>
      <w:r w:rsidR="00226A79">
        <w:t xml:space="preserve"> </w:t>
      </w:r>
      <w:r w:rsidR="00FA2EDB">
        <w:t xml:space="preserve">crowding out </w:t>
      </w:r>
      <w:r w:rsidR="00226A79">
        <w:t xml:space="preserve">happens </w:t>
      </w:r>
      <w:r w:rsidR="00731328">
        <w:t>whe</w:t>
      </w:r>
      <w:r w:rsidR="00226A79">
        <w:t xml:space="preserve">n </w:t>
      </w:r>
      <w:r w:rsidR="00731328">
        <w:t xml:space="preserve">interest rates </w:t>
      </w:r>
      <w:r w:rsidR="00226A79">
        <w:t xml:space="preserve">rise </w:t>
      </w:r>
      <w:r w:rsidR="00731328">
        <w:t xml:space="preserve">due to government borrowing </w:t>
      </w:r>
      <w:r w:rsidR="00226A79">
        <w:t xml:space="preserve">and </w:t>
      </w:r>
      <w:r w:rsidR="00C54962">
        <w:t xml:space="preserve">subsequently </w:t>
      </w:r>
      <w:r w:rsidR="00731328">
        <w:t>disincentivise private investment</w:t>
      </w:r>
      <w:r w:rsidR="00226A79">
        <w:t>. In totality, they project a lower GDP in 2028-30 than if there were no changes at all</w:t>
      </w:r>
      <w:r w:rsidR="00EA652A">
        <w:t xml:space="preserve">, but do expect </w:t>
      </w:r>
      <w:r w:rsidR="00155DF2">
        <w:t xml:space="preserve">a net positive impact </w:t>
      </w:r>
      <w:r w:rsidR="00EA32ED">
        <w:t>in</w:t>
      </w:r>
      <w:r w:rsidR="00155DF2">
        <w:t xml:space="preserve"> the </w:t>
      </w:r>
      <w:r w:rsidR="00EA32ED">
        <w:t xml:space="preserve">early </w:t>
      </w:r>
      <w:r w:rsidR="00155DF2">
        <w:t>2030s.</w:t>
      </w:r>
    </w:p>
    <w:p w14:paraId="0506199C" w14:textId="52A3BB56" w:rsidR="00155DF2" w:rsidRDefault="00155DF2" w:rsidP="00155DF2">
      <w:pPr>
        <w:jc w:val="center"/>
      </w:pPr>
      <w:r>
        <w:rPr>
          <w:noProof/>
        </w:rPr>
        <w:drawing>
          <wp:inline distT="0" distB="0" distL="0" distR="0" wp14:anchorId="41981A39" wp14:editId="1A026FA2">
            <wp:extent cx="4008730" cy="2069652"/>
            <wp:effectExtent l="0" t="0" r="0" b="6985"/>
            <wp:docPr id="729800772" name="Picture 2" descr="Stacked bar line chart showing change in real GDP level by polic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cked bar line chart showing change in real GDP level by policy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87" cy="20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7B29" w14:textId="6A6A56E1" w:rsidR="00155DF2" w:rsidRDefault="00155DF2" w:rsidP="00155DF2">
      <w:pPr>
        <w:jc w:val="center"/>
        <w:rPr>
          <w:i/>
          <w:iCs/>
        </w:rPr>
      </w:pPr>
      <w:r>
        <w:rPr>
          <w:i/>
          <w:iCs/>
        </w:rPr>
        <w:t xml:space="preserve">Policy impacts on real GDP, by measure. Source: </w:t>
      </w:r>
      <w:hyperlink r:id="rId10" w:anchor="chapter-2" w:history="1">
        <w:r w:rsidRPr="00155DF2">
          <w:rPr>
            <w:rStyle w:val="Hyperlink"/>
            <w:i/>
            <w:iCs/>
          </w:rPr>
          <w:t>Office for Budget Responsibility</w:t>
        </w:r>
      </w:hyperlink>
    </w:p>
    <w:p w14:paraId="28238016" w14:textId="6BC69E77" w:rsidR="00482A2F" w:rsidRDefault="00FA2EDB" w:rsidP="00155DF2">
      <w:r>
        <w:lastRenderedPageBreak/>
        <w:t>T</w:t>
      </w:r>
      <w:r w:rsidR="00EA32ED">
        <w:t xml:space="preserve">he </w:t>
      </w:r>
      <w:r w:rsidR="00155DF2">
        <w:t xml:space="preserve">OBR </w:t>
      </w:r>
      <w:r>
        <w:t xml:space="preserve">maybe </w:t>
      </w:r>
      <w:r w:rsidR="00155DF2">
        <w:t xml:space="preserve">missed </w:t>
      </w:r>
      <w:r w:rsidR="00EA32ED">
        <w:t>a trick</w:t>
      </w:r>
      <w:r w:rsidR="00155DF2">
        <w:t xml:space="preserve"> on this one</w:t>
      </w:r>
      <w:r w:rsidR="0092195B">
        <w:t xml:space="preserve">. </w:t>
      </w:r>
      <w:r w:rsidR="00482A2F">
        <w:t>It seems to me that the Biden-Harris administration</w:t>
      </w:r>
      <w:r w:rsidR="005A6C09">
        <w:t>’s large public spending programs</w:t>
      </w:r>
      <w:r w:rsidR="00482A2F">
        <w:t xml:space="preserve"> </w:t>
      </w:r>
      <w:hyperlink r:id="rId11" w:history="1">
        <w:r w:rsidR="00482A2F" w:rsidRPr="00482A2F">
          <w:rPr>
            <w:rStyle w:val="Hyperlink"/>
          </w:rPr>
          <w:t>crowd</w:t>
        </w:r>
        <w:r w:rsidR="005A6C09">
          <w:rPr>
            <w:rStyle w:val="Hyperlink"/>
          </w:rPr>
          <w:t>ed</w:t>
        </w:r>
        <w:r w:rsidR="00482A2F" w:rsidRPr="00482A2F">
          <w:rPr>
            <w:rStyle w:val="Hyperlink"/>
          </w:rPr>
          <w:t xml:space="preserve"> </w:t>
        </w:r>
        <w:r w:rsidR="00482A2F" w:rsidRPr="00482A2F">
          <w:rPr>
            <w:rStyle w:val="Hyperlink"/>
            <w:i/>
            <w:iCs/>
          </w:rPr>
          <w:t>in</w:t>
        </w:r>
        <w:r w:rsidR="00482A2F" w:rsidRPr="00482A2F">
          <w:rPr>
            <w:rStyle w:val="Hyperlink"/>
          </w:rPr>
          <w:t xml:space="preserve"> the private sector </w:t>
        </w:r>
        <w:r w:rsidR="005A6C09">
          <w:rPr>
            <w:rStyle w:val="Hyperlink"/>
          </w:rPr>
          <w:t>and beat expectations</w:t>
        </w:r>
      </w:hyperlink>
      <w:r w:rsidR="00AB1323">
        <w:t xml:space="preserve">; </w:t>
      </w:r>
      <w:r w:rsidR="00482A2F">
        <w:t xml:space="preserve">considering </w:t>
      </w:r>
      <w:r w:rsidR="005A6C09">
        <w:t xml:space="preserve">it’s exactly </w:t>
      </w:r>
      <w:r w:rsidR="00EA32ED">
        <w:t>that</w:t>
      </w:r>
      <w:r w:rsidR="00482A2F">
        <w:t xml:space="preserve"> </w:t>
      </w:r>
      <w:r w:rsidR="00EA32ED">
        <w:t xml:space="preserve">kind </w:t>
      </w:r>
      <w:r w:rsidR="00482A2F">
        <w:t xml:space="preserve">of </w:t>
      </w:r>
      <w:r w:rsidR="00AB1323">
        <w:t>government spending</w:t>
      </w:r>
      <w:r w:rsidR="00482A2F">
        <w:t xml:space="preserve"> </w:t>
      </w:r>
      <w:hyperlink r:id="rId12" w:history="1">
        <w:r w:rsidR="005A6C09">
          <w:rPr>
            <w:rStyle w:val="Hyperlink"/>
          </w:rPr>
          <w:t xml:space="preserve">that </w:t>
        </w:r>
        <w:r w:rsidR="00482A2F" w:rsidRPr="00482A2F">
          <w:rPr>
            <w:rStyle w:val="Hyperlink"/>
          </w:rPr>
          <w:t>Reeves wants to emulate</w:t>
        </w:r>
      </w:hyperlink>
      <w:r w:rsidR="00482A2F">
        <w:t xml:space="preserve">, </w:t>
      </w:r>
      <w:r w:rsidR="005A6C09">
        <w:t xml:space="preserve">it could be Labour’s turn to </w:t>
      </w:r>
      <w:r w:rsidR="00325A31">
        <w:t>surprise OBR economists and prove we’ve been underestimating crowding in for far too long</w:t>
      </w:r>
      <w:r w:rsidR="00482A2F">
        <w:t>.</w:t>
      </w:r>
    </w:p>
    <w:p w14:paraId="284CAE24" w14:textId="3FBEE921" w:rsidR="00EA0B35" w:rsidRDefault="00482A2F" w:rsidP="00155DF2">
      <w:r>
        <w:t xml:space="preserve">Setting that </w:t>
      </w:r>
      <w:r w:rsidR="005A6C09">
        <w:t xml:space="preserve">whole </w:t>
      </w:r>
      <w:r>
        <w:t xml:space="preserve">debate aside for a second, the </w:t>
      </w:r>
      <w:r w:rsidR="005A6C09">
        <w:t>common</w:t>
      </w:r>
      <w:r>
        <w:t xml:space="preserve"> theme </w:t>
      </w:r>
      <w:r w:rsidR="005A6C09">
        <w:t xml:space="preserve">on both sides </w:t>
      </w:r>
      <w:r w:rsidR="00EA32ED">
        <w:t>is clearly</w:t>
      </w:r>
      <w:r>
        <w:t xml:space="preserve"> that th</w:t>
      </w:r>
      <w:r w:rsidR="00307D85">
        <w:t>e</w:t>
      </w:r>
      <w:r>
        <w:t xml:space="preserve"> country </w:t>
      </w:r>
      <w:r w:rsidRPr="00325A31">
        <w:t>needs</w:t>
      </w:r>
      <w:r w:rsidRPr="00325A31">
        <w:rPr>
          <w:i/>
          <w:iCs/>
        </w:rPr>
        <w:t xml:space="preserve"> </w:t>
      </w:r>
      <w:r>
        <w:rPr>
          <w:i/>
          <w:iCs/>
        </w:rPr>
        <w:t>private investment</w:t>
      </w:r>
      <w:r>
        <w:t xml:space="preserve">. The effective and efficient allocation of capital to productive </w:t>
      </w:r>
      <w:r w:rsidR="00307D85">
        <w:t>enterprise</w:t>
      </w:r>
      <w:r>
        <w:t xml:space="preserve"> is, if you think about it, kind of the whole point of capitalism</w:t>
      </w:r>
      <w:r w:rsidR="00EA32ED">
        <w:t xml:space="preserve"> – </w:t>
      </w:r>
      <w:r>
        <w:t xml:space="preserve">it is </w:t>
      </w:r>
      <w:r w:rsidR="00EA32ED">
        <w:t xml:space="preserve">coincidentally also </w:t>
      </w:r>
      <w:r>
        <w:t>one of the best ways to grow your economy.</w:t>
      </w:r>
      <w:r w:rsidR="00D912DA">
        <w:t xml:space="preserve"> </w:t>
      </w:r>
      <w:r w:rsidR="00FA2EDB">
        <w:t>Unfortunately</w:t>
      </w:r>
      <w:r w:rsidR="00D912DA">
        <w:t>,</w:t>
      </w:r>
      <w:r w:rsidR="00EA0B35">
        <w:t xml:space="preserve"> it seems our tax policy is contrived in such a way as to spit in the face of “efficiency” and maybe</w:t>
      </w:r>
      <w:r w:rsidR="00AB1323">
        <w:t>, probably,</w:t>
      </w:r>
      <w:r w:rsidR="00EA0B35">
        <w:t xml:space="preserve"> give a giant middle finger to the concept of “effective”.</w:t>
      </w:r>
      <w:r w:rsidR="00AB1323">
        <w:t xml:space="preserve"> </w:t>
      </w:r>
      <w:hyperlink r:id="rId13" w:history="1">
        <w:r w:rsidR="00AB1323" w:rsidRPr="00AB1323">
          <w:rPr>
            <w:rStyle w:val="Hyperlink"/>
          </w:rPr>
          <w:t>At least, that’s what the IFS has determined after analysing how the UK currently taxes capital gains</w:t>
        </w:r>
      </w:hyperlink>
      <w:r w:rsidR="00AB1323">
        <w:t>.</w:t>
      </w:r>
    </w:p>
    <w:p w14:paraId="584075EB" w14:textId="67239F6E" w:rsidR="00293A2D" w:rsidRDefault="00490416" w:rsidP="00155DF2">
      <w:r>
        <w:t xml:space="preserve">A capital gain occurs when I sell some </w:t>
      </w:r>
      <w:r w:rsidR="00293A2D">
        <w:t>asset at a higher value than I paid for it, i.e., a positive net profit. Some examples of taxable assets include property and company shares – however owner-occupied homes and ISAs are excluded.</w:t>
      </w:r>
    </w:p>
    <w:p w14:paraId="5CF98741" w14:textId="77777777" w:rsidR="002942A3" w:rsidRDefault="00307D85" w:rsidP="00307D85">
      <w:r>
        <w:t xml:space="preserve">The problem, </w:t>
      </w:r>
      <w:r w:rsidR="00FA2EDB">
        <w:t>pointed out</w:t>
      </w:r>
      <w:r>
        <w:t xml:space="preserve"> by the IFS, is the </w:t>
      </w:r>
      <w:r>
        <w:rPr>
          <w:i/>
          <w:iCs/>
        </w:rPr>
        <w:t>distortionary nature</w:t>
      </w:r>
      <w:r>
        <w:t xml:space="preserve"> of CGT. A distortion happens when a firm forgoes an investment that they </w:t>
      </w:r>
      <w:r>
        <w:rPr>
          <w:i/>
          <w:iCs/>
        </w:rPr>
        <w:t>would have made</w:t>
      </w:r>
      <w:r>
        <w:t>, were it not for the presence of the tax. Obviously, we can all think of times where we want taxes to be distortionary</w:t>
      </w:r>
      <w:r w:rsidR="002942A3">
        <w:t xml:space="preserve">, like carbon, sugar, and cigarette taxes. Private investment is definitely not in that group and discouraging it when we don’t really want to is, for lack of a better word, bad. These accidental distortions happen </w:t>
      </w:r>
      <w:r w:rsidR="00293A2D">
        <w:t>when</w:t>
      </w:r>
      <w:r w:rsidR="008863EA">
        <w:t xml:space="preserve"> the projected return on investment (ROI) </w:t>
      </w:r>
      <w:r w:rsidR="00293A2D">
        <w:t>is</w:t>
      </w:r>
      <w:r w:rsidR="008863EA">
        <w:t xml:space="preserve"> reduced by the tax to such an extent as to make the investment no better than simply putting your money in a savings account.</w:t>
      </w:r>
      <w:r w:rsidR="002942A3">
        <w:t xml:space="preserve"> Every time this happens, we forgo potential new economic capacity and employment simply because of our tax structure. Even worse is this:</w:t>
      </w:r>
    </w:p>
    <w:p w14:paraId="1A756E5C" w14:textId="06A2247A" w:rsidR="00490416" w:rsidRDefault="002942A3" w:rsidP="00155DF2">
      <w:r>
        <w:t xml:space="preserve">For a relatively low CGT, like 10%, we </w:t>
      </w:r>
      <w:r w:rsidR="00AC0EF6">
        <w:t>lose the least valuable</w:t>
      </w:r>
      <w:r>
        <w:t xml:space="preserve"> investments – if we assume the savings rate is 5%, then only investments with</w:t>
      </w:r>
      <w:r w:rsidR="00AC0EF6">
        <w:t xml:space="preserve"> expected</w:t>
      </w:r>
      <w:r>
        <w:t xml:space="preserve"> returns between 5%-5.56% are effectively lost. However, imagine CGT rises</w:t>
      </w:r>
      <w:r w:rsidR="009C561B">
        <w:t xml:space="preserve"> to</w:t>
      </w:r>
      <w:r>
        <w:t xml:space="preserve"> 40%. With the same savings rate of 5%, </w:t>
      </w:r>
      <w:r w:rsidR="00AC0EF6">
        <w:t xml:space="preserve">expected </w:t>
      </w:r>
      <w:r>
        <w:t>returns all the way up to 8.33% are</w:t>
      </w:r>
      <w:r w:rsidR="00AC0EF6">
        <w:t xml:space="preserve"> not worth it. The economy not only misses out on a greater quantity of private investment, but this lost investment also become</w:t>
      </w:r>
      <w:r w:rsidR="009C561B">
        <w:t>s</w:t>
      </w:r>
      <w:r w:rsidR="00AC0EF6">
        <w:t xml:space="preserve"> more valuable – an enterprise with </w:t>
      </w:r>
      <w:r w:rsidR="00D12111">
        <w:t>an</w:t>
      </w:r>
      <w:r w:rsidR="00AC0EF6">
        <w:t xml:space="preserve"> 8.33% expected ROI </w:t>
      </w:r>
      <w:r w:rsidR="00D12111">
        <w:t xml:space="preserve">likely </w:t>
      </w:r>
      <w:r w:rsidR="009C561B">
        <w:t>has more room to grow than one with an expected ROI of 5.56%</w:t>
      </w:r>
      <w:r w:rsidR="00D12111">
        <w:t xml:space="preserve"> and investing in the former rather than the latter is far better for the economy. To really summarise this key message I took away from the IFS report: the government’s 4% increase of the top rate of CGT to 24% likely reduced the efficient allocation of capital by </w:t>
      </w:r>
      <w:r w:rsidR="00D12111">
        <w:rPr>
          <w:i/>
          <w:iCs/>
        </w:rPr>
        <w:t>more</w:t>
      </w:r>
      <w:r w:rsidR="00D12111">
        <w:t xml:space="preserve"> than 4%.</w:t>
      </w:r>
    </w:p>
    <w:p w14:paraId="08ABF1B2" w14:textId="0F945A72" w:rsidR="00D12111" w:rsidRDefault="00D12111" w:rsidP="00155DF2">
      <w:r>
        <w:t xml:space="preserve">Fortunately, </w:t>
      </w:r>
      <w:r w:rsidR="004A340F">
        <w:t>taxing gains is still on the table</w:t>
      </w:r>
      <w:r>
        <w:t xml:space="preserve">. I say fortunately, because – to me at least – it’s clear why </w:t>
      </w:r>
      <w:hyperlink r:id="rId14" w:history="1">
        <w:r w:rsidRPr="00D12111">
          <w:rPr>
            <w:rStyle w:val="Hyperlink"/>
          </w:rPr>
          <w:t>CGT consistently ranks highly on the list of taxes people want to raise</w:t>
        </w:r>
      </w:hyperlink>
      <w:r>
        <w:t>. It doesn’t feel right that people who make money with money should have to pay less tax</w:t>
      </w:r>
      <w:r w:rsidR="004A340F">
        <w:t xml:space="preserve"> than the rest of us, just</w:t>
      </w:r>
      <w:r>
        <w:t xml:space="preserve"> so we can </w:t>
      </w:r>
      <w:r w:rsidR="004A340F">
        <w:t>bathe in an</w:t>
      </w:r>
      <w:r>
        <w:t xml:space="preserve"> abstract concept of “economic efficiency” that, let’s face it, no one really cares about. And while we’ll just have to trust economists that allocative efficiency is pretty great, </w:t>
      </w:r>
      <w:r w:rsidR="004A340F">
        <w:t>we can still have our cake and eat it too,</w:t>
      </w:r>
      <w:r>
        <w:t xml:space="preserve"> </w:t>
      </w:r>
      <w:r w:rsidR="004A340F">
        <w:t xml:space="preserve">ensuring </w:t>
      </w:r>
      <w:r>
        <w:t xml:space="preserve">that </w:t>
      </w:r>
      <w:r w:rsidR="004A340F">
        <w:t xml:space="preserve">productive </w:t>
      </w:r>
      <w:r>
        <w:t xml:space="preserve">investments help the public </w:t>
      </w:r>
      <w:r w:rsidR="004A340F">
        <w:t xml:space="preserve">purse </w:t>
      </w:r>
      <w:r>
        <w:t>as well as the private sector.</w:t>
      </w:r>
    </w:p>
    <w:p w14:paraId="543A9AA9" w14:textId="5631E10C" w:rsidR="00D12111" w:rsidRPr="00490416" w:rsidRDefault="00D12111" w:rsidP="00155DF2">
      <w:r>
        <w:t>The trick is</w:t>
      </w:r>
      <w:r w:rsidR="00F934E0">
        <w:t>, r</w:t>
      </w:r>
      <w:r w:rsidR="004A340F">
        <w:t xml:space="preserve">ather than </w:t>
      </w:r>
      <w:r w:rsidR="001B6E83">
        <w:t>levy CGT on</w:t>
      </w:r>
      <w:r w:rsidR="004A340F">
        <w:t xml:space="preserve"> the whole gain, only tax the </w:t>
      </w:r>
      <w:r w:rsidR="004A340F">
        <w:rPr>
          <w:i/>
          <w:iCs/>
        </w:rPr>
        <w:t>extra</w:t>
      </w:r>
      <w:r w:rsidR="004A340F">
        <w:t xml:space="preserve"> gain on top of what was essentially risk-free, i.e., the </w:t>
      </w:r>
      <w:r w:rsidR="00891A4B">
        <w:t>savings</w:t>
      </w:r>
      <w:r w:rsidR="004A340F">
        <w:t xml:space="preserve"> rate in an economy. With a savings rate of 5%, investments with a 5% ROI don’t get taxed </w:t>
      </w:r>
      <w:r w:rsidR="004A340F">
        <w:rPr>
          <w:i/>
          <w:iCs/>
        </w:rPr>
        <w:t>at all</w:t>
      </w:r>
      <w:r w:rsidR="004A340F">
        <w:t xml:space="preserve">. With an expected 8% ROI, that bonus 3% will be taxed at whatever rate we put CGT at – and that’s the great part: with this system, CGT can be set as high (or as low) as we want, without discouraging investment </w:t>
      </w:r>
      <w:r w:rsidR="00891A4B">
        <w:t>relative to</w:t>
      </w:r>
      <w:r w:rsidR="004A340F">
        <w:t xml:space="preserve"> cash savings</w:t>
      </w:r>
      <w:r w:rsidR="00F934E0">
        <w:t>.</w:t>
      </w:r>
    </w:p>
    <w:sectPr w:rsidR="00D12111" w:rsidRPr="0049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D1"/>
    <w:rsid w:val="000A00DA"/>
    <w:rsid w:val="00123DC5"/>
    <w:rsid w:val="00155DF2"/>
    <w:rsid w:val="001B6E83"/>
    <w:rsid w:val="00226A79"/>
    <w:rsid w:val="00293A2D"/>
    <w:rsid w:val="002942A3"/>
    <w:rsid w:val="002B48B4"/>
    <w:rsid w:val="002C0CDE"/>
    <w:rsid w:val="00307D85"/>
    <w:rsid w:val="00325A31"/>
    <w:rsid w:val="00344576"/>
    <w:rsid w:val="0035443B"/>
    <w:rsid w:val="00406262"/>
    <w:rsid w:val="00410277"/>
    <w:rsid w:val="00482A2F"/>
    <w:rsid w:val="00486EAD"/>
    <w:rsid w:val="00490416"/>
    <w:rsid w:val="004A340F"/>
    <w:rsid w:val="004C396E"/>
    <w:rsid w:val="005A6C09"/>
    <w:rsid w:val="006E40D1"/>
    <w:rsid w:val="006E5BBE"/>
    <w:rsid w:val="00731328"/>
    <w:rsid w:val="00833387"/>
    <w:rsid w:val="008863EA"/>
    <w:rsid w:val="00891A4B"/>
    <w:rsid w:val="008B5654"/>
    <w:rsid w:val="0092195B"/>
    <w:rsid w:val="009505C8"/>
    <w:rsid w:val="009C561B"/>
    <w:rsid w:val="00A24B70"/>
    <w:rsid w:val="00AB1323"/>
    <w:rsid w:val="00AC0EF6"/>
    <w:rsid w:val="00BB26BC"/>
    <w:rsid w:val="00C54962"/>
    <w:rsid w:val="00CA3ADC"/>
    <w:rsid w:val="00CC2D31"/>
    <w:rsid w:val="00CC727C"/>
    <w:rsid w:val="00D12111"/>
    <w:rsid w:val="00D912DA"/>
    <w:rsid w:val="00D92467"/>
    <w:rsid w:val="00EA0B35"/>
    <w:rsid w:val="00EA32ED"/>
    <w:rsid w:val="00EA652A"/>
    <w:rsid w:val="00F80582"/>
    <w:rsid w:val="00F934E0"/>
    <w:rsid w:val="00FA2EDB"/>
    <w:rsid w:val="00FD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7A13"/>
  <w15:chartTrackingRefBased/>
  <w15:docId w15:val="{D0B77CCE-C5FE-4F4A-8BA0-317E3347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0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0D1"/>
    <w:pPr>
      <w:spacing w:after="8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D1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0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r.uk/economic-and-fiscal-outlooks/" TargetMode="External"/><Relationship Id="rId13" Type="http://schemas.openxmlformats.org/officeDocument/2006/relationships/hyperlink" Target="https://ifs.org.uk/publications/capital-gains-tax-refor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rdslibrary.parliament.uk/economic-growth-inflation-and-productivity/" TargetMode="External"/><Relationship Id="rId12" Type="http://schemas.openxmlformats.org/officeDocument/2006/relationships/hyperlink" Target="https://www.bbc.co.uk/news/uk-politics-6569559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whitehouse.gov/briefing-room/blog/2024/11/26/the-biden-harris-administration-has-catalyzed-1-trillion-in-new-u-s-private-sector-clean-energy-semiconductor-and-other-advanced-manufacturing-investment/" TargetMode="External"/><Relationship Id="rId5" Type="http://schemas.openxmlformats.org/officeDocument/2006/relationships/hyperlink" Target="https://lordslibrary.parliament.uk/economic-growth-inflation-and-productivit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br.uk/economic-and-fiscal-outlooks/" TargetMode="External"/><Relationship Id="rId4" Type="http://schemas.openxmlformats.org/officeDocument/2006/relationships/hyperlink" Target="https://www.gov.uk/government/news/chancellor-unveils-a-new-era-for-economic-growth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taxpolicy.org.uk/2024/10/26/the-publics-surprising-choice-of-tax-increase-and-why-we-should-ignore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8</cp:revision>
  <dcterms:created xsi:type="dcterms:W3CDTF">2024-11-26T17:05:00Z</dcterms:created>
  <dcterms:modified xsi:type="dcterms:W3CDTF">2024-11-28T13:47:00Z</dcterms:modified>
</cp:coreProperties>
</file>