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DE6723" w14:textId="31037CCC" w:rsidR="00773113" w:rsidRPr="00B41654" w:rsidRDefault="00D62EF0" w:rsidP="002B78DD">
      <w:pPr>
        <w:spacing w:line="312" w:lineRule="auto"/>
        <w:jc w:val="center"/>
        <w:rPr>
          <w:rFonts w:eastAsia="Trebuchet MS" w:cs="Trebuchet MS"/>
          <w:b/>
          <w:bCs/>
          <w:color w:val="833303"/>
          <w:szCs w:val="22"/>
          <w:u w:val="single"/>
        </w:rPr>
      </w:pPr>
      <w:r w:rsidRPr="00B41654">
        <w:rPr>
          <w:rFonts w:eastAsia="Trebuchet MS" w:cs="Trebuchet MS"/>
          <w:b/>
          <w:bCs/>
          <w:color w:val="833303"/>
          <w:szCs w:val="22"/>
          <w:u w:val="single"/>
        </w:rPr>
        <w:t xml:space="preserve">Information about </w:t>
      </w:r>
      <w:r w:rsidR="00773113" w:rsidRPr="00B41654">
        <w:rPr>
          <w:rFonts w:eastAsia="Trebuchet MS" w:cs="Trebuchet MS"/>
          <w:b/>
          <w:bCs/>
          <w:color w:val="833303"/>
          <w:szCs w:val="22"/>
          <w:u w:val="single"/>
        </w:rPr>
        <w:t xml:space="preserve">Market </w:t>
      </w:r>
      <w:r w:rsidRPr="00B41654">
        <w:rPr>
          <w:rFonts w:eastAsia="Trebuchet MS" w:cs="Trebuchet MS"/>
          <w:b/>
          <w:bCs/>
          <w:color w:val="833303"/>
          <w:szCs w:val="22"/>
          <w:u w:val="single"/>
        </w:rPr>
        <w:t>A</w:t>
      </w:r>
      <w:r w:rsidR="00773113" w:rsidRPr="00B41654">
        <w:rPr>
          <w:rFonts w:eastAsia="Trebuchet MS" w:cs="Trebuchet MS"/>
          <w:b/>
          <w:bCs/>
          <w:color w:val="833303"/>
          <w:szCs w:val="22"/>
          <w:u w:val="single"/>
        </w:rPr>
        <w:t xml:space="preserve">ssessment </w:t>
      </w:r>
      <w:r w:rsidRPr="00B41654">
        <w:rPr>
          <w:rFonts w:eastAsia="Trebuchet MS" w:cs="Trebuchet MS"/>
          <w:b/>
          <w:bCs/>
          <w:color w:val="833303"/>
          <w:szCs w:val="22"/>
          <w:u w:val="single"/>
        </w:rPr>
        <w:t>- C</w:t>
      </w:r>
      <w:r w:rsidR="00773113" w:rsidRPr="00B41654">
        <w:rPr>
          <w:rFonts w:eastAsia="Trebuchet MS" w:cs="Trebuchet MS"/>
          <w:b/>
          <w:bCs/>
          <w:color w:val="833303"/>
          <w:szCs w:val="22"/>
          <w:u w:val="single"/>
        </w:rPr>
        <w:t xml:space="preserve">onnectivity </w:t>
      </w:r>
      <w:r w:rsidRPr="00B41654">
        <w:rPr>
          <w:rFonts w:eastAsia="Trebuchet MS" w:cs="Trebuchet MS"/>
          <w:b/>
          <w:bCs/>
          <w:color w:val="833303"/>
          <w:szCs w:val="22"/>
          <w:u w:val="single"/>
        </w:rPr>
        <w:t>V</w:t>
      </w:r>
      <w:r w:rsidR="00773113" w:rsidRPr="00B41654">
        <w:rPr>
          <w:rFonts w:eastAsia="Trebuchet MS" w:cs="Trebuchet MS"/>
          <w:b/>
          <w:bCs/>
          <w:color w:val="833303"/>
          <w:szCs w:val="22"/>
          <w:u w:val="single"/>
        </w:rPr>
        <w:t>ouchers</w:t>
      </w:r>
    </w:p>
    <w:p w14:paraId="02D65A7E" w14:textId="77777777" w:rsidR="00E907F4" w:rsidRDefault="001C4EB2" w:rsidP="002B78DD">
      <w:pPr>
        <w:spacing w:line="312" w:lineRule="auto"/>
        <w:jc w:val="both"/>
        <w:rPr>
          <w:rFonts w:eastAsia="Trebuchet MS" w:cs="Trebuchet MS"/>
          <w:szCs w:val="22"/>
        </w:rPr>
      </w:pPr>
      <w:r w:rsidRPr="00A30172">
        <w:rPr>
          <w:rFonts w:eastAsia="Trebuchet MS" w:cs="Trebuchet MS"/>
          <w:szCs w:val="22"/>
        </w:rPr>
        <w:t>The</w:t>
      </w:r>
      <w:r w:rsidR="00AA74EF" w:rsidRPr="00A30172">
        <w:rPr>
          <w:rFonts w:eastAsia="Trebuchet MS" w:cs="Trebuchet MS"/>
          <w:szCs w:val="22"/>
        </w:rPr>
        <w:t xml:space="preserve"> currently applicable </w:t>
      </w:r>
      <w:r w:rsidR="006F68B3" w:rsidRPr="00A30172">
        <w:rPr>
          <w:rFonts w:eastAsia="Trebuchet MS" w:cs="Trebuchet MS"/>
          <w:szCs w:val="22"/>
        </w:rPr>
        <w:t xml:space="preserve">EU </w:t>
      </w:r>
      <w:r w:rsidR="00A802D7" w:rsidRPr="00A30172">
        <w:rPr>
          <w:rFonts w:eastAsia="Trebuchet MS" w:cs="Trebuchet MS"/>
          <w:szCs w:val="22"/>
        </w:rPr>
        <w:t xml:space="preserve">Broadband </w:t>
      </w:r>
      <w:r w:rsidR="006F68B3" w:rsidRPr="00A30172">
        <w:rPr>
          <w:rFonts w:eastAsia="Trebuchet MS" w:cs="Trebuchet MS"/>
          <w:szCs w:val="22"/>
        </w:rPr>
        <w:t xml:space="preserve">Guidelines </w:t>
      </w:r>
      <w:r w:rsidR="00A802D7" w:rsidRPr="00A30172">
        <w:rPr>
          <w:rFonts w:eastAsia="Trebuchet MS" w:cs="Trebuchet MS"/>
          <w:szCs w:val="22"/>
        </w:rPr>
        <w:t xml:space="preserve">date from 2013 and do not contain </w:t>
      </w:r>
      <w:r w:rsidRPr="00A30172">
        <w:rPr>
          <w:rFonts w:eastAsia="Trebuchet MS" w:cs="Trebuchet MS"/>
          <w:szCs w:val="22"/>
        </w:rPr>
        <w:t xml:space="preserve">specific rules </w:t>
      </w:r>
      <w:r w:rsidR="00A802D7" w:rsidRPr="00A30172">
        <w:rPr>
          <w:rFonts w:eastAsia="Trebuchet MS" w:cs="Trebuchet MS"/>
          <w:szCs w:val="22"/>
        </w:rPr>
        <w:t xml:space="preserve">regarding connectivity vouchers. </w:t>
      </w:r>
    </w:p>
    <w:p w14:paraId="641132E3" w14:textId="02DA114D" w:rsidR="00E907F4" w:rsidRDefault="00BE71A9" w:rsidP="002B78DD">
      <w:pPr>
        <w:spacing w:line="312" w:lineRule="auto"/>
        <w:jc w:val="both"/>
        <w:rPr>
          <w:rFonts w:eastAsia="Trebuchet MS" w:cs="Trebuchet MS"/>
          <w:szCs w:val="22"/>
        </w:rPr>
      </w:pPr>
      <w:r w:rsidRPr="00A30172">
        <w:rPr>
          <w:rFonts w:eastAsia="Trebuchet MS" w:cs="Trebuchet MS"/>
          <w:szCs w:val="22"/>
        </w:rPr>
        <w:t xml:space="preserve">Guidance </w:t>
      </w:r>
      <w:r w:rsidR="006140D6" w:rsidRPr="00A30172">
        <w:rPr>
          <w:rFonts w:eastAsia="Trebuchet MS" w:cs="Trebuchet MS"/>
          <w:szCs w:val="22"/>
        </w:rPr>
        <w:t xml:space="preserve">on how to ensure compatibility of a demand side voucher scheme </w:t>
      </w:r>
      <w:r w:rsidRPr="00A30172">
        <w:rPr>
          <w:rFonts w:eastAsia="Trebuchet MS" w:cs="Trebuchet MS"/>
          <w:szCs w:val="22"/>
        </w:rPr>
        <w:t xml:space="preserve">can only be obtained from </w:t>
      </w:r>
      <w:r w:rsidR="00C30C3D" w:rsidRPr="00A30172">
        <w:rPr>
          <w:rFonts w:eastAsia="Trebuchet MS" w:cs="Trebuchet MS"/>
          <w:szCs w:val="22"/>
        </w:rPr>
        <w:t>the</w:t>
      </w:r>
      <w:r w:rsidR="00D04B59" w:rsidRPr="00A30172">
        <w:rPr>
          <w:rFonts w:eastAsia="Trebuchet MS" w:cs="Trebuchet MS"/>
          <w:szCs w:val="22"/>
        </w:rPr>
        <w:t xml:space="preserve"> upcoming</w:t>
      </w:r>
      <w:r w:rsidR="00C30C3D" w:rsidRPr="00A30172">
        <w:rPr>
          <w:rFonts w:eastAsia="Trebuchet MS" w:cs="Trebuchet MS"/>
          <w:szCs w:val="22"/>
        </w:rPr>
        <w:t xml:space="preserve"> Broadband Guidelines</w:t>
      </w:r>
      <w:r w:rsidR="005F21CA" w:rsidRPr="00A30172">
        <w:rPr>
          <w:rFonts w:eastAsia="Trebuchet MS" w:cs="Trebuchet MS"/>
          <w:szCs w:val="22"/>
        </w:rPr>
        <w:t xml:space="preserve">. </w:t>
      </w:r>
      <w:r w:rsidR="00287FF2" w:rsidRPr="00A30172">
        <w:rPr>
          <w:rFonts w:eastAsia="Trebuchet MS" w:cs="Trebuchet MS"/>
          <w:szCs w:val="22"/>
        </w:rPr>
        <w:t xml:space="preserve">Further guidance can be found in a </w:t>
      </w:r>
      <w:hyperlink r:id="rId8" w:history="1">
        <w:r w:rsidR="00287FF2" w:rsidRPr="00A30172">
          <w:rPr>
            <w:rStyle w:val="Hyperlink"/>
            <w:rFonts w:eastAsia="Trebuchet MS" w:cs="Trebuchet MS"/>
            <w:szCs w:val="22"/>
          </w:rPr>
          <w:t>decision</w:t>
        </w:r>
      </w:hyperlink>
      <w:r w:rsidR="00287FF2" w:rsidRPr="00A30172">
        <w:rPr>
          <w:rFonts w:eastAsia="Trebuchet MS" w:cs="Trebuchet MS"/>
          <w:szCs w:val="22"/>
        </w:rPr>
        <w:t xml:space="preserve"> adopted by the Commission regarding a voucher scheme implemented in Italy. </w:t>
      </w:r>
    </w:p>
    <w:p w14:paraId="26080183" w14:textId="3E191A42" w:rsidR="0090186E" w:rsidRPr="00A30172" w:rsidRDefault="005F21CA" w:rsidP="002B78DD">
      <w:pPr>
        <w:spacing w:line="312" w:lineRule="auto"/>
        <w:jc w:val="both"/>
        <w:rPr>
          <w:rFonts w:eastAsia="Trebuchet MS" w:cs="Trebuchet MS"/>
          <w:szCs w:val="22"/>
        </w:rPr>
      </w:pPr>
      <w:r w:rsidRPr="00A30172">
        <w:rPr>
          <w:rFonts w:eastAsia="Trebuchet MS" w:cs="Trebuchet MS"/>
          <w:szCs w:val="22"/>
        </w:rPr>
        <w:t xml:space="preserve">Reference must be made in particular to </w:t>
      </w:r>
      <w:r w:rsidR="00A44C5A" w:rsidRPr="00A30172">
        <w:rPr>
          <w:rFonts w:eastAsia="Trebuchet MS" w:cs="Trebuchet MS"/>
          <w:szCs w:val="22"/>
        </w:rPr>
        <w:t>para. 198</w:t>
      </w:r>
      <w:r w:rsidRPr="00A30172">
        <w:rPr>
          <w:rFonts w:eastAsia="Trebuchet MS" w:cs="Trebuchet MS"/>
          <w:szCs w:val="22"/>
        </w:rPr>
        <w:t xml:space="preserve"> </w:t>
      </w:r>
      <w:r w:rsidR="00BB1610" w:rsidRPr="00A30172">
        <w:rPr>
          <w:rFonts w:eastAsia="Trebuchet MS" w:cs="Trebuchet MS"/>
          <w:szCs w:val="22"/>
        </w:rPr>
        <w:t>of the upcoming Broadband</w:t>
      </w:r>
      <w:r w:rsidR="00B04F37" w:rsidRPr="00A30172">
        <w:rPr>
          <w:rFonts w:eastAsia="Trebuchet MS" w:cs="Trebuchet MS"/>
          <w:szCs w:val="22"/>
        </w:rPr>
        <w:t xml:space="preserve"> Guidelines </w:t>
      </w:r>
      <w:r w:rsidRPr="00A30172">
        <w:rPr>
          <w:rFonts w:eastAsia="Trebuchet MS" w:cs="Trebuchet MS"/>
          <w:szCs w:val="22"/>
        </w:rPr>
        <w:t xml:space="preserve">which </w:t>
      </w:r>
      <w:r w:rsidR="00EF0E26" w:rsidRPr="00A30172">
        <w:rPr>
          <w:rFonts w:eastAsia="Trebuchet MS" w:cs="Trebuchet MS"/>
          <w:szCs w:val="22"/>
        </w:rPr>
        <w:t>concer</w:t>
      </w:r>
      <w:r w:rsidR="00CE62CF" w:rsidRPr="00A30172">
        <w:rPr>
          <w:rFonts w:eastAsia="Trebuchet MS" w:cs="Trebuchet MS"/>
          <w:szCs w:val="22"/>
        </w:rPr>
        <w:t>ns</w:t>
      </w:r>
      <w:r w:rsidR="00EF0E26" w:rsidRPr="00A30172">
        <w:rPr>
          <w:rFonts w:eastAsia="Trebuchet MS" w:cs="Trebuchet MS"/>
          <w:szCs w:val="22"/>
        </w:rPr>
        <w:t xml:space="preserve"> </w:t>
      </w:r>
      <w:r w:rsidR="00CE62CF" w:rsidRPr="00A30172">
        <w:rPr>
          <w:rFonts w:eastAsia="Trebuchet MS" w:cs="Trebuchet MS"/>
          <w:szCs w:val="22"/>
        </w:rPr>
        <w:t>the risk that a voucher scheme</w:t>
      </w:r>
      <w:r w:rsidR="00B602FC" w:rsidRPr="00A30172">
        <w:rPr>
          <w:rFonts w:eastAsia="Trebuchet MS" w:cs="Trebuchet MS"/>
          <w:szCs w:val="22"/>
        </w:rPr>
        <w:t xml:space="preserve"> </w:t>
      </w:r>
      <w:r w:rsidR="003933A5" w:rsidRPr="00A30172">
        <w:rPr>
          <w:rFonts w:eastAsia="Trebuchet MS" w:cs="Trebuchet MS"/>
          <w:szCs w:val="22"/>
        </w:rPr>
        <w:t xml:space="preserve">may </w:t>
      </w:r>
      <w:r w:rsidR="00EC3CC1" w:rsidRPr="00A30172">
        <w:rPr>
          <w:rFonts w:eastAsia="Trebuchet MS" w:cs="Trebuchet MS"/>
          <w:szCs w:val="22"/>
        </w:rPr>
        <w:t>unduly distort competition. To</w:t>
      </w:r>
      <w:r w:rsidR="00B651FA" w:rsidRPr="00A30172">
        <w:rPr>
          <w:rFonts w:eastAsia="Trebuchet MS" w:cs="Trebuchet MS"/>
          <w:szCs w:val="22"/>
        </w:rPr>
        <w:t xml:space="preserve"> limit this risk</w:t>
      </w:r>
      <w:r w:rsidR="00686584" w:rsidRPr="00A30172">
        <w:rPr>
          <w:rFonts w:eastAsia="Trebuchet MS" w:cs="Trebuchet MS"/>
          <w:szCs w:val="22"/>
        </w:rPr>
        <w:t>,</w:t>
      </w:r>
      <w:r w:rsidR="00C30C3D" w:rsidRPr="00A30172">
        <w:rPr>
          <w:rFonts w:eastAsia="Trebuchet MS" w:cs="Trebuchet MS"/>
          <w:szCs w:val="22"/>
        </w:rPr>
        <w:t xml:space="preserve"> </w:t>
      </w:r>
      <w:r w:rsidR="00AE4BC6" w:rsidRPr="00A30172">
        <w:rPr>
          <w:rFonts w:eastAsia="Trebuchet MS" w:cs="Trebuchet MS"/>
          <w:szCs w:val="22"/>
        </w:rPr>
        <w:t>Member States must carry</w:t>
      </w:r>
      <w:r w:rsidR="00085452" w:rsidRPr="00A30172">
        <w:rPr>
          <w:rFonts w:eastAsia="Trebuchet MS" w:cs="Trebuchet MS"/>
          <w:szCs w:val="22"/>
        </w:rPr>
        <w:t xml:space="preserve"> out a market assessment</w:t>
      </w:r>
      <w:r w:rsidR="008430E1" w:rsidRPr="00A30172">
        <w:rPr>
          <w:rFonts w:eastAsia="Trebuchet MS" w:cs="Trebuchet MS"/>
          <w:szCs w:val="22"/>
        </w:rPr>
        <w:t xml:space="preserve"> which</w:t>
      </w:r>
      <w:r w:rsidR="000F3FF1" w:rsidRPr="00A30172">
        <w:rPr>
          <w:rFonts w:eastAsia="Trebuchet MS" w:cs="Trebuchet MS"/>
          <w:szCs w:val="22"/>
        </w:rPr>
        <w:t xml:space="preserve"> </w:t>
      </w:r>
      <w:r w:rsidR="005C60C2" w:rsidRPr="00A30172">
        <w:rPr>
          <w:rFonts w:eastAsia="Trebuchet MS" w:cs="Trebuchet MS"/>
          <w:szCs w:val="22"/>
        </w:rPr>
        <w:t>should include the following points:</w:t>
      </w:r>
    </w:p>
    <w:p w14:paraId="7EC96B66" w14:textId="338CD0C2" w:rsidR="00A518BC" w:rsidRPr="00B41654" w:rsidRDefault="00A518BC" w:rsidP="002B78DD">
      <w:pPr>
        <w:pStyle w:val="ListParagraph"/>
        <w:numPr>
          <w:ilvl w:val="0"/>
          <w:numId w:val="4"/>
        </w:numPr>
        <w:spacing w:line="312" w:lineRule="auto"/>
        <w:ind w:left="284"/>
        <w:contextualSpacing w:val="0"/>
        <w:jc w:val="both"/>
        <w:rPr>
          <w:rFonts w:eastAsia="Trebuchet MS" w:cs="Trebuchet MS"/>
          <w:color w:val="833303"/>
          <w:szCs w:val="22"/>
        </w:rPr>
      </w:pPr>
      <w:r w:rsidRPr="00B41654">
        <w:rPr>
          <w:rFonts w:eastAsia="Trebuchet MS" w:cs="Trebuchet MS"/>
          <w:color w:val="833303"/>
          <w:szCs w:val="22"/>
        </w:rPr>
        <w:t xml:space="preserve">Identification of the providers present in the area able to provide the </w:t>
      </w:r>
      <w:r w:rsidR="006B2427" w:rsidRPr="00B41654">
        <w:rPr>
          <w:color w:val="833303"/>
          <w:szCs w:val="22"/>
        </w:rPr>
        <w:t xml:space="preserve">eligible connection </w:t>
      </w:r>
      <w:r w:rsidR="00B64083" w:rsidRPr="00B41654">
        <w:rPr>
          <w:rFonts w:eastAsia="Trebuchet MS" w:cs="Trebuchet MS"/>
          <w:color w:val="833303"/>
          <w:szCs w:val="22"/>
        </w:rPr>
        <w:t>speeds envisioned by the voucher</w:t>
      </w:r>
      <w:r w:rsidR="001C6E9C" w:rsidRPr="00B41654">
        <w:rPr>
          <w:rFonts w:eastAsia="Trebuchet MS" w:cs="Trebuchet MS"/>
          <w:color w:val="833303"/>
          <w:szCs w:val="22"/>
        </w:rPr>
        <w:t>.</w:t>
      </w:r>
    </w:p>
    <w:p w14:paraId="078B9A26" w14:textId="77777777" w:rsidR="00536712" w:rsidRDefault="007E4966" w:rsidP="002B78DD">
      <w:pPr>
        <w:spacing w:line="312" w:lineRule="auto"/>
        <w:ind w:left="284"/>
        <w:jc w:val="both"/>
        <w:rPr>
          <w:rFonts w:eastAsia="Trebuchet MS" w:cs="Trebuchet MS"/>
          <w:szCs w:val="22"/>
        </w:rPr>
      </w:pPr>
      <w:r w:rsidRPr="00A30172">
        <w:rPr>
          <w:rFonts w:eastAsia="Trebuchet MS" w:cs="Trebuchet MS"/>
          <w:szCs w:val="22"/>
          <w:u w:val="single"/>
        </w:rPr>
        <w:t>What is asked here:</w:t>
      </w:r>
      <w:r w:rsidRPr="00A30172">
        <w:rPr>
          <w:rFonts w:eastAsia="Trebuchet MS" w:cs="Trebuchet MS"/>
          <w:szCs w:val="22"/>
        </w:rPr>
        <w:t xml:space="preserve"> </w:t>
      </w:r>
    </w:p>
    <w:p w14:paraId="3D70686A" w14:textId="7A897CF4" w:rsidR="007E4966" w:rsidRPr="00A30172" w:rsidRDefault="00E6173F" w:rsidP="002B78DD">
      <w:pPr>
        <w:spacing w:line="312" w:lineRule="auto"/>
        <w:ind w:left="284"/>
        <w:jc w:val="both"/>
        <w:rPr>
          <w:rFonts w:eastAsia="Trebuchet MS"/>
          <w:szCs w:val="22"/>
          <w:lang w:val="en-US"/>
        </w:rPr>
      </w:pPr>
      <w:r w:rsidRPr="00A30172">
        <w:rPr>
          <w:rFonts w:eastAsia="Trebuchet MS" w:cs="Trebuchet MS"/>
          <w:szCs w:val="22"/>
        </w:rPr>
        <w:t>List the</w:t>
      </w:r>
      <w:r w:rsidR="007E4966" w:rsidRPr="00A30172">
        <w:rPr>
          <w:rFonts w:eastAsia="Trebuchet MS" w:cs="Trebuchet MS"/>
          <w:szCs w:val="22"/>
        </w:rPr>
        <w:t xml:space="preserve"> operators in the intervention areas </w:t>
      </w:r>
      <w:r w:rsidR="00F42395" w:rsidRPr="00A30172">
        <w:rPr>
          <w:rFonts w:eastAsia="Trebuchet MS" w:cs="Trebuchet MS"/>
          <w:szCs w:val="22"/>
        </w:rPr>
        <w:t>cap</w:t>
      </w:r>
      <w:r w:rsidR="007E4966" w:rsidRPr="00A30172">
        <w:rPr>
          <w:rFonts w:eastAsia="Trebuchet MS" w:cs="Trebuchet MS"/>
          <w:szCs w:val="22"/>
        </w:rPr>
        <w:t xml:space="preserve">able </w:t>
      </w:r>
      <w:r w:rsidR="00F42395" w:rsidRPr="00A30172">
        <w:rPr>
          <w:rFonts w:eastAsia="Trebuchet MS" w:cs="Trebuchet MS"/>
          <w:szCs w:val="22"/>
        </w:rPr>
        <w:t xml:space="preserve">of </w:t>
      </w:r>
      <w:r w:rsidR="007E4966" w:rsidRPr="00A30172">
        <w:rPr>
          <w:iCs/>
          <w:szCs w:val="22"/>
          <w:lang w:val="en-US"/>
        </w:rPr>
        <w:t>reliably provid</w:t>
      </w:r>
      <w:r w:rsidR="001C6E9C" w:rsidRPr="00A30172">
        <w:rPr>
          <w:iCs/>
          <w:szCs w:val="22"/>
          <w:lang w:val="en-US"/>
        </w:rPr>
        <w:t>ing</w:t>
      </w:r>
      <w:r w:rsidR="007E4966" w:rsidRPr="00A30172">
        <w:rPr>
          <w:iCs/>
          <w:szCs w:val="22"/>
          <w:lang w:val="en-US"/>
        </w:rPr>
        <w:t xml:space="preserve"> 1 Gbps download and 250 Mbps upload</w:t>
      </w:r>
      <w:r w:rsidR="001C6E9C" w:rsidRPr="00A30172">
        <w:rPr>
          <w:iCs/>
          <w:szCs w:val="22"/>
          <w:lang w:val="en-US"/>
        </w:rPr>
        <w:t xml:space="preserve"> speeds.</w:t>
      </w:r>
    </w:p>
    <w:p w14:paraId="2022F896" w14:textId="4358A258" w:rsidR="00673691" w:rsidRPr="00A30172" w:rsidRDefault="00673691" w:rsidP="002B78DD">
      <w:pPr>
        <w:spacing w:line="312" w:lineRule="auto"/>
        <w:ind w:left="284"/>
        <w:jc w:val="both"/>
        <w:rPr>
          <w:rFonts w:eastAsia="Trebuchet MS" w:cs="Trebuchet MS"/>
          <w:szCs w:val="22"/>
        </w:rPr>
      </w:pPr>
      <w:r w:rsidRPr="00A30172">
        <w:rPr>
          <w:rFonts w:eastAsia="Trebuchet MS" w:cs="Trebuchet MS"/>
          <w:szCs w:val="22"/>
        </w:rPr>
        <w:t>An explanation on the kind of service each</w:t>
      </w:r>
      <w:r w:rsidR="005D0387" w:rsidRPr="00A30172">
        <w:rPr>
          <w:rFonts w:eastAsia="Trebuchet MS" w:cs="Trebuchet MS"/>
          <w:szCs w:val="22"/>
        </w:rPr>
        <w:t xml:space="preserve"> operator</w:t>
      </w:r>
      <w:r w:rsidRPr="00A30172">
        <w:rPr>
          <w:rFonts w:eastAsia="Trebuchet MS" w:cs="Trebuchet MS"/>
          <w:szCs w:val="22"/>
        </w:rPr>
        <w:t xml:space="preserve"> is able to provide, including technology used and </w:t>
      </w:r>
      <w:r w:rsidR="008D3099" w:rsidRPr="00A30172">
        <w:rPr>
          <w:rFonts w:eastAsia="Trebuchet MS" w:cs="Trebuchet MS"/>
          <w:szCs w:val="22"/>
        </w:rPr>
        <w:t>envisaged</w:t>
      </w:r>
      <w:r w:rsidR="007323AD" w:rsidRPr="00A30172">
        <w:rPr>
          <w:rFonts w:eastAsia="Trebuchet MS" w:cs="Trebuchet MS"/>
          <w:szCs w:val="22"/>
        </w:rPr>
        <w:t xml:space="preserve">, </w:t>
      </w:r>
      <w:r w:rsidR="000B67B5" w:rsidRPr="00A30172">
        <w:rPr>
          <w:rFonts w:eastAsia="Trebuchet MS" w:cs="Trebuchet MS"/>
          <w:szCs w:val="22"/>
        </w:rPr>
        <w:t xml:space="preserve">an explanation on their </w:t>
      </w:r>
      <w:r w:rsidR="007323AD" w:rsidRPr="00A30172">
        <w:rPr>
          <w:rFonts w:eastAsia="Trebuchet MS" w:cs="Trebuchet MS"/>
          <w:szCs w:val="22"/>
        </w:rPr>
        <w:t xml:space="preserve">capacity to provide the </w:t>
      </w:r>
      <w:r w:rsidR="000B67B5" w:rsidRPr="00A30172">
        <w:rPr>
          <w:rFonts w:eastAsia="Trebuchet MS" w:cs="Trebuchet MS"/>
          <w:szCs w:val="22"/>
        </w:rPr>
        <w:t xml:space="preserve">speeds foreseen in the voucher scheme and how they </w:t>
      </w:r>
      <w:r w:rsidR="008E4CD6" w:rsidRPr="00A30172">
        <w:rPr>
          <w:rFonts w:eastAsia="Trebuchet MS" w:cs="Trebuchet MS"/>
          <w:szCs w:val="22"/>
        </w:rPr>
        <w:t xml:space="preserve">reach this capacity, i.e. with their own networks or via wholesale agreements, in which case further explanations regarding </w:t>
      </w:r>
      <w:r w:rsidR="00517143" w:rsidRPr="00A30172">
        <w:rPr>
          <w:rFonts w:eastAsia="Trebuchet MS" w:cs="Trebuchet MS"/>
          <w:szCs w:val="22"/>
        </w:rPr>
        <w:t xml:space="preserve">access </w:t>
      </w:r>
      <w:r w:rsidR="008E4CD6" w:rsidRPr="00A30172">
        <w:rPr>
          <w:rFonts w:eastAsia="Trebuchet MS" w:cs="Trebuchet MS"/>
          <w:szCs w:val="22"/>
        </w:rPr>
        <w:t xml:space="preserve">conditions will have to be provided. </w:t>
      </w:r>
    </w:p>
    <w:p w14:paraId="38DFDC49" w14:textId="77777777" w:rsidR="00536712" w:rsidRDefault="007E4966" w:rsidP="002B78DD">
      <w:pPr>
        <w:spacing w:line="312" w:lineRule="auto"/>
        <w:ind w:left="284"/>
        <w:jc w:val="both"/>
        <w:rPr>
          <w:rFonts w:eastAsia="Trebuchet MS" w:cs="Trebuchet MS"/>
          <w:szCs w:val="22"/>
        </w:rPr>
      </w:pPr>
      <w:r w:rsidRPr="00A30172">
        <w:rPr>
          <w:rFonts w:eastAsia="Trebuchet MS" w:cs="Trebuchet MS"/>
          <w:szCs w:val="22"/>
          <w:u w:val="single"/>
        </w:rPr>
        <w:t>You should know:</w:t>
      </w:r>
      <w:r w:rsidRPr="00A30172">
        <w:rPr>
          <w:rFonts w:eastAsia="Trebuchet MS" w:cs="Trebuchet MS"/>
          <w:szCs w:val="22"/>
        </w:rPr>
        <w:t xml:space="preserve"> </w:t>
      </w:r>
    </w:p>
    <w:p w14:paraId="36F679D9" w14:textId="126B4918" w:rsidR="007466AF" w:rsidRPr="00A30172" w:rsidRDefault="007E4966" w:rsidP="002B78DD">
      <w:pPr>
        <w:spacing w:line="312" w:lineRule="auto"/>
        <w:ind w:left="284"/>
        <w:jc w:val="both"/>
        <w:rPr>
          <w:rFonts w:eastAsia="Trebuchet MS" w:cs="Trebuchet MS"/>
          <w:szCs w:val="22"/>
          <w:u w:val="single"/>
        </w:rPr>
      </w:pPr>
      <w:r w:rsidRPr="00A30172">
        <w:rPr>
          <w:rFonts w:eastAsia="Trebuchet MS" w:cs="Trebuchet MS"/>
          <w:szCs w:val="22"/>
        </w:rPr>
        <w:t>F</w:t>
      </w:r>
      <w:r w:rsidR="002C6721" w:rsidRPr="00A30172">
        <w:rPr>
          <w:rFonts w:eastAsia="Trebuchet MS" w:cs="Trebuchet MS"/>
          <w:szCs w:val="22"/>
        </w:rPr>
        <w:t xml:space="preserve">or the </w:t>
      </w:r>
      <w:r w:rsidRPr="00A30172">
        <w:rPr>
          <w:rFonts w:eastAsia="Trebuchet MS" w:cs="Trebuchet MS"/>
          <w:szCs w:val="22"/>
        </w:rPr>
        <w:t>purposes of the scheme, a</w:t>
      </w:r>
      <w:r w:rsidR="00D92769" w:rsidRPr="00A30172">
        <w:rPr>
          <w:rFonts w:eastAsia="Trebuchet MS" w:cs="Trebuchet MS"/>
          <w:szCs w:val="22"/>
        </w:rPr>
        <w:t xml:space="preserve"> list </w:t>
      </w:r>
      <w:r w:rsidR="00032A7C" w:rsidRPr="00A30172">
        <w:rPr>
          <w:rFonts w:eastAsia="Trebuchet MS" w:cs="Trebuchet MS"/>
          <w:szCs w:val="22"/>
        </w:rPr>
        <w:t xml:space="preserve">of </w:t>
      </w:r>
      <w:r w:rsidR="00004D62" w:rsidRPr="00A30172">
        <w:rPr>
          <w:rFonts w:eastAsia="Trebuchet MS" w:cs="Trebuchet MS"/>
          <w:szCs w:val="22"/>
        </w:rPr>
        <w:t xml:space="preserve">these operators </w:t>
      </w:r>
      <w:r w:rsidR="006B65E3" w:rsidRPr="00A30172">
        <w:rPr>
          <w:szCs w:val="22"/>
        </w:rPr>
        <w:t>will</w:t>
      </w:r>
      <w:r w:rsidR="00032A7C" w:rsidRPr="00A30172">
        <w:rPr>
          <w:szCs w:val="22"/>
        </w:rPr>
        <w:t xml:space="preserve"> also have to</w:t>
      </w:r>
      <w:r w:rsidR="006B65E3" w:rsidRPr="00A30172">
        <w:rPr>
          <w:szCs w:val="22"/>
        </w:rPr>
        <w:t xml:space="preserve"> be included in an online registry accessible to the public</w:t>
      </w:r>
      <w:r w:rsidR="002C6721" w:rsidRPr="00A30172">
        <w:rPr>
          <w:szCs w:val="22"/>
        </w:rPr>
        <w:t>.</w:t>
      </w:r>
      <w:r w:rsidR="00EB6F78" w:rsidRPr="00A30172">
        <w:rPr>
          <w:rFonts w:eastAsia="Trebuchet MS" w:cs="Trebuchet MS"/>
          <w:szCs w:val="22"/>
        </w:rPr>
        <w:t xml:space="preserve"> </w:t>
      </w:r>
      <w:r w:rsidR="00CC1E8A" w:rsidRPr="00A30172">
        <w:rPr>
          <w:rFonts w:eastAsia="Trebuchet MS" w:cs="Trebuchet MS"/>
          <w:szCs w:val="22"/>
        </w:rPr>
        <w:t xml:space="preserve"> </w:t>
      </w:r>
    </w:p>
    <w:p w14:paraId="5D8EDA13" w14:textId="7C07A610" w:rsidR="006A3214" w:rsidRPr="00B41654" w:rsidRDefault="00B64083" w:rsidP="002B78DD">
      <w:pPr>
        <w:pStyle w:val="ListParagraph"/>
        <w:numPr>
          <w:ilvl w:val="0"/>
          <w:numId w:val="4"/>
        </w:numPr>
        <w:spacing w:line="312" w:lineRule="auto"/>
        <w:ind w:left="284"/>
        <w:contextualSpacing w:val="0"/>
        <w:jc w:val="both"/>
        <w:rPr>
          <w:rFonts w:eastAsia="Trebuchet MS" w:cs="Trebuchet MS"/>
          <w:color w:val="833303"/>
          <w:szCs w:val="22"/>
        </w:rPr>
      </w:pPr>
      <w:r w:rsidRPr="00B41654">
        <w:rPr>
          <w:rFonts w:eastAsia="Trebuchet MS" w:cs="Trebuchet MS"/>
          <w:color w:val="833303"/>
          <w:szCs w:val="22"/>
        </w:rPr>
        <w:t>Calculation of the</w:t>
      </w:r>
      <w:r w:rsidR="00B2463C" w:rsidRPr="00B41654">
        <w:rPr>
          <w:rFonts w:eastAsia="Trebuchet MS" w:cs="Trebuchet MS"/>
          <w:color w:val="833303"/>
          <w:szCs w:val="22"/>
        </w:rPr>
        <w:t xml:space="preserve"> market share of these </w:t>
      </w:r>
      <w:r w:rsidR="001920D6" w:rsidRPr="00B41654">
        <w:rPr>
          <w:rFonts w:eastAsia="Trebuchet MS" w:cs="Trebuchet MS"/>
          <w:color w:val="833303"/>
          <w:szCs w:val="22"/>
        </w:rPr>
        <w:t>providers</w:t>
      </w:r>
      <w:r w:rsidR="00B2463C" w:rsidRPr="00B41654">
        <w:rPr>
          <w:rFonts w:eastAsia="Trebuchet MS" w:cs="Trebuchet MS"/>
          <w:color w:val="833303"/>
          <w:szCs w:val="22"/>
        </w:rPr>
        <w:t xml:space="preserve"> </w:t>
      </w:r>
      <w:r w:rsidR="00276334" w:rsidRPr="00B41654">
        <w:rPr>
          <w:rFonts w:eastAsia="Trebuchet MS" w:cs="Trebuchet MS"/>
          <w:color w:val="833303"/>
          <w:szCs w:val="22"/>
        </w:rPr>
        <w:t>i</w:t>
      </w:r>
      <w:r w:rsidRPr="00B41654">
        <w:rPr>
          <w:rFonts w:eastAsia="Trebuchet MS" w:cs="Trebuchet MS"/>
          <w:color w:val="833303"/>
          <w:szCs w:val="22"/>
        </w:rPr>
        <w:t xml:space="preserve">n the </w:t>
      </w:r>
      <w:r w:rsidR="008F5311" w:rsidRPr="00B41654">
        <w:rPr>
          <w:rFonts w:eastAsia="Trebuchet MS" w:cs="Trebuchet MS"/>
          <w:color w:val="833303"/>
          <w:szCs w:val="22"/>
        </w:rPr>
        <w:t xml:space="preserve">fixed </w:t>
      </w:r>
      <w:r w:rsidRPr="00B41654">
        <w:rPr>
          <w:rFonts w:eastAsia="Trebuchet MS" w:cs="Trebuchet MS"/>
          <w:color w:val="833303"/>
          <w:szCs w:val="22"/>
        </w:rPr>
        <w:t>broadband market</w:t>
      </w:r>
      <w:r w:rsidR="001920D6" w:rsidRPr="00B41654">
        <w:rPr>
          <w:rFonts w:eastAsia="Trebuchet MS" w:cs="Trebuchet MS"/>
          <w:color w:val="833303"/>
          <w:szCs w:val="22"/>
        </w:rPr>
        <w:t xml:space="preserve"> in </w:t>
      </w:r>
      <w:r w:rsidR="00665BFB" w:rsidRPr="00B41654">
        <w:rPr>
          <w:rFonts w:eastAsia="Trebuchet MS" w:cs="Trebuchet MS"/>
          <w:color w:val="833303"/>
          <w:szCs w:val="22"/>
        </w:rPr>
        <w:t xml:space="preserve">the intervention areas </w:t>
      </w:r>
      <w:r w:rsidR="00574485" w:rsidRPr="00B41654">
        <w:rPr>
          <w:rFonts w:eastAsia="Trebuchet MS" w:cs="Trebuchet MS"/>
          <w:color w:val="833303"/>
          <w:szCs w:val="22"/>
        </w:rPr>
        <w:t>.</w:t>
      </w:r>
    </w:p>
    <w:p w14:paraId="11D6E0EA" w14:textId="77777777" w:rsidR="00536712" w:rsidRDefault="000712F2" w:rsidP="002B78DD">
      <w:pPr>
        <w:spacing w:line="312" w:lineRule="auto"/>
        <w:ind w:left="284"/>
        <w:jc w:val="both"/>
        <w:rPr>
          <w:rFonts w:eastAsia="Trebuchet MS" w:cs="Trebuchet MS"/>
          <w:szCs w:val="22"/>
        </w:rPr>
      </w:pPr>
      <w:r w:rsidRPr="00A30172">
        <w:rPr>
          <w:rFonts w:eastAsia="Trebuchet MS" w:cs="Trebuchet MS"/>
          <w:szCs w:val="22"/>
          <w:u w:val="single"/>
        </w:rPr>
        <w:t>What is asked here:</w:t>
      </w:r>
      <w:r w:rsidR="002C4004" w:rsidRPr="00A30172">
        <w:rPr>
          <w:rFonts w:eastAsia="Trebuchet MS" w:cs="Trebuchet MS"/>
          <w:szCs w:val="22"/>
        </w:rPr>
        <w:t xml:space="preserve"> </w:t>
      </w:r>
    </w:p>
    <w:p w14:paraId="2FADF3C3" w14:textId="7F4B966D" w:rsidR="000712F2" w:rsidRPr="00A30172" w:rsidRDefault="002C4004" w:rsidP="002B78DD">
      <w:pPr>
        <w:spacing w:line="312" w:lineRule="auto"/>
        <w:ind w:left="284"/>
        <w:jc w:val="both"/>
        <w:rPr>
          <w:rFonts w:eastAsia="Trebuchet MS" w:cs="Trebuchet MS"/>
          <w:szCs w:val="22"/>
        </w:rPr>
      </w:pPr>
      <w:r w:rsidRPr="00A30172">
        <w:rPr>
          <w:rFonts w:eastAsia="Trebuchet MS" w:cs="Trebuchet MS"/>
          <w:szCs w:val="22"/>
        </w:rPr>
        <w:t>List the market shares of each provider</w:t>
      </w:r>
      <w:r w:rsidR="006D558A" w:rsidRPr="00A30172">
        <w:rPr>
          <w:rFonts w:eastAsia="Trebuchet MS" w:cs="Trebuchet MS"/>
          <w:szCs w:val="22"/>
        </w:rPr>
        <w:t xml:space="preserve"> [</w:t>
      </w:r>
      <w:r w:rsidR="009A070D" w:rsidRPr="00A30172">
        <w:rPr>
          <w:rFonts w:eastAsia="Trebuchet MS" w:cs="Trebuchet MS"/>
          <w:szCs w:val="22"/>
        </w:rPr>
        <w:t xml:space="preserve">in the fixed broadband market </w:t>
      </w:r>
      <w:r w:rsidR="009A070D" w:rsidRPr="00B41654">
        <w:rPr>
          <w:rStyle w:val="CommentReference"/>
          <w:sz w:val="22"/>
          <w:szCs w:val="22"/>
        </w:rPr>
        <w:t/>
      </w:r>
      <w:r w:rsidR="009A070D" w:rsidRPr="00A30172">
        <w:rPr>
          <w:rFonts w:eastAsia="Trebuchet MS" w:cs="Trebuchet MS"/>
          <w:szCs w:val="22"/>
        </w:rPr>
        <w:t>in the intervention areas</w:t>
      </w:r>
      <w:r w:rsidR="006D558A" w:rsidRPr="00A30172">
        <w:rPr>
          <w:rFonts w:eastAsia="Trebuchet MS" w:cs="Trebuchet MS"/>
          <w:szCs w:val="22"/>
        </w:rPr>
        <w:t>]</w:t>
      </w:r>
      <w:r w:rsidR="00EB0554" w:rsidRPr="00A30172">
        <w:rPr>
          <w:rFonts w:eastAsia="Trebuchet MS" w:cs="Trebuchet MS"/>
          <w:szCs w:val="22"/>
        </w:rPr>
        <w:t>.</w:t>
      </w:r>
      <w:r w:rsidR="000E12DD" w:rsidRPr="00A30172">
        <w:rPr>
          <w:rFonts w:eastAsia="Trebuchet MS" w:cs="Trebuchet MS"/>
          <w:szCs w:val="22"/>
        </w:rPr>
        <w:t xml:space="preserve"> This will allow</w:t>
      </w:r>
      <w:r w:rsidR="00D54E76" w:rsidRPr="00A30172">
        <w:rPr>
          <w:rFonts w:eastAsia="Trebuchet MS" w:cs="Trebuchet MS"/>
          <w:szCs w:val="22"/>
        </w:rPr>
        <w:t xml:space="preserve"> the Commission to see whether </w:t>
      </w:r>
      <w:r w:rsidR="0020493A" w:rsidRPr="00A30172">
        <w:rPr>
          <w:rFonts w:eastAsia="Trebuchet MS" w:cs="Trebuchet MS"/>
          <w:szCs w:val="22"/>
        </w:rPr>
        <w:t xml:space="preserve">there is effective competition on the market (numerous operators </w:t>
      </w:r>
      <w:r w:rsidR="00E711E8" w:rsidRPr="00A30172">
        <w:rPr>
          <w:rFonts w:eastAsia="Trebuchet MS" w:cs="Trebuchet MS"/>
          <w:szCs w:val="22"/>
        </w:rPr>
        <w:t xml:space="preserve">around the same market shares) or </w:t>
      </w:r>
      <w:r w:rsidR="0051248E" w:rsidRPr="00A30172">
        <w:rPr>
          <w:rFonts w:eastAsia="Trebuchet MS" w:cs="Trebuchet MS"/>
          <w:szCs w:val="22"/>
        </w:rPr>
        <w:t xml:space="preserve">whether </w:t>
      </w:r>
      <w:r w:rsidR="00E711E8" w:rsidRPr="00A30172">
        <w:rPr>
          <w:rFonts w:eastAsia="Trebuchet MS" w:cs="Trebuchet MS"/>
          <w:szCs w:val="22"/>
        </w:rPr>
        <w:t>a</w:t>
      </w:r>
      <w:r w:rsidR="00D54E76" w:rsidRPr="00A30172">
        <w:rPr>
          <w:rFonts w:eastAsia="Trebuchet MS" w:cs="Trebuchet MS"/>
          <w:szCs w:val="22"/>
        </w:rPr>
        <w:t>n operator</w:t>
      </w:r>
      <w:r w:rsidR="0051248E" w:rsidRPr="00A30172">
        <w:rPr>
          <w:rFonts w:eastAsia="Trebuchet MS" w:cs="Trebuchet MS"/>
          <w:szCs w:val="22"/>
        </w:rPr>
        <w:t xml:space="preserve"> could</w:t>
      </w:r>
      <w:r w:rsidR="00D54E76" w:rsidRPr="00A30172">
        <w:rPr>
          <w:rFonts w:eastAsia="Trebuchet MS" w:cs="Trebuchet MS"/>
          <w:szCs w:val="22"/>
        </w:rPr>
        <w:t xml:space="preserve"> be </w:t>
      </w:r>
      <w:r w:rsidR="00E711E8" w:rsidRPr="00A30172">
        <w:rPr>
          <w:rFonts w:eastAsia="Trebuchet MS" w:cs="Trebuchet MS"/>
          <w:szCs w:val="22"/>
        </w:rPr>
        <w:t>dominant on the market.</w:t>
      </w:r>
      <w:r w:rsidR="005E1FF6" w:rsidRPr="00A30172">
        <w:rPr>
          <w:rFonts w:eastAsia="Trebuchet MS" w:cs="Trebuchet MS"/>
          <w:szCs w:val="22"/>
        </w:rPr>
        <w:t xml:space="preserve"> </w:t>
      </w:r>
      <w:r w:rsidR="007F0827" w:rsidRPr="00A30172">
        <w:rPr>
          <w:rFonts w:eastAsia="Trebuchet MS" w:cs="Trebuchet MS"/>
          <w:szCs w:val="22"/>
        </w:rPr>
        <w:t>In EU Competition law an operator is presumed to be dominant if it holds</w:t>
      </w:r>
      <w:r w:rsidR="00E17342" w:rsidRPr="00A30172">
        <w:rPr>
          <w:rFonts w:eastAsia="Trebuchet MS" w:cs="Trebuchet MS"/>
          <w:szCs w:val="22"/>
        </w:rPr>
        <w:t xml:space="preserve"> a market share of </w:t>
      </w:r>
      <w:r w:rsidR="00FB6066" w:rsidRPr="00A30172">
        <w:rPr>
          <w:rFonts w:eastAsia="Trebuchet MS" w:cs="Trebuchet MS"/>
          <w:szCs w:val="22"/>
        </w:rPr>
        <w:t xml:space="preserve">50% or more. Please note however </w:t>
      </w:r>
      <w:r w:rsidR="007A2AC7" w:rsidRPr="00A30172">
        <w:rPr>
          <w:rFonts w:eastAsia="Trebuchet MS" w:cs="Trebuchet MS"/>
          <w:szCs w:val="22"/>
        </w:rPr>
        <w:t xml:space="preserve">that depending on the dynamics of the market concerned, </w:t>
      </w:r>
      <w:r w:rsidR="006B758A" w:rsidRPr="00A30172">
        <w:rPr>
          <w:rFonts w:eastAsia="Trebuchet MS" w:cs="Trebuchet MS"/>
          <w:szCs w:val="22"/>
        </w:rPr>
        <w:t xml:space="preserve">a company with a market share of more than 50% could be held not to be dominant and </w:t>
      </w:r>
      <w:r w:rsidR="00302B59" w:rsidRPr="00A30172">
        <w:rPr>
          <w:rFonts w:eastAsia="Trebuchet MS" w:cs="Trebuchet MS"/>
          <w:szCs w:val="22"/>
        </w:rPr>
        <w:t xml:space="preserve">that </w:t>
      </w:r>
      <w:r w:rsidR="007A2AC7" w:rsidRPr="00A30172">
        <w:rPr>
          <w:rFonts w:eastAsia="Trebuchet MS" w:cs="Trebuchet MS"/>
          <w:szCs w:val="22"/>
        </w:rPr>
        <w:t>an operator with a market share of less than 50% could be found to be dominant</w:t>
      </w:r>
      <w:r w:rsidR="006B758A" w:rsidRPr="00A30172">
        <w:rPr>
          <w:rFonts w:eastAsia="Trebuchet MS" w:cs="Trebuchet MS"/>
          <w:szCs w:val="22"/>
        </w:rPr>
        <w:t>.</w:t>
      </w:r>
    </w:p>
    <w:p w14:paraId="58F9B730" w14:textId="77777777" w:rsidR="00536712" w:rsidRDefault="003D29A7" w:rsidP="002B78DD">
      <w:pPr>
        <w:spacing w:line="312" w:lineRule="auto"/>
        <w:ind w:left="284"/>
        <w:jc w:val="both"/>
        <w:rPr>
          <w:rFonts w:eastAsia="Trebuchet MS" w:cs="Trebuchet MS"/>
          <w:szCs w:val="22"/>
        </w:rPr>
      </w:pPr>
      <w:r w:rsidRPr="00A30172">
        <w:rPr>
          <w:rFonts w:eastAsia="Trebuchet MS" w:cs="Trebuchet MS"/>
          <w:szCs w:val="22"/>
          <w:u w:val="single"/>
        </w:rPr>
        <w:t>How to calculate market shares:</w:t>
      </w:r>
      <w:r w:rsidRPr="00A30172">
        <w:rPr>
          <w:rStyle w:val="FootnoteReference"/>
          <w:rFonts w:eastAsia="Trebuchet MS" w:cs="Trebuchet MS"/>
          <w:szCs w:val="22"/>
          <w:u w:val="single"/>
        </w:rPr>
        <w:footnoteReference w:id="2"/>
      </w:r>
      <w:r w:rsidRPr="00A30172">
        <w:rPr>
          <w:rFonts w:eastAsia="Trebuchet MS" w:cs="Trebuchet MS"/>
          <w:szCs w:val="22"/>
        </w:rPr>
        <w:t xml:space="preserve"> </w:t>
      </w:r>
    </w:p>
    <w:p w14:paraId="073B53E8" w14:textId="66B56BE9" w:rsidR="00CC3D34" w:rsidRPr="00A30172" w:rsidRDefault="002179AF" w:rsidP="002B78DD">
      <w:pPr>
        <w:spacing w:line="312" w:lineRule="auto"/>
        <w:ind w:left="284"/>
        <w:jc w:val="both"/>
        <w:rPr>
          <w:rFonts w:eastAsia="Trebuchet MS" w:cs="Trebuchet MS"/>
          <w:szCs w:val="22"/>
        </w:rPr>
      </w:pPr>
      <w:r w:rsidRPr="00A30172">
        <w:rPr>
          <w:rFonts w:eastAsia="Trebuchet MS" w:cs="Trebuchet MS"/>
          <w:szCs w:val="22"/>
        </w:rPr>
        <w:t>M</w:t>
      </w:r>
      <w:r w:rsidR="00503989" w:rsidRPr="00A30172">
        <w:rPr>
          <w:rFonts w:eastAsia="Trebuchet MS" w:cs="Trebuchet MS"/>
          <w:szCs w:val="22"/>
        </w:rPr>
        <w:t>arket shares for each supplier can be calculated on the basis of their sales of the relevant products in the relevant area. In practice, the total market size and market shares are often available from market sources, i.e. companies' estimates, studies commissioned from industry consultants and/or trade associations. When this is not the case, or when available estimates are not reliable, the Commission will usually ask each supplier in the relevant market to provide its own sales in order to calculate total market size and market shares.</w:t>
      </w:r>
    </w:p>
    <w:p w14:paraId="6FC794CF" w14:textId="6319A462" w:rsidR="00CC3D34" w:rsidRPr="00A30172" w:rsidRDefault="00B52619" w:rsidP="002B78DD">
      <w:pPr>
        <w:spacing w:line="312" w:lineRule="auto"/>
        <w:ind w:left="284"/>
        <w:jc w:val="both"/>
        <w:rPr>
          <w:rFonts w:eastAsia="Trebuchet MS" w:cs="Trebuchet MS"/>
          <w:szCs w:val="22"/>
        </w:rPr>
      </w:pPr>
      <w:r w:rsidRPr="00A30172">
        <w:rPr>
          <w:rFonts w:eastAsia="Trebuchet MS" w:cs="Trebuchet MS"/>
          <w:szCs w:val="22"/>
        </w:rPr>
        <w:t>If sales are usually the reference to calculate market shares, there are nevertheless other indications that, depending on the specific products or industry in question, can offer useful information such as, in particular, capacity, the number of players in bidding markets.</w:t>
      </w:r>
    </w:p>
    <w:p w14:paraId="06939700" w14:textId="731A06FB" w:rsidR="00CC3D34" w:rsidRPr="00A30172" w:rsidRDefault="003D29A7" w:rsidP="002B78DD">
      <w:pPr>
        <w:spacing w:line="312" w:lineRule="auto"/>
        <w:ind w:left="284"/>
        <w:jc w:val="both"/>
        <w:rPr>
          <w:rFonts w:eastAsia="Trebuchet MS" w:cs="Trebuchet MS"/>
          <w:szCs w:val="22"/>
        </w:rPr>
      </w:pPr>
      <w:r w:rsidRPr="00A30172">
        <w:rPr>
          <w:rFonts w:eastAsia="Trebuchet MS" w:cs="Trebuchet MS"/>
          <w:szCs w:val="22"/>
        </w:rPr>
        <w:t>As a rule of thumb, both volume sales and value sales provide useful information. In cases of differentiated products, sales in value and their associated market share will usually be considered to better reflect the relative position and strength of each supplier.</w:t>
      </w:r>
    </w:p>
    <w:p w14:paraId="4C967D50" w14:textId="3C20E049" w:rsidR="00536712" w:rsidRDefault="00E711E8" w:rsidP="002B78DD">
      <w:pPr>
        <w:spacing w:line="312" w:lineRule="auto"/>
        <w:ind w:left="284"/>
        <w:jc w:val="both"/>
        <w:rPr>
          <w:rFonts w:eastAsia="Trebuchet MS" w:cs="Trebuchet MS"/>
          <w:szCs w:val="22"/>
        </w:rPr>
      </w:pPr>
      <w:r w:rsidRPr="00A30172">
        <w:rPr>
          <w:rFonts w:eastAsia="Trebuchet MS" w:cs="Trebuchet MS"/>
          <w:szCs w:val="22"/>
          <w:u w:val="single"/>
        </w:rPr>
        <w:t>You should know:</w:t>
      </w:r>
      <w:r w:rsidRPr="00A30172">
        <w:rPr>
          <w:rFonts w:eastAsia="Trebuchet MS" w:cs="Trebuchet MS"/>
          <w:szCs w:val="22"/>
        </w:rPr>
        <w:t xml:space="preserve"> </w:t>
      </w:r>
    </w:p>
    <w:p w14:paraId="2B40DDB3" w14:textId="6F37D941" w:rsidR="00574485" w:rsidRPr="00A30172" w:rsidRDefault="00D97486" w:rsidP="002B78DD">
      <w:pPr>
        <w:spacing w:line="312" w:lineRule="auto"/>
        <w:ind w:left="284"/>
        <w:jc w:val="both"/>
        <w:rPr>
          <w:rFonts w:eastAsia="Trebuchet MS" w:cs="Trebuchet MS"/>
          <w:szCs w:val="22"/>
        </w:rPr>
      </w:pPr>
      <w:r w:rsidRPr="00A30172">
        <w:rPr>
          <w:iCs/>
          <w:szCs w:val="22"/>
          <w:lang w:val="en-US"/>
        </w:rPr>
        <w:t xml:space="preserve">Among </w:t>
      </w:r>
      <w:r w:rsidR="00772D85" w:rsidRPr="00A30172">
        <w:rPr>
          <w:iCs/>
          <w:szCs w:val="22"/>
          <w:lang w:val="en-US"/>
        </w:rPr>
        <w:t xml:space="preserve">these operators, where </w:t>
      </w:r>
      <w:r w:rsidRPr="00A30172">
        <w:rPr>
          <w:iCs/>
          <w:szCs w:val="22"/>
          <w:lang w:val="en-US"/>
        </w:rPr>
        <w:t>a</w:t>
      </w:r>
      <w:r w:rsidR="00772D85" w:rsidRPr="00A30172">
        <w:rPr>
          <w:iCs/>
          <w:szCs w:val="22"/>
          <w:lang w:val="en-US"/>
        </w:rPr>
        <w:t xml:space="preserve">n </w:t>
      </w:r>
      <w:r w:rsidR="00060662" w:rsidRPr="00A30172">
        <w:rPr>
          <w:iCs/>
          <w:szCs w:val="22"/>
          <w:lang w:val="en-US"/>
        </w:rPr>
        <w:t>operator is vertically integrated and has a retail market share above 25%,</w:t>
      </w:r>
      <w:r w:rsidR="00060662" w:rsidRPr="00A30172">
        <w:rPr>
          <w:szCs w:val="22"/>
        </w:rPr>
        <w:t xml:space="preserve"> </w:t>
      </w:r>
      <w:r w:rsidR="00060662" w:rsidRPr="00A30172">
        <w:rPr>
          <w:iCs/>
          <w:szCs w:val="22"/>
          <w:lang w:val="en-US"/>
        </w:rPr>
        <w:t xml:space="preserve">in order to be included in the voucher scheme, that provider must offer, on the corresponding wholesale access market, to any electronic communication services providers at least one wholesale access product able to ensure that the access-seeker will be able to reliably provide the eligible services, under open, transparent and non-discriminatory conditions. </w:t>
      </w:r>
    </w:p>
    <w:p w14:paraId="0DE11FB3" w14:textId="3CD4BCDB" w:rsidR="00266B79" w:rsidRPr="00536712" w:rsidRDefault="00574485" w:rsidP="002B78DD">
      <w:pPr>
        <w:pStyle w:val="ListParagraph"/>
        <w:numPr>
          <w:ilvl w:val="0"/>
          <w:numId w:val="4"/>
        </w:numPr>
        <w:spacing w:line="312" w:lineRule="auto"/>
        <w:ind w:left="284"/>
        <w:contextualSpacing w:val="0"/>
        <w:jc w:val="both"/>
        <w:rPr>
          <w:rFonts w:eastAsia="Trebuchet MS" w:cs="Trebuchet MS"/>
          <w:color w:val="833303"/>
          <w:szCs w:val="22"/>
        </w:rPr>
      </w:pPr>
      <w:r w:rsidRPr="00536712">
        <w:rPr>
          <w:rFonts w:eastAsia="Trebuchet MS" w:cs="Trebuchet MS"/>
          <w:color w:val="833303"/>
          <w:szCs w:val="22"/>
        </w:rPr>
        <w:t>Analysis of whether the scheme may confer a disproportionate advantage on some providers to the detriment of others possibly reinforcing (local) market dominance</w:t>
      </w:r>
      <w:r w:rsidR="00613F47" w:rsidRPr="00536712">
        <w:rPr>
          <w:rFonts w:eastAsia="Trebuchet MS" w:cs="Trebuchet MS"/>
          <w:color w:val="833303"/>
          <w:szCs w:val="22"/>
        </w:rPr>
        <w:t>.</w:t>
      </w:r>
    </w:p>
    <w:p w14:paraId="792D291F" w14:textId="4C8EDDC8" w:rsidR="00081DED" w:rsidRPr="00A30172" w:rsidRDefault="00081DED"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rPr>
        <w:t xml:space="preserve">This </w:t>
      </w:r>
      <w:r w:rsidR="00CF796C">
        <w:rPr>
          <w:rFonts w:eastAsia="Trebuchet MS" w:cs="Trebuchet MS"/>
          <w:szCs w:val="22"/>
        </w:rPr>
        <w:t xml:space="preserve">assessment </w:t>
      </w:r>
      <w:r w:rsidR="00BB13A7" w:rsidRPr="00A30172">
        <w:rPr>
          <w:rFonts w:eastAsia="Trebuchet MS" w:cs="Trebuchet MS"/>
          <w:szCs w:val="22"/>
        </w:rPr>
        <w:t xml:space="preserve">is </w:t>
      </w:r>
      <w:r w:rsidR="003856B9">
        <w:rPr>
          <w:rFonts w:eastAsia="Trebuchet MS" w:cs="Trebuchet MS"/>
          <w:szCs w:val="22"/>
        </w:rPr>
        <w:t xml:space="preserve">necessary </w:t>
      </w:r>
      <w:r w:rsidR="00BB13A7" w:rsidRPr="00A30172">
        <w:rPr>
          <w:rFonts w:eastAsia="Trebuchet MS" w:cs="Trebuchet MS"/>
          <w:szCs w:val="22"/>
        </w:rPr>
        <w:t>because d</w:t>
      </w:r>
      <w:r w:rsidRPr="00A30172">
        <w:rPr>
          <w:rFonts w:eastAsia="Trebuchet MS" w:cs="Trebuchet MS"/>
          <w:szCs w:val="22"/>
        </w:rPr>
        <w:t xml:space="preserve">istortions of competition are likely to be enhanced if </w:t>
      </w:r>
      <w:r w:rsidR="0002254A" w:rsidRPr="00A30172">
        <w:rPr>
          <w:rFonts w:eastAsia="Trebuchet MS" w:cs="Trebuchet MS"/>
          <w:szCs w:val="22"/>
        </w:rPr>
        <w:t>on</w:t>
      </w:r>
      <w:r w:rsidR="00807E44" w:rsidRPr="00A30172">
        <w:rPr>
          <w:rFonts w:eastAsia="Trebuchet MS" w:cs="Trebuchet MS"/>
          <w:szCs w:val="22"/>
        </w:rPr>
        <w:t>e</w:t>
      </w:r>
      <w:r w:rsidR="008073BB" w:rsidRPr="00A30172">
        <w:rPr>
          <w:rFonts w:eastAsia="Trebuchet MS" w:cs="Trebuchet MS"/>
          <w:szCs w:val="22"/>
        </w:rPr>
        <w:t xml:space="preserve"> provider </w:t>
      </w:r>
      <w:r w:rsidRPr="00A30172">
        <w:rPr>
          <w:rFonts w:eastAsia="Trebuchet MS" w:cs="Trebuchet MS"/>
          <w:szCs w:val="22"/>
        </w:rPr>
        <w:t xml:space="preserve">has </w:t>
      </w:r>
      <w:r w:rsidR="00E21FF9" w:rsidRPr="00A30172">
        <w:rPr>
          <w:rFonts w:eastAsia="Trebuchet MS" w:cs="Trebuchet MS"/>
          <w:szCs w:val="22"/>
        </w:rPr>
        <w:t xml:space="preserve">too much </w:t>
      </w:r>
      <w:r w:rsidRPr="00A30172">
        <w:rPr>
          <w:rFonts w:eastAsia="Trebuchet MS" w:cs="Trebuchet MS"/>
          <w:szCs w:val="22"/>
        </w:rPr>
        <w:t xml:space="preserve">market power. Where the </w:t>
      </w:r>
      <w:r w:rsidR="008073BB" w:rsidRPr="00A30172">
        <w:rPr>
          <w:rFonts w:eastAsia="Trebuchet MS" w:cs="Trebuchet MS"/>
          <w:szCs w:val="22"/>
        </w:rPr>
        <w:t>provider</w:t>
      </w:r>
      <w:r w:rsidRPr="00A30172">
        <w:rPr>
          <w:rFonts w:eastAsia="Trebuchet MS" w:cs="Trebuchet MS"/>
          <w:szCs w:val="22"/>
        </w:rPr>
        <w:t xml:space="preserve"> is already dominant on a market, the aid measure may reinforce this dominance by further weakening the competitive constraint that competitors can exert.</w:t>
      </w:r>
    </w:p>
    <w:p w14:paraId="77B067AC" w14:textId="77777777" w:rsidR="00CF796C" w:rsidRDefault="00B41A10"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u w:val="single"/>
        </w:rPr>
        <w:t>What is asked here:</w:t>
      </w:r>
      <w:r w:rsidRPr="00A30172">
        <w:rPr>
          <w:rFonts w:eastAsia="Trebuchet MS" w:cs="Trebuchet MS"/>
          <w:szCs w:val="22"/>
        </w:rPr>
        <w:t xml:space="preserve"> </w:t>
      </w:r>
    </w:p>
    <w:p w14:paraId="1089D319" w14:textId="17962FB1" w:rsidR="00266B79" w:rsidRPr="00A30172" w:rsidRDefault="00B41A10"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rPr>
        <w:t>Based on the list of operators and their respective market shares</w:t>
      </w:r>
      <w:r w:rsidR="00B165EB" w:rsidRPr="00A30172">
        <w:rPr>
          <w:rFonts w:eastAsia="Trebuchet MS" w:cs="Trebuchet MS"/>
          <w:szCs w:val="22"/>
        </w:rPr>
        <w:t>, answer the following questions:</w:t>
      </w:r>
    </w:p>
    <w:p w14:paraId="4D1ECF6E" w14:textId="394BB331" w:rsidR="00B165EB" w:rsidRPr="00A30172" w:rsidRDefault="00AE1617" w:rsidP="002B78DD">
      <w:pPr>
        <w:pStyle w:val="ListParagraph"/>
        <w:numPr>
          <w:ilvl w:val="0"/>
          <w:numId w:val="5"/>
        </w:numPr>
        <w:spacing w:line="312" w:lineRule="auto"/>
        <w:ind w:left="567" w:firstLine="0"/>
        <w:contextualSpacing w:val="0"/>
        <w:jc w:val="both"/>
        <w:rPr>
          <w:rFonts w:eastAsia="Trebuchet MS" w:cs="Trebuchet MS"/>
          <w:szCs w:val="22"/>
        </w:rPr>
      </w:pPr>
      <w:r w:rsidRPr="00A30172">
        <w:rPr>
          <w:szCs w:val="22"/>
        </w:rPr>
        <w:t xml:space="preserve">Is there a sufficient number of actively competing service providers in the Cypriot </w:t>
      </w:r>
      <w:r w:rsidR="006A5120" w:rsidRPr="00A30172">
        <w:rPr>
          <w:szCs w:val="22"/>
        </w:rPr>
        <w:t xml:space="preserve">fixed </w:t>
      </w:r>
      <w:r w:rsidRPr="00A30172">
        <w:rPr>
          <w:szCs w:val="22"/>
        </w:rPr>
        <w:t>broadband market?</w:t>
      </w:r>
    </w:p>
    <w:p w14:paraId="3852AD53" w14:textId="18CB4D4E" w:rsidR="00B165EB" w:rsidRPr="00A30172" w:rsidRDefault="00A6649C" w:rsidP="002B78DD">
      <w:pPr>
        <w:pStyle w:val="ListParagraph"/>
        <w:numPr>
          <w:ilvl w:val="0"/>
          <w:numId w:val="5"/>
        </w:numPr>
        <w:spacing w:line="312" w:lineRule="auto"/>
        <w:ind w:left="567" w:firstLine="0"/>
        <w:contextualSpacing w:val="0"/>
        <w:jc w:val="both"/>
        <w:rPr>
          <w:szCs w:val="22"/>
        </w:rPr>
      </w:pPr>
      <w:r w:rsidRPr="00A30172">
        <w:rPr>
          <w:szCs w:val="22"/>
        </w:rPr>
        <w:t xml:space="preserve">From our understanding, </w:t>
      </w:r>
      <w:r w:rsidR="00E2222A" w:rsidRPr="00A30172">
        <w:rPr>
          <w:szCs w:val="22"/>
        </w:rPr>
        <w:t>there is a</w:t>
      </w:r>
      <w:r w:rsidR="00844EA5" w:rsidRPr="00A30172">
        <w:rPr>
          <w:szCs w:val="22"/>
        </w:rPr>
        <w:t>n</w:t>
      </w:r>
      <w:r w:rsidR="00E2222A" w:rsidRPr="00A30172">
        <w:rPr>
          <w:szCs w:val="22"/>
        </w:rPr>
        <w:t xml:space="preserve"> </w:t>
      </w:r>
      <w:r w:rsidR="008A5512" w:rsidRPr="00A30172">
        <w:rPr>
          <w:szCs w:val="22"/>
        </w:rPr>
        <w:t>incumbent operator in Cypr</w:t>
      </w:r>
      <w:r w:rsidR="00557090" w:rsidRPr="00A30172">
        <w:rPr>
          <w:szCs w:val="22"/>
        </w:rPr>
        <w:t>u</w:t>
      </w:r>
      <w:r w:rsidR="008A5512" w:rsidRPr="00A30172">
        <w:rPr>
          <w:szCs w:val="22"/>
        </w:rPr>
        <w:t xml:space="preserve">s, </w:t>
      </w:r>
      <w:r w:rsidR="00844EA5" w:rsidRPr="00A30172">
        <w:rPr>
          <w:szCs w:val="22"/>
        </w:rPr>
        <w:t xml:space="preserve">that </w:t>
      </w:r>
      <w:r w:rsidR="008A5512" w:rsidRPr="00A30172">
        <w:rPr>
          <w:szCs w:val="22"/>
        </w:rPr>
        <w:t xml:space="preserve">owns the broadband infrastructure. </w:t>
      </w:r>
      <w:r w:rsidR="00423613" w:rsidRPr="00A30172">
        <w:rPr>
          <w:szCs w:val="22"/>
        </w:rPr>
        <w:t>Is it bound by</w:t>
      </w:r>
      <w:r w:rsidR="00C26E97" w:rsidRPr="00A30172">
        <w:rPr>
          <w:szCs w:val="22"/>
        </w:rPr>
        <w:t xml:space="preserve"> </w:t>
      </w:r>
      <w:r w:rsidR="0075319A" w:rsidRPr="00A30172">
        <w:rPr>
          <w:szCs w:val="22"/>
        </w:rPr>
        <w:t>wholesale access obligations</w:t>
      </w:r>
      <w:r w:rsidR="006832A8" w:rsidRPr="00A30172">
        <w:rPr>
          <w:szCs w:val="22"/>
        </w:rPr>
        <w:t xml:space="preserve"> </w:t>
      </w:r>
      <w:r w:rsidR="00C26E97" w:rsidRPr="00A30172">
        <w:rPr>
          <w:szCs w:val="22"/>
        </w:rPr>
        <w:t xml:space="preserve">laid down in </w:t>
      </w:r>
      <w:r w:rsidR="00DF08DC" w:rsidRPr="00A30172">
        <w:rPr>
          <w:szCs w:val="22"/>
        </w:rPr>
        <w:t xml:space="preserve">domestic </w:t>
      </w:r>
      <w:r w:rsidR="00C26E97" w:rsidRPr="00A30172">
        <w:rPr>
          <w:szCs w:val="22"/>
        </w:rPr>
        <w:t xml:space="preserve">regulations </w:t>
      </w:r>
      <w:r w:rsidR="006832A8" w:rsidRPr="00A30172">
        <w:rPr>
          <w:szCs w:val="22"/>
        </w:rPr>
        <w:t>that</w:t>
      </w:r>
      <w:r w:rsidR="0075319A" w:rsidRPr="00A30172">
        <w:rPr>
          <w:szCs w:val="22"/>
        </w:rPr>
        <w:t xml:space="preserve"> allow </w:t>
      </w:r>
      <w:r w:rsidR="00FB118F" w:rsidRPr="00A30172">
        <w:rPr>
          <w:szCs w:val="22"/>
        </w:rPr>
        <w:t>other operators</w:t>
      </w:r>
      <w:r w:rsidR="0075319A" w:rsidRPr="00A30172">
        <w:rPr>
          <w:szCs w:val="22"/>
        </w:rPr>
        <w:t xml:space="preserve"> to provide similar services </w:t>
      </w:r>
      <w:r w:rsidR="00235ED6" w:rsidRPr="00A30172">
        <w:rPr>
          <w:szCs w:val="22"/>
        </w:rPr>
        <w:t>to</w:t>
      </w:r>
      <w:r w:rsidR="0075319A" w:rsidRPr="00A30172">
        <w:rPr>
          <w:szCs w:val="22"/>
        </w:rPr>
        <w:t xml:space="preserve"> those provided by the network operator?</w:t>
      </w:r>
    </w:p>
    <w:p w14:paraId="0B79791B" w14:textId="77777777" w:rsidR="00CF796C" w:rsidRDefault="009645C0" w:rsidP="002B78DD">
      <w:pPr>
        <w:pStyle w:val="ListParagraph"/>
        <w:spacing w:line="312" w:lineRule="auto"/>
        <w:ind w:left="567"/>
        <w:contextualSpacing w:val="0"/>
        <w:jc w:val="both"/>
        <w:rPr>
          <w:szCs w:val="22"/>
        </w:rPr>
      </w:pPr>
      <w:r w:rsidRPr="00A30172">
        <w:rPr>
          <w:szCs w:val="22"/>
          <w:u w:val="single"/>
        </w:rPr>
        <w:t>As a reminder:</w:t>
      </w:r>
      <w:r w:rsidRPr="00A30172">
        <w:rPr>
          <w:szCs w:val="22"/>
        </w:rPr>
        <w:t xml:space="preserve"> </w:t>
      </w:r>
    </w:p>
    <w:p w14:paraId="7AC58EB8" w14:textId="6E569AB1" w:rsidR="009645C0" w:rsidRPr="00A30172" w:rsidRDefault="009918AD" w:rsidP="002B78DD">
      <w:pPr>
        <w:pStyle w:val="ListParagraph"/>
        <w:spacing w:line="312" w:lineRule="auto"/>
        <w:ind w:left="567"/>
        <w:contextualSpacing w:val="0"/>
        <w:jc w:val="both"/>
        <w:rPr>
          <w:szCs w:val="22"/>
        </w:rPr>
      </w:pPr>
      <w:r w:rsidRPr="00A30172">
        <w:rPr>
          <w:szCs w:val="22"/>
        </w:rPr>
        <w:t>W</w:t>
      </w:r>
      <w:r w:rsidR="009645C0" w:rsidRPr="00A30172">
        <w:rPr>
          <w:szCs w:val="22"/>
        </w:rPr>
        <w:t xml:space="preserve">holesale access enables third-party operators to compete with the </w:t>
      </w:r>
      <w:r w:rsidR="000746E0" w:rsidRPr="00A30172">
        <w:rPr>
          <w:szCs w:val="22"/>
        </w:rPr>
        <w:t>incumbent operator</w:t>
      </w:r>
      <w:r w:rsidR="009645C0" w:rsidRPr="00A30172">
        <w:rPr>
          <w:szCs w:val="22"/>
        </w:rPr>
        <w:t xml:space="preserve"> (when the latter is also present at the retail level), thereby strengthening choice and competition in the areas concerned by the measure while at the same time avoiding the creation of regional service monopolies. </w:t>
      </w:r>
    </w:p>
    <w:p w14:paraId="31C72B99" w14:textId="06D964E0" w:rsidR="00FB0859" w:rsidRPr="00A30172" w:rsidRDefault="00FB0859" w:rsidP="002B78DD">
      <w:pPr>
        <w:pStyle w:val="ListParagraph"/>
        <w:numPr>
          <w:ilvl w:val="0"/>
          <w:numId w:val="5"/>
        </w:numPr>
        <w:spacing w:line="312" w:lineRule="auto"/>
        <w:ind w:left="567" w:firstLine="0"/>
        <w:contextualSpacing w:val="0"/>
        <w:jc w:val="both"/>
        <w:rPr>
          <w:szCs w:val="22"/>
        </w:rPr>
      </w:pPr>
      <w:r w:rsidRPr="00A30172">
        <w:rPr>
          <w:szCs w:val="22"/>
        </w:rPr>
        <w:t xml:space="preserve">Does the Measure benefit all services providers capable of offering eligible connection speeds, </w:t>
      </w:r>
      <w:r w:rsidR="00954EAB" w:rsidRPr="00A30172">
        <w:rPr>
          <w:szCs w:val="22"/>
        </w:rPr>
        <w:t>regardless of whether</w:t>
      </w:r>
      <w:r w:rsidRPr="00A30172">
        <w:rPr>
          <w:szCs w:val="22"/>
        </w:rPr>
        <w:t xml:space="preserve"> they offer the service using their own network o</w:t>
      </w:r>
      <w:r w:rsidR="00BD4E66" w:rsidRPr="00A30172">
        <w:rPr>
          <w:szCs w:val="22"/>
        </w:rPr>
        <w:t xml:space="preserve">r </w:t>
      </w:r>
      <w:r w:rsidR="00DD699E" w:rsidRPr="00A30172">
        <w:rPr>
          <w:szCs w:val="22"/>
        </w:rPr>
        <w:t>by accessing</w:t>
      </w:r>
      <w:r w:rsidRPr="00A30172">
        <w:rPr>
          <w:szCs w:val="22"/>
        </w:rPr>
        <w:t xml:space="preserve"> the network of other operators?</w:t>
      </w:r>
    </w:p>
    <w:p w14:paraId="63B79401" w14:textId="2BC2FA26" w:rsidR="00F53D5B" w:rsidRPr="00CF796C" w:rsidRDefault="00266B79" w:rsidP="002B78DD">
      <w:pPr>
        <w:pStyle w:val="ListParagraph"/>
        <w:numPr>
          <w:ilvl w:val="0"/>
          <w:numId w:val="4"/>
        </w:numPr>
        <w:spacing w:line="312" w:lineRule="auto"/>
        <w:ind w:left="284"/>
        <w:contextualSpacing w:val="0"/>
        <w:jc w:val="both"/>
        <w:rPr>
          <w:rFonts w:eastAsia="Trebuchet MS" w:cs="Trebuchet MS"/>
          <w:color w:val="833303"/>
          <w:szCs w:val="22"/>
        </w:rPr>
      </w:pPr>
      <w:r w:rsidRPr="00CF796C">
        <w:rPr>
          <w:rFonts w:eastAsia="Trebuchet MS" w:cs="Trebuchet MS"/>
          <w:color w:val="833303"/>
          <w:szCs w:val="22"/>
        </w:rPr>
        <w:t xml:space="preserve">Is there a need to implement the scheme? </w:t>
      </w:r>
    </w:p>
    <w:p w14:paraId="53DB7D24" w14:textId="77777777" w:rsidR="00CF796C" w:rsidRDefault="00DD699E"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u w:val="single"/>
        </w:rPr>
        <w:t>What is asked here:</w:t>
      </w:r>
      <w:r w:rsidRPr="00A30172">
        <w:rPr>
          <w:rFonts w:eastAsia="Trebuchet MS" w:cs="Trebuchet MS"/>
          <w:szCs w:val="22"/>
        </w:rPr>
        <w:t xml:space="preserve"> </w:t>
      </w:r>
    </w:p>
    <w:p w14:paraId="2817E073" w14:textId="0617A32C" w:rsidR="00A239B8" w:rsidRPr="00A30172" w:rsidRDefault="00266B79"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rPr>
        <w:t xml:space="preserve">Comparison work </w:t>
      </w:r>
      <w:r w:rsidR="000B75F5" w:rsidRPr="00A30172">
        <w:rPr>
          <w:rFonts w:eastAsia="Trebuchet MS" w:cs="Trebuchet MS"/>
          <w:szCs w:val="22"/>
        </w:rPr>
        <w:t>between the intervention areas of the scheme with the situation in other areas of Cyprus</w:t>
      </w:r>
      <w:r w:rsidR="00A239B8" w:rsidRPr="00A30172">
        <w:rPr>
          <w:rFonts w:eastAsia="Trebuchet MS" w:cs="Trebuchet MS"/>
          <w:szCs w:val="22"/>
        </w:rPr>
        <w:t xml:space="preserve"> </w:t>
      </w:r>
      <w:r w:rsidR="000B75F5" w:rsidRPr="00A30172">
        <w:rPr>
          <w:rFonts w:eastAsia="Trebuchet MS" w:cs="Trebuchet MS"/>
          <w:szCs w:val="22"/>
        </w:rPr>
        <w:t xml:space="preserve">or with the situation in other Member States. </w:t>
      </w:r>
    </w:p>
    <w:p w14:paraId="3CB86C4F" w14:textId="6EAB8C1E" w:rsidR="00D253CC" w:rsidRPr="00A30172" w:rsidRDefault="0025652E"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rPr>
        <w:t xml:space="preserve">There are two types of possible explanations for the intervention with a connectivity voucher scheme: </w:t>
      </w:r>
      <w:r w:rsidR="00C8243E" w:rsidRPr="00A30172">
        <w:rPr>
          <w:rFonts w:eastAsia="Trebuchet MS" w:cs="Trebuchet MS"/>
          <w:szCs w:val="22"/>
        </w:rPr>
        <w:t xml:space="preserve">Either the areas </w:t>
      </w:r>
      <w:r w:rsidRPr="00A30172">
        <w:rPr>
          <w:rFonts w:eastAsia="Trebuchet MS" w:cs="Trebuchet MS"/>
          <w:szCs w:val="22"/>
        </w:rPr>
        <w:t xml:space="preserve">that will benefit from the voucher scheme </w:t>
      </w:r>
      <w:r w:rsidR="008C34E8" w:rsidRPr="00A30172">
        <w:rPr>
          <w:rFonts w:eastAsia="Trebuchet MS" w:cs="Trebuchet MS"/>
          <w:szCs w:val="22"/>
        </w:rPr>
        <w:t xml:space="preserve">share certain characteristics that </w:t>
      </w:r>
      <w:r w:rsidR="00E07705" w:rsidRPr="00A30172">
        <w:rPr>
          <w:rFonts w:eastAsia="Trebuchet MS" w:cs="Trebuchet MS"/>
          <w:szCs w:val="22"/>
        </w:rPr>
        <w:t xml:space="preserve">justify that the take-up of demand to date has not been as good as elsewhere in Cyprus. Or – and this option seems </w:t>
      </w:r>
      <w:r w:rsidR="00F532B7" w:rsidRPr="00A30172">
        <w:rPr>
          <w:rFonts w:eastAsia="Trebuchet MS" w:cs="Trebuchet MS"/>
          <w:szCs w:val="22"/>
        </w:rPr>
        <w:t>in principle more plausible –</w:t>
      </w:r>
      <w:r w:rsidR="00D253CC" w:rsidRPr="00A30172">
        <w:rPr>
          <w:rFonts w:eastAsia="Trebuchet MS" w:cs="Trebuchet MS"/>
          <w:szCs w:val="22"/>
        </w:rPr>
        <w:t xml:space="preserve">the </w:t>
      </w:r>
      <w:r w:rsidR="006236A2" w:rsidRPr="00A30172">
        <w:rPr>
          <w:rFonts w:eastAsia="Trebuchet MS" w:cs="Trebuchet MS"/>
          <w:szCs w:val="22"/>
        </w:rPr>
        <w:t xml:space="preserve">current </w:t>
      </w:r>
      <w:r w:rsidR="00D253CC" w:rsidRPr="00A30172">
        <w:rPr>
          <w:rFonts w:eastAsia="Trebuchet MS" w:cs="Trebuchet MS"/>
          <w:szCs w:val="22"/>
        </w:rPr>
        <w:t xml:space="preserve">situation </w:t>
      </w:r>
      <w:r w:rsidR="00B60AE5" w:rsidRPr="00A30172">
        <w:rPr>
          <w:rFonts w:eastAsia="Trebuchet MS" w:cs="Trebuchet MS"/>
          <w:szCs w:val="22"/>
        </w:rPr>
        <w:t xml:space="preserve">regarding the take-up of connectivity in Cyprus </w:t>
      </w:r>
      <w:r w:rsidR="00D253CC" w:rsidRPr="00A30172">
        <w:rPr>
          <w:rFonts w:eastAsia="Trebuchet MS" w:cs="Trebuchet MS"/>
          <w:szCs w:val="22"/>
        </w:rPr>
        <w:t xml:space="preserve">and </w:t>
      </w:r>
      <w:r w:rsidR="00B60AE5" w:rsidRPr="00A30172">
        <w:rPr>
          <w:rFonts w:eastAsia="Trebuchet MS" w:cs="Trebuchet MS"/>
          <w:szCs w:val="22"/>
        </w:rPr>
        <w:t xml:space="preserve">the </w:t>
      </w:r>
      <w:r w:rsidR="00D253CC" w:rsidRPr="00A30172">
        <w:rPr>
          <w:rFonts w:eastAsia="Trebuchet MS" w:cs="Trebuchet MS"/>
          <w:szCs w:val="22"/>
        </w:rPr>
        <w:t xml:space="preserve">structure of the Cypriot market </w:t>
      </w:r>
      <w:r w:rsidR="00B60AE5" w:rsidRPr="00A30172">
        <w:rPr>
          <w:rFonts w:eastAsia="Trebuchet MS" w:cs="Trebuchet MS"/>
          <w:szCs w:val="22"/>
        </w:rPr>
        <w:t xml:space="preserve">in comparison with the development in other EU Member States is such that it </w:t>
      </w:r>
      <w:r w:rsidR="00FE5A96" w:rsidRPr="00A30172">
        <w:rPr>
          <w:rFonts w:eastAsia="Trebuchet MS" w:cs="Trebuchet MS"/>
          <w:szCs w:val="22"/>
        </w:rPr>
        <w:t>require</w:t>
      </w:r>
      <w:r w:rsidR="00B60AE5" w:rsidRPr="00A30172">
        <w:rPr>
          <w:rFonts w:eastAsia="Trebuchet MS" w:cs="Trebuchet MS"/>
          <w:szCs w:val="22"/>
        </w:rPr>
        <w:t>s</w:t>
      </w:r>
      <w:r w:rsidR="00FE5A96" w:rsidRPr="00A30172">
        <w:rPr>
          <w:rFonts w:eastAsia="Trebuchet MS" w:cs="Trebuchet MS"/>
          <w:szCs w:val="22"/>
        </w:rPr>
        <w:t xml:space="preserve"> </w:t>
      </w:r>
      <w:r w:rsidR="00B60AE5" w:rsidRPr="00A30172">
        <w:rPr>
          <w:rFonts w:eastAsia="Trebuchet MS" w:cs="Trebuchet MS"/>
          <w:szCs w:val="22"/>
        </w:rPr>
        <w:t xml:space="preserve">a </w:t>
      </w:r>
      <w:r w:rsidR="00C01544" w:rsidRPr="00A30172">
        <w:rPr>
          <w:rFonts w:eastAsia="Trebuchet MS" w:cs="Trebuchet MS"/>
          <w:szCs w:val="22"/>
        </w:rPr>
        <w:t xml:space="preserve">public intervention via the voucher scheme to </w:t>
      </w:r>
      <w:r w:rsidR="005808B1" w:rsidRPr="00A30172">
        <w:rPr>
          <w:rFonts w:eastAsia="Trebuchet MS" w:cs="Trebuchet MS"/>
          <w:szCs w:val="22"/>
        </w:rPr>
        <w:t xml:space="preserve">enhance the </w:t>
      </w:r>
      <w:r w:rsidR="005D1503" w:rsidRPr="00A30172">
        <w:rPr>
          <w:rFonts w:eastAsia="Trebuchet MS" w:cs="Trebuchet MS"/>
          <w:szCs w:val="22"/>
        </w:rPr>
        <w:t xml:space="preserve">take-up and </w:t>
      </w:r>
      <w:r w:rsidR="005808B1" w:rsidRPr="00A30172">
        <w:rPr>
          <w:rFonts w:eastAsia="Trebuchet MS" w:cs="Trebuchet MS"/>
          <w:szCs w:val="22"/>
        </w:rPr>
        <w:t xml:space="preserve">use of </w:t>
      </w:r>
      <w:r w:rsidR="005D1503" w:rsidRPr="00A30172">
        <w:rPr>
          <w:rFonts w:eastAsia="Trebuchet MS" w:cs="Trebuchet MS"/>
          <w:szCs w:val="22"/>
        </w:rPr>
        <w:t>fixed services</w:t>
      </w:r>
      <w:r w:rsidR="00A0626D" w:rsidRPr="00A30172">
        <w:rPr>
          <w:rFonts w:eastAsia="Trebuchet MS" w:cs="Trebuchet MS"/>
          <w:szCs w:val="22"/>
        </w:rPr>
        <w:t xml:space="preserve">. In such a case, an explanation has to be provided regarding the reasons </w:t>
      </w:r>
      <w:r w:rsidR="00060A0E" w:rsidRPr="00A30172">
        <w:rPr>
          <w:rFonts w:eastAsia="Trebuchet MS" w:cs="Trebuchet MS"/>
          <w:szCs w:val="22"/>
        </w:rPr>
        <w:t xml:space="preserve">why </w:t>
      </w:r>
      <w:r w:rsidR="00755E63" w:rsidRPr="00A30172">
        <w:rPr>
          <w:rFonts w:eastAsia="Trebuchet MS" w:cs="Trebuchet MS"/>
          <w:szCs w:val="22"/>
        </w:rPr>
        <w:t xml:space="preserve">the voucher scheme </w:t>
      </w:r>
      <w:r w:rsidR="00B366DD" w:rsidRPr="00A30172">
        <w:rPr>
          <w:rFonts w:eastAsia="Trebuchet MS" w:cs="Trebuchet MS"/>
          <w:szCs w:val="22"/>
        </w:rPr>
        <w:t xml:space="preserve">is necessary to </w:t>
      </w:r>
      <w:r w:rsidR="00755E63" w:rsidRPr="00A30172">
        <w:rPr>
          <w:rFonts w:eastAsia="Trebuchet MS" w:cs="Trebuchet MS"/>
          <w:szCs w:val="22"/>
        </w:rPr>
        <w:t>incentiv</w:t>
      </w:r>
      <w:r w:rsidR="00443EA2" w:rsidRPr="00A30172">
        <w:rPr>
          <w:rFonts w:eastAsia="Trebuchet MS" w:cs="Trebuchet MS"/>
          <w:szCs w:val="22"/>
        </w:rPr>
        <w:t>is</w:t>
      </w:r>
      <w:r w:rsidR="00755E63" w:rsidRPr="00A30172">
        <w:rPr>
          <w:rFonts w:eastAsia="Trebuchet MS" w:cs="Trebuchet MS"/>
          <w:szCs w:val="22"/>
        </w:rPr>
        <w:t>e</w:t>
      </w:r>
      <w:r w:rsidR="00CB7920" w:rsidRPr="00A30172">
        <w:rPr>
          <w:rFonts w:eastAsia="Trebuchet MS" w:cs="Trebuchet MS"/>
          <w:szCs w:val="22"/>
        </w:rPr>
        <w:t xml:space="preserve"> </w:t>
      </w:r>
      <w:r w:rsidR="00B366DD" w:rsidRPr="00A30172">
        <w:rPr>
          <w:rFonts w:eastAsia="Trebuchet MS" w:cs="Trebuchet MS"/>
          <w:szCs w:val="22"/>
        </w:rPr>
        <w:t>demand.</w:t>
      </w:r>
    </w:p>
    <w:p w14:paraId="188B5458" w14:textId="77777777" w:rsidR="00A04E95" w:rsidRDefault="00A239B8"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u w:val="single"/>
        </w:rPr>
        <w:t>Questions to answer:</w:t>
      </w:r>
      <w:r w:rsidR="00B65642" w:rsidRPr="00A30172">
        <w:rPr>
          <w:rFonts w:eastAsia="Trebuchet MS" w:cs="Trebuchet MS"/>
          <w:szCs w:val="22"/>
        </w:rPr>
        <w:t xml:space="preserve"> </w:t>
      </w:r>
    </w:p>
    <w:p w14:paraId="5132D09A" w14:textId="25B74D70" w:rsidR="00F11199" w:rsidRDefault="00F11199" w:rsidP="00C164A7">
      <w:pPr>
        <w:pStyle w:val="ListParagraph"/>
        <w:spacing w:line="312" w:lineRule="auto"/>
        <w:ind w:left="284"/>
        <w:contextualSpacing w:val="0"/>
        <w:jc w:val="both"/>
        <w:rPr>
          <w:rFonts w:eastAsia="Trebuchet MS" w:cs="Trebuchet MS"/>
          <w:szCs w:val="22"/>
        </w:rPr>
      </w:pPr>
      <w:r>
        <w:rPr>
          <w:rFonts w:eastAsia="Trebuchet MS" w:cs="Trebuchet MS"/>
          <w:szCs w:val="22"/>
        </w:rPr>
        <w:t xml:space="preserve">An introductory section should include </w:t>
      </w:r>
      <w:r>
        <w:rPr>
          <w:lang w:val="en-US"/>
        </w:rPr>
        <w:t>the increased need for higher speeds for user in light of increased telework, video conferencing, e-education, etc…</w:t>
      </w:r>
    </w:p>
    <w:p w14:paraId="2A7D3F1D" w14:textId="641A0648" w:rsidR="00685C12" w:rsidRDefault="00685C12" w:rsidP="00C164A7">
      <w:pPr>
        <w:pStyle w:val="ListParagraph"/>
        <w:spacing w:line="312" w:lineRule="auto"/>
        <w:ind w:left="284"/>
        <w:contextualSpacing w:val="0"/>
        <w:jc w:val="both"/>
        <w:rPr>
          <w:rFonts w:eastAsia="Trebuchet MS" w:cs="Trebuchet MS"/>
          <w:szCs w:val="22"/>
        </w:rPr>
      </w:pPr>
      <w:r>
        <w:rPr>
          <w:rFonts w:eastAsia="Trebuchet MS" w:cs="Trebuchet MS"/>
          <w:szCs w:val="22"/>
        </w:rPr>
        <w:t xml:space="preserve">Then, it should be </w:t>
      </w:r>
      <w:r w:rsidR="00063325">
        <w:rPr>
          <w:rFonts w:eastAsia="Trebuchet MS" w:cs="Trebuchet MS"/>
          <w:szCs w:val="22"/>
        </w:rPr>
        <w:t>justified w</w:t>
      </w:r>
      <w:r w:rsidRPr="00A30172">
        <w:rPr>
          <w:rFonts w:eastAsia="Trebuchet MS" w:cs="Trebuchet MS"/>
          <w:szCs w:val="22"/>
        </w:rPr>
        <w:t xml:space="preserve">hy the scheme </w:t>
      </w:r>
      <w:r w:rsidR="00063325">
        <w:rPr>
          <w:rFonts w:eastAsia="Trebuchet MS" w:cs="Trebuchet MS"/>
          <w:szCs w:val="22"/>
        </w:rPr>
        <w:t xml:space="preserve">is </w:t>
      </w:r>
      <w:r w:rsidRPr="00A30172">
        <w:rPr>
          <w:rFonts w:eastAsia="Trebuchet MS" w:cs="Trebuchet MS"/>
          <w:szCs w:val="22"/>
        </w:rPr>
        <w:t>needed to improve take-up in the intervention areas in particular</w:t>
      </w:r>
      <w:r w:rsidR="00063325">
        <w:rPr>
          <w:rFonts w:eastAsia="Trebuchet MS" w:cs="Trebuchet MS"/>
          <w:szCs w:val="22"/>
        </w:rPr>
        <w:t>.</w:t>
      </w:r>
    </w:p>
    <w:p w14:paraId="113E0F0D" w14:textId="2E9820BD" w:rsidR="004B4A9E" w:rsidRDefault="004B4A9E" w:rsidP="004B4A9E">
      <w:pPr>
        <w:pStyle w:val="ListParagraph"/>
        <w:numPr>
          <w:ilvl w:val="0"/>
          <w:numId w:val="6"/>
        </w:numPr>
        <w:spacing w:line="312" w:lineRule="auto"/>
        <w:contextualSpacing w:val="0"/>
        <w:jc w:val="both"/>
        <w:rPr>
          <w:lang w:val="en-US"/>
        </w:rPr>
      </w:pPr>
      <w:r>
        <w:rPr>
          <w:lang w:val="en-US"/>
        </w:rPr>
        <w:t xml:space="preserve">the position of Cyprus in DESI, ie in comparison to other Member States, </w:t>
      </w:r>
      <w:r w:rsidR="00695E31">
        <w:rPr>
          <w:lang w:val="en-US"/>
        </w:rPr>
        <w:t>and the explanation of this ranking</w:t>
      </w:r>
    </w:p>
    <w:p w14:paraId="2DBA812D" w14:textId="04E27684" w:rsidR="004B4A9E" w:rsidRPr="004B4A9E" w:rsidRDefault="00695E31" w:rsidP="004B4A9E">
      <w:pPr>
        <w:pStyle w:val="ListParagraph"/>
        <w:numPr>
          <w:ilvl w:val="0"/>
          <w:numId w:val="6"/>
        </w:numPr>
        <w:spacing w:line="312" w:lineRule="auto"/>
        <w:contextualSpacing w:val="0"/>
        <w:jc w:val="both"/>
        <w:rPr>
          <w:lang w:val="en-US"/>
        </w:rPr>
      </w:pPr>
      <w:bookmarkStart w:id="0" w:name="_Hlk98339280"/>
      <w:r>
        <w:rPr>
          <w:rFonts w:eastAsia="Trebuchet MS"/>
          <w:lang w:val="en-US"/>
        </w:rPr>
        <w:t xml:space="preserve">is </w:t>
      </w:r>
      <w:r>
        <w:rPr>
          <w:lang w:val="en-US"/>
        </w:rPr>
        <w:t>there a</w:t>
      </w:r>
      <w:r>
        <w:rPr>
          <w:rFonts w:eastAsia="Trebuchet MS"/>
          <w:lang w:val="en-US"/>
        </w:rPr>
        <w:t xml:space="preserve"> </w:t>
      </w:r>
      <w:r w:rsidR="004B4A9E" w:rsidRPr="00A30172">
        <w:rPr>
          <w:rFonts w:eastAsia="Trebuchet MS" w:cs="Trebuchet MS"/>
          <w:szCs w:val="22"/>
        </w:rPr>
        <w:t>difference with</w:t>
      </w:r>
      <w:r w:rsidR="005129DC">
        <w:rPr>
          <w:rFonts w:eastAsia="Trebuchet MS" w:cs="Trebuchet MS"/>
          <w:szCs w:val="22"/>
        </w:rPr>
        <w:t xml:space="preserve">in </w:t>
      </w:r>
      <w:r w:rsidR="004B4A9E" w:rsidRPr="00A30172">
        <w:rPr>
          <w:rFonts w:eastAsia="Trebuchet MS" w:cs="Trebuchet MS"/>
          <w:szCs w:val="22"/>
        </w:rPr>
        <w:t xml:space="preserve">areas of Cyprus </w:t>
      </w:r>
    </w:p>
    <w:bookmarkEnd w:id="0"/>
    <w:p w14:paraId="110B32A0" w14:textId="3313B214" w:rsidR="00D6381F" w:rsidRPr="00D6381F" w:rsidRDefault="00D6381F" w:rsidP="004B4A9E">
      <w:pPr>
        <w:pStyle w:val="ListParagraph"/>
        <w:numPr>
          <w:ilvl w:val="0"/>
          <w:numId w:val="6"/>
        </w:numPr>
        <w:spacing w:line="312" w:lineRule="auto"/>
        <w:contextualSpacing w:val="0"/>
        <w:jc w:val="both"/>
        <w:rPr>
          <w:lang w:val="en-US"/>
        </w:rPr>
      </w:pPr>
      <w:r>
        <w:rPr>
          <w:rFonts w:eastAsia="Trebuchet MS" w:cs="Trebuchet MS"/>
          <w:szCs w:val="22"/>
        </w:rPr>
        <w:t>w</w:t>
      </w:r>
      <w:r w:rsidR="00C8190C" w:rsidRPr="00A30172">
        <w:rPr>
          <w:rFonts w:eastAsia="Trebuchet MS" w:cs="Trebuchet MS"/>
          <w:szCs w:val="22"/>
        </w:rPr>
        <w:t>hy is the take up so low</w:t>
      </w:r>
      <w:r w:rsidR="00AB7B3E" w:rsidRPr="00A30172">
        <w:rPr>
          <w:rFonts w:eastAsia="Trebuchet MS" w:cs="Trebuchet MS"/>
          <w:szCs w:val="22"/>
        </w:rPr>
        <w:t xml:space="preserve"> in these areas compared to others</w:t>
      </w:r>
      <w:r w:rsidR="00162C27" w:rsidRPr="00A30172">
        <w:rPr>
          <w:rFonts w:eastAsia="Trebuchet MS" w:cs="Trebuchet MS"/>
          <w:szCs w:val="22"/>
        </w:rPr>
        <w:t xml:space="preserve"> </w:t>
      </w:r>
    </w:p>
    <w:p w14:paraId="5D0CBE4A" w14:textId="7D0F925E" w:rsidR="00D6381F" w:rsidRPr="00D6381F" w:rsidRDefault="0088179D" w:rsidP="004B4A9E">
      <w:pPr>
        <w:pStyle w:val="ListParagraph"/>
        <w:numPr>
          <w:ilvl w:val="0"/>
          <w:numId w:val="6"/>
        </w:numPr>
        <w:spacing w:line="312" w:lineRule="auto"/>
        <w:contextualSpacing w:val="0"/>
        <w:jc w:val="both"/>
        <w:rPr>
          <w:lang w:val="en-US"/>
        </w:rPr>
      </w:pPr>
      <w:r>
        <w:rPr>
          <w:lang w:val="en-US"/>
        </w:rPr>
        <w:t xml:space="preserve">The grounds </w:t>
      </w:r>
      <w:r w:rsidR="00D6381F">
        <w:rPr>
          <w:lang w:val="en-US"/>
        </w:rPr>
        <w:t>the relatively high retain prices in Cyprus, which hamper up-take</w:t>
      </w:r>
    </w:p>
    <w:p w14:paraId="356B46EC" w14:textId="7360FC9F" w:rsidR="00C164A7" w:rsidRPr="00C164A7" w:rsidRDefault="00C164A7" w:rsidP="00C164A7">
      <w:pPr>
        <w:pStyle w:val="ListParagraph"/>
        <w:spacing w:line="312" w:lineRule="auto"/>
        <w:ind w:left="284"/>
        <w:contextualSpacing w:val="0"/>
        <w:jc w:val="both"/>
        <w:rPr>
          <w:rFonts w:eastAsia="Trebuchet MS" w:cs="Trebuchet MS"/>
          <w:szCs w:val="22"/>
        </w:rPr>
      </w:pPr>
      <w:r>
        <w:rPr>
          <w:rFonts w:eastAsia="Trebuchet MS" w:cs="Trebuchet MS"/>
          <w:szCs w:val="22"/>
          <w:u w:val="single"/>
        </w:rPr>
        <w:t>Additional input necessary</w:t>
      </w:r>
      <w:r w:rsidRPr="00C164A7">
        <w:rPr>
          <w:rFonts w:eastAsia="Trebuchet MS" w:cs="Trebuchet MS"/>
          <w:szCs w:val="22"/>
          <w:u w:val="single"/>
        </w:rPr>
        <w:t>:</w:t>
      </w:r>
      <w:r w:rsidRPr="00C164A7">
        <w:rPr>
          <w:rFonts w:eastAsia="Trebuchet MS" w:cs="Trebuchet MS"/>
          <w:szCs w:val="22"/>
        </w:rPr>
        <w:t xml:space="preserve"> </w:t>
      </w:r>
    </w:p>
    <w:p w14:paraId="2C4A9734" w14:textId="75A1D8F2" w:rsidR="00C33874" w:rsidRPr="00C164A7" w:rsidRDefault="00162C27" w:rsidP="00C164A7">
      <w:pPr>
        <w:spacing w:line="312" w:lineRule="auto"/>
        <w:ind w:left="284"/>
        <w:jc w:val="both"/>
        <w:rPr>
          <w:lang w:val="en-US"/>
        </w:rPr>
      </w:pPr>
      <w:r w:rsidRPr="00C164A7">
        <w:rPr>
          <w:rFonts w:eastAsia="Trebuchet MS" w:cs="Trebuchet MS"/>
          <w:szCs w:val="22"/>
        </w:rPr>
        <w:t xml:space="preserve">As </w:t>
      </w:r>
      <w:r w:rsidR="004F5CFA" w:rsidRPr="00C164A7">
        <w:rPr>
          <w:rFonts w:eastAsia="Trebuchet MS" w:cs="Trebuchet MS"/>
          <w:szCs w:val="22"/>
        </w:rPr>
        <w:t xml:space="preserve">the scheme is planned to last for more than two years </w:t>
      </w:r>
      <w:r w:rsidR="00780232" w:rsidRPr="00C164A7">
        <w:rPr>
          <w:rFonts w:eastAsia="Trebuchet MS" w:cs="Trebuchet MS"/>
          <w:szCs w:val="22"/>
        </w:rPr>
        <w:t>-</w:t>
      </w:r>
      <w:r w:rsidR="00FC2652" w:rsidRPr="00C164A7">
        <w:rPr>
          <w:rFonts w:eastAsia="Trebuchet MS" w:cs="Trebuchet MS"/>
          <w:szCs w:val="22"/>
        </w:rPr>
        <w:t xml:space="preserve"> </w:t>
      </w:r>
      <w:r w:rsidR="00780232" w:rsidRPr="00C164A7">
        <w:rPr>
          <w:rFonts w:eastAsia="Trebuchet MS" w:cs="Trebuchet MS"/>
          <w:szCs w:val="22"/>
        </w:rPr>
        <w:t xml:space="preserve">which is the duration benefiting from a positive </w:t>
      </w:r>
      <w:r w:rsidR="00AF34F3" w:rsidRPr="00C164A7">
        <w:rPr>
          <w:rFonts w:eastAsia="Trebuchet MS" w:cs="Trebuchet MS"/>
          <w:szCs w:val="22"/>
        </w:rPr>
        <w:t>presumption</w:t>
      </w:r>
      <w:r w:rsidR="00877D6B" w:rsidRPr="00C164A7">
        <w:rPr>
          <w:rFonts w:eastAsia="Trebuchet MS" w:cs="Trebuchet MS"/>
          <w:szCs w:val="22"/>
        </w:rPr>
        <w:t xml:space="preserve"> </w:t>
      </w:r>
      <w:r w:rsidR="00066E36" w:rsidRPr="00C164A7">
        <w:rPr>
          <w:rFonts w:eastAsia="Trebuchet MS" w:cs="Trebuchet MS"/>
          <w:szCs w:val="22"/>
        </w:rPr>
        <w:t>(</w:t>
      </w:r>
      <w:r w:rsidR="00877D6B" w:rsidRPr="00C164A7">
        <w:rPr>
          <w:rFonts w:eastAsia="Trebuchet MS" w:cs="Trebuchet MS"/>
          <w:szCs w:val="22"/>
        </w:rPr>
        <w:t>see para.</w:t>
      </w:r>
      <w:r w:rsidR="00C00477" w:rsidRPr="00C164A7">
        <w:rPr>
          <w:rFonts w:eastAsia="Trebuchet MS" w:cs="Trebuchet MS"/>
          <w:szCs w:val="22"/>
        </w:rPr>
        <w:t xml:space="preserve"> 200 of the upcoming Broadband Guidelines</w:t>
      </w:r>
      <w:r w:rsidR="00066E36" w:rsidRPr="00C164A7">
        <w:rPr>
          <w:rFonts w:eastAsia="Trebuchet MS" w:cs="Trebuchet MS"/>
          <w:szCs w:val="22"/>
        </w:rPr>
        <w:t>)</w:t>
      </w:r>
      <w:r w:rsidR="008558A2" w:rsidRPr="00C164A7">
        <w:rPr>
          <w:rFonts w:eastAsia="Trebuchet MS" w:cs="Trebuchet MS"/>
          <w:szCs w:val="22"/>
        </w:rPr>
        <w:t xml:space="preserve"> -</w:t>
      </w:r>
      <w:r w:rsidR="00CC0D99" w:rsidRPr="00C164A7">
        <w:rPr>
          <w:rFonts w:eastAsia="Trebuchet MS" w:cs="Trebuchet MS"/>
          <w:szCs w:val="22"/>
        </w:rPr>
        <w:t xml:space="preserve"> it would be use</w:t>
      </w:r>
      <w:r w:rsidR="00B87EC7" w:rsidRPr="00C164A7">
        <w:rPr>
          <w:rFonts w:eastAsia="Trebuchet MS" w:cs="Trebuchet MS"/>
          <w:szCs w:val="22"/>
        </w:rPr>
        <w:t xml:space="preserve">ful in the market assessment to include elements </w:t>
      </w:r>
      <w:r w:rsidR="005769B6" w:rsidRPr="00C164A7">
        <w:rPr>
          <w:rFonts w:eastAsia="Trebuchet MS" w:cs="Trebuchet MS"/>
          <w:szCs w:val="22"/>
        </w:rPr>
        <w:t xml:space="preserve">supporting the need for </w:t>
      </w:r>
      <w:r w:rsidR="0036205F" w:rsidRPr="00C164A7">
        <w:rPr>
          <w:rFonts w:eastAsia="Trebuchet MS" w:cs="Trebuchet MS"/>
          <w:szCs w:val="22"/>
        </w:rPr>
        <w:t>a longer duration (</w:t>
      </w:r>
      <w:r w:rsidR="0050265E" w:rsidRPr="00C164A7">
        <w:rPr>
          <w:rFonts w:eastAsia="Trebuchet MS" w:cs="Trebuchet MS"/>
          <w:szCs w:val="22"/>
        </w:rPr>
        <w:t>slow moving demand</w:t>
      </w:r>
      <w:r w:rsidR="0033794C" w:rsidRPr="00C164A7">
        <w:rPr>
          <w:rFonts w:eastAsia="Trebuchet MS" w:cs="Trebuchet MS"/>
          <w:szCs w:val="22"/>
        </w:rPr>
        <w:t>, etc…).</w:t>
      </w:r>
      <w:r w:rsidR="00D903DC" w:rsidRPr="00C164A7">
        <w:rPr>
          <w:lang w:val="en-US"/>
        </w:rPr>
        <w:t xml:space="preserve"> </w:t>
      </w:r>
    </w:p>
    <w:p w14:paraId="24E9C9D2" w14:textId="058C9368" w:rsidR="00266B79" w:rsidRPr="00E932A6" w:rsidRDefault="005B5517" w:rsidP="002B78DD">
      <w:pPr>
        <w:pStyle w:val="ListParagraph"/>
        <w:numPr>
          <w:ilvl w:val="0"/>
          <w:numId w:val="4"/>
        </w:numPr>
        <w:spacing w:line="312" w:lineRule="auto"/>
        <w:ind w:left="284"/>
        <w:contextualSpacing w:val="0"/>
        <w:jc w:val="both"/>
        <w:rPr>
          <w:rFonts w:eastAsia="Trebuchet MS" w:cs="Trebuchet MS"/>
          <w:color w:val="833303"/>
          <w:szCs w:val="22"/>
        </w:rPr>
      </w:pPr>
      <w:r w:rsidRPr="00E932A6">
        <w:rPr>
          <w:rFonts w:eastAsia="Trebuchet MS" w:cs="Trebuchet MS"/>
          <w:b/>
          <w:bCs/>
          <w:color w:val="833303"/>
          <w:szCs w:val="22"/>
        </w:rPr>
        <w:t xml:space="preserve">Optional </w:t>
      </w:r>
      <w:r w:rsidR="0058322D" w:rsidRPr="002B78DD">
        <w:rPr>
          <w:rFonts w:eastAsia="Trebuchet MS" w:cs="Trebuchet MS"/>
          <w:color w:val="833303"/>
          <w:szCs w:val="22"/>
        </w:rPr>
        <w:t>input</w:t>
      </w:r>
      <w:r w:rsidRPr="00E932A6">
        <w:rPr>
          <w:rFonts w:eastAsia="Trebuchet MS" w:cs="Trebuchet MS"/>
          <w:color w:val="833303"/>
          <w:szCs w:val="22"/>
        </w:rPr>
        <w:t xml:space="preserve">- </w:t>
      </w:r>
      <w:r w:rsidR="00964158" w:rsidRPr="00E932A6">
        <w:rPr>
          <w:rFonts w:eastAsia="Trebuchet MS" w:cs="Trebuchet MS"/>
          <w:color w:val="833303"/>
          <w:szCs w:val="22"/>
        </w:rPr>
        <w:t>trends in take-up by households may also be assessed to conclude on the opportunity to implement the voucher scheme.</w:t>
      </w:r>
    </w:p>
    <w:p w14:paraId="62A5AAFD" w14:textId="77777777" w:rsidR="00E932A6" w:rsidRDefault="00E500A2" w:rsidP="002B78DD">
      <w:pPr>
        <w:spacing w:line="312" w:lineRule="auto"/>
        <w:ind w:left="284"/>
        <w:jc w:val="both"/>
        <w:rPr>
          <w:rFonts w:eastAsia="Trebuchet MS" w:cs="Trebuchet MS"/>
          <w:szCs w:val="22"/>
        </w:rPr>
      </w:pPr>
      <w:r w:rsidRPr="00A30172">
        <w:rPr>
          <w:rFonts w:eastAsia="Trebuchet MS" w:cs="Trebuchet MS"/>
          <w:szCs w:val="22"/>
          <w:u w:val="single"/>
        </w:rPr>
        <w:t>What is asked here:</w:t>
      </w:r>
      <w:r w:rsidR="001321AA" w:rsidRPr="00A30172">
        <w:rPr>
          <w:rFonts w:eastAsia="Trebuchet MS" w:cs="Trebuchet MS"/>
          <w:szCs w:val="22"/>
        </w:rPr>
        <w:t xml:space="preserve"> </w:t>
      </w:r>
    </w:p>
    <w:p w14:paraId="5144785B" w14:textId="65ED7B72" w:rsidR="00DB7914" w:rsidRPr="00A30172" w:rsidRDefault="002F39F7" w:rsidP="002B78DD">
      <w:pPr>
        <w:spacing w:line="312" w:lineRule="auto"/>
        <w:ind w:left="284"/>
        <w:jc w:val="both"/>
        <w:rPr>
          <w:rFonts w:eastAsia="Trebuchet MS" w:cs="Trebuchet MS"/>
          <w:szCs w:val="22"/>
        </w:rPr>
      </w:pPr>
      <w:r w:rsidRPr="00A30172">
        <w:rPr>
          <w:rFonts w:eastAsia="Trebuchet MS" w:cs="Trebuchet MS"/>
          <w:szCs w:val="22"/>
        </w:rPr>
        <w:t>Are there any</w:t>
      </w:r>
      <w:r w:rsidR="00BF214B" w:rsidRPr="00A30172">
        <w:rPr>
          <w:rFonts w:eastAsia="Trebuchet MS" w:cs="Trebuchet MS"/>
          <w:szCs w:val="22"/>
        </w:rPr>
        <w:t xml:space="preserve"> particular</w:t>
      </w:r>
      <w:r w:rsidRPr="00A30172">
        <w:rPr>
          <w:rFonts w:eastAsia="Trebuchet MS" w:cs="Trebuchet MS"/>
          <w:szCs w:val="22"/>
        </w:rPr>
        <w:t xml:space="preserve"> trends </w:t>
      </w:r>
      <w:r w:rsidR="00BF214B" w:rsidRPr="00A30172">
        <w:rPr>
          <w:rFonts w:eastAsia="Trebuchet MS" w:cs="Trebuchet MS"/>
          <w:szCs w:val="22"/>
        </w:rPr>
        <w:t xml:space="preserve">in take-up (from the households) </w:t>
      </w:r>
      <w:r w:rsidRPr="00A30172">
        <w:rPr>
          <w:rFonts w:eastAsia="Trebuchet MS" w:cs="Trebuchet MS"/>
          <w:szCs w:val="22"/>
        </w:rPr>
        <w:t>that could help determine whether</w:t>
      </w:r>
      <w:r w:rsidR="00F462FE" w:rsidRPr="00A30172">
        <w:rPr>
          <w:rFonts w:eastAsia="Trebuchet MS" w:cs="Trebuchet MS"/>
          <w:szCs w:val="22"/>
        </w:rPr>
        <w:t>/why</w:t>
      </w:r>
      <w:r w:rsidRPr="00A30172">
        <w:rPr>
          <w:rFonts w:eastAsia="Trebuchet MS" w:cs="Trebuchet MS"/>
          <w:szCs w:val="22"/>
        </w:rPr>
        <w:t xml:space="preserve"> the</w:t>
      </w:r>
      <w:r w:rsidR="00BF214B" w:rsidRPr="00A30172">
        <w:rPr>
          <w:rFonts w:eastAsia="Trebuchet MS" w:cs="Trebuchet MS"/>
          <w:szCs w:val="22"/>
        </w:rPr>
        <w:t xml:space="preserve"> scheme </w:t>
      </w:r>
      <w:r w:rsidRPr="00A30172">
        <w:rPr>
          <w:rFonts w:eastAsia="Trebuchet MS" w:cs="Trebuchet MS"/>
          <w:szCs w:val="22"/>
        </w:rPr>
        <w:t>should be implemented?</w:t>
      </w:r>
    </w:p>
    <w:p w14:paraId="63BA6546" w14:textId="77777777" w:rsidR="00E932A6" w:rsidRPr="00E932A6" w:rsidRDefault="00E932A6" w:rsidP="002B78DD">
      <w:pPr>
        <w:spacing w:line="312" w:lineRule="auto"/>
        <w:ind w:left="284"/>
        <w:jc w:val="both"/>
        <w:rPr>
          <w:szCs w:val="22"/>
        </w:rPr>
      </w:pPr>
      <w:r w:rsidRPr="00E932A6">
        <w:rPr>
          <w:szCs w:val="22"/>
          <w:u w:val="single"/>
        </w:rPr>
        <w:t>As a reminder:</w:t>
      </w:r>
      <w:r w:rsidRPr="00E932A6">
        <w:rPr>
          <w:szCs w:val="22"/>
        </w:rPr>
        <w:t xml:space="preserve"> </w:t>
      </w:r>
    </w:p>
    <w:p w14:paraId="0CC91CA9" w14:textId="24399707" w:rsidR="006B2368" w:rsidRPr="00A30172" w:rsidRDefault="00E932A6" w:rsidP="002B78DD">
      <w:pPr>
        <w:spacing w:line="312" w:lineRule="auto"/>
        <w:ind w:left="284"/>
        <w:jc w:val="both"/>
        <w:rPr>
          <w:szCs w:val="22"/>
        </w:rPr>
      </w:pPr>
      <w:r>
        <w:rPr>
          <w:rFonts w:eastAsia="Trebuchet MS" w:cs="Trebuchet MS"/>
          <w:szCs w:val="22"/>
        </w:rPr>
        <w:t>O</w:t>
      </w:r>
      <w:r w:rsidRPr="00A30172">
        <w:rPr>
          <w:rFonts w:eastAsia="Trebuchet MS" w:cs="Trebuchet MS"/>
          <w:szCs w:val="22"/>
        </w:rPr>
        <w:t>nly if a market failure exits, state aid can be granted.</w:t>
      </w:r>
      <w:r w:rsidR="00D43FB9">
        <w:rPr>
          <w:rFonts w:eastAsia="Trebuchet MS" w:cs="Trebuchet MS"/>
          <w:szCs w:val="22"/>
        </w:rPr>
        <w:t xml:space="preserve"> </w:t>
      </w:r>
      <w:r w:rsidR="00442607" w:rsidRPr="00A30172">
        <w:rPr>
          <w:rFonts w:eastAsia="Trebuchet MS" w:cs="Trebuchet MS"/>
          <w:szCs w:val="22"/>
        </w:rPr>
        <w:t>Th</w:t>
      </w:r>
      <w:r w:rsidR="00D43FB9">
        <w:rPr>
          <w:rFonts w:eastAsia="Trebuchet MS" w:cs="Trebuchet MS"/>
          <w:szCs w:val="22"/>
        </w:rPr>
        <w:t>us even if th</w:t>
      </w:r>
      <w:r w:rsidR="00442607" w:rsidRPr="00A30172">
        <w:rPr>
          <w:rFonts w:eastAsia="Trebuchet MS" w:cs="Trebuchet MS"/>
          <w:szCs w:val="22"/>
        </w:rPr>
        <w:t xml:space="preserve">is last </w:t>
      </w:r>
      <w:r w:rsidR="0058322D" w:rsidRPr="00A30172">
        <w:rPr>
          <w:rFonts w:eastAsia="Trebuchet MS" w:cs="Trebuchet MS"/>
          <w:szCs w:val="22"/>
        </w:rPr>
        <w:t>input</w:t>
      </w:r>
      <w:r w:rsidR="00442607" w:rsidRPr="00A30172">
        <w:rPr>
          <w:rFonts w:eastAsia="Trebuchet MS" w:cs="Trebuchet MS"/>
          <w:szCs w:val="22"/>
        </w:rPr>
        <w:t xml:space="preserve"> is optional</w:t>
      </w:r>
      <w:r w:rsidR="00D43FB9">
        <w:rPr>
          <w:rFonts w:eastAsia="Trebuchet MS" w:cs="Trebuchet MS"/>
          <w:szCs w:val="22"/>
        </w:rPr>
        <w:t>, it</w:t>
      </w:r>
      <w:r w:rsidR="007F39AA" w:rsidRPr="00A30172">
        <w:rPr>
          <w:rFonts w:eastAsia="Trebuchet MS" w:cs="Trebuchet MS"/>
          <w:szCs w:val="22"/>
        </w:rPr>
        <w:t xml:space="preserve"> would help in demonstrating the presence of a market failure.</w:t>
      </w:r>
      <w:r w:rsidR="001F1204" w:rsidRPr="00A30172">
        <w:rPr>
          <w:rFonts w:eastAsia="Trebuchet MS" w:cs="Trebuchet MS"/>
          <w:szCs w:val="22"/>
        </w:rPr>
        <w:t xml:space="preserve"> </w:t>
      </w:r>
    </w:p>
    <w:sectPr w:rsidR="006B2368" w:rsidRPr="00A30172" w:rsidSect="002B78DD">
      <w:headerReference w:type="default" r:id="rId9"/>
      <w:footerReference w:type="default" r:id="rId10"/>
      <w:headerReference w:type="first" r:id="rId11"/>
      <w:footerReference w:type="first" r:id="rId12"/>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4AD7B" w14:textId="77777777" w:rsidR="00982E52" w:rsidRDefault="00982E52">
      <w:pPr>
        <w:spacing w:after="0" w:line="240" w:lineRule="auto"/>
      </w:pPr>
      <w:r>
        <w:separator/>
      </w:r>
    </w:p>
  </w:endnote>
  <w:endnote w:type="continuationSeparator" w:id="0">
    <w:p w14:paraId="602DCB7F" w14:textId="77777777" w:rsidR="00982E52" w:rsidRDefault="00982E52">
      <w:pPr>
        <w:spacing w:after="0" w:line="240" w:lineRule="auto"/>
      </w:pPr>
      <w:r>
        <w:continuationSeparator/>
      </w:r>
    </w:p>
  </w:endnote>
  <w:endnote w:type="continuationNotice" w:id="1">
    <w:p w14:paraId="7D58D671" w14:textId="77777777" w:rsidR="00982E52" w:rsidRDefault="00982E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00219031"/>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73BD0D62" w14:textId="32767874" w:rsidR="004E0CC5" w:rsidRPr="004E0CC5" w:rsidRDefault="004E0CC5">
            <w:pPr>
              <w:pStyle w:val="Footer"/>
              <w:jc w:val="right"/>
              <w:rPr>
                <w:sz w:val="20"/>
                <w:szCs w:val="20"/>
              </w:rPr>
            </w:pPr>
            <w:r w:rsidRPr="004E0CC5">
              <w:rPr>
                <w:sz w:val="20"/>
                <w:szCs w:val="20"/>
              </w:rPr>
              <w:t xml:space="preserve">Page </w:t>
            </w:r>
            <w:r w:rsidRPr="004E0CC5">
              <w:rPr>
                <w:b/>
                <w:bCs/>
                <w:sz w:val="20"/>
                <w:szCs w:val="20"/>
              </w:rPr>
              <w:fldChar w:fldCharType="begin"/>
            </w:r>
            <w:r w:rsidRPr="004E0CC5">
              <w:rPr>
                <w:b/>
                <w:bCs/>
                <w:sz w:val="20"/>
                <w:szCs w:val="20"/>
              </w:rPr>
              <w:instrText xml:space="preserve"> PAGE </w:instrText>
            </w:r>
            <w:r w:rsidRPr="004E0CC5">
              <w:rPr>
                <w:b/>
                <w:bCs/>
                <w:sz w:val="20"/>
                <w:szCs w:val="20"/>
              </w:rPr>
              <w:fldChar w:fldCharType="separate"/>
            </w:r>
            <w:r w:rsidRPr="004E0CC5">
              <w:rPr>
                <w:b/>
                <w:bCs/>
                <w:noProof/>
                <w:sz w:val="20"/>
                <w:szCs w:val="20"/>
              </w:rPr>
              <w:t>2</w:t>
            </w:r>
            <w:r w:rsidRPr="004E0CC5">
              <w:rPr>
                <w:b/>
                <w:bCs/>
                <w:sz w:val="20"/>
                <w:szCs w:val="20"/>
              </w:rPr>
              <w:fldChar w:fldCharType="end"/>
            </w:r>
            <w:r w:rsidRPr="004E0CC5">
              <w:rPr>
                <w:sz w:val="20"/>
                <w:szCs w:val="20"/>
              </w:rPr>
              <w:t xml:space="preserve"> of </w:t>
            </w:r>
            <w:r w:rsidRPr="004E0CC5">
              <w:rPr>
                <w:b/>
                <w:bCs/>
                <w:sz w:val="20"/>
                <w:szCs w:val="20"/>
              </w:rPr>
              <w:fldChar w:fldCharType="begin"/>
            </w:r>
            <w:r w:rsidRPr="004E0CC5">
              <w:rPr>
                <w:b/>
                <w:bCs/>
                <w:sz w:val="20"/>
                <w:szCs w:val="20"/>
              </w:rPr>
              <w:instrText xml:space="preserve"> NUMPAGES  </w:instrText>
            </w:r>
            <w:r w:rsidRPr="004E0CC5">
              <w:rPr>
                <w:b/>
                <w:bCs/>
                <w:sz w:val="20"/>
                <w:szCs w:val="20"/>
              </w:rPr>
              <w:fldChar w:fldCharType="separate"/>
            </w:r>
            <w:r w:rsidRPr="004E0CC5">
              <w:rPr>
                <w:b/>
                <w:bCs/>
                <w:noProof/>
                <w:sz w:val="20"/>
                <w:szCs w:val="20"/>
              </w:rPr>
              <w:t>2</w:t>
            </w:r>
            <w:r w:rsidRPr="004E0CC5">
              <w:rPr>
                <w:b/>
                <w:bCs/>
                <w:sz w:val="20"/>
                <w:szCs w:val="20"/>
              </w:rPr>
              <w:fldChar w:fldCharType="end"/>
            </w:r>
          </w:p>
        </w:sdtContent>
      </w:sdt>
    </w:sdtContent>
  </w:sdt>
  <w:p w14:paraId="2B1760B5" w14:textId="77777777" w:rsidR="00534FB2" w:rsidRPr="004E0CC5" w:rsidRDefault="00534FB2">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611D" w14:textId="77777777" w:rsidR="002B78DD" w:rsidRDefault="002B78DD" w:rsidP="00534FB2">
    <w:pPr>
      <w:spacing w:after="0" w:line="240" w:lineRule="auto"/>
      <w:jc w:val="center"/>
      <w:rPr>
        <w:rFonts w:eastAsia="Trebuchet MS" w:cs="Trebuchet MS"/>
        <w:color w:val="000000" w:themeColor="text1"/>
        <w:sz w:val="18"/>
        <w:szCs w:val="18"/>
        <w:highlight w:val="white"/>
        <w:lang w:val="fr-FR"/>
      </w:rPr>
    </w:pPr>
  </w:p>
  <w:p w14:paraId="0CF88684" w14:textId="77777777" w:rsidR="002B78DD" w:rsidRDefault="002B78DD" w:rsidP="00534FB2">
    <w:pPr>
      <w:spacing w:after="0" w:line="240" w:lineRule="auto"/>
      <w:jc w:val="center"/>
      <w:rPr>
        <w:rFonts w:eastAsia="Trebuchet MS" w:cs="Trebuchet MS"/>
        <w:color w:val="000000" w:themeColor="text1"/>
        <w:sz w:val="18"/>
        <w:szCs w:val="18"/>
        <w:highlight w:val="white"/>
        <w:lang w:val="fr-FR"/>
      </w:rPr>
    </w:pPr>
  </w:p>
  <w:p w14:paraId="52CC703B" w14:textId="0B746FFA" w:rsidR="00AB15BB" w:rsidRPr="0058750E" w:rsidRDefault="0031300B" w:rsidP="00534FB2">
    <w:pPr>
      <w:spacing w:after="0" w:line="240" w:lineRule="auto"/>
      <w:jc w:val="center"/>
      <w:rPr>
        <w:lang w:val="fr-FR"/>
      </w:rPr>
    </w:pPr>
    <w:r w:rsidRPr="000D379E">
      <w:rPr>
        <w:rFonts w:eastAsia="Trebuchet MS" w:cs="Trebuchet MS"/>
        <w:color w:val="000000" w:themeColor="text1"/>
        <w:sz w:val="18"/>
        <w:szCs w:val="18"/>
        <w:highlight w:val="white"/>
        <w:lang w:val="fr-FR"/>
      </w:rPr>
      <w:t xml:space="preserve">Clayton </w:t>
    </w:r>
    <w:r w:rsidRPr="0058750E">
      <w:rPr>
        <w:rFonts w:eastAsia="Trebuchet MS" w:cs="Trebuchet MS"/>
        <w:color w:val="643403"/>
        <w:sz w:val="18"/>
        <w:szCs w:val="18"/>
        <w:highlight w:val="white"/>
        <w:lang w:val="fr-FR"/>
      </w:rPr>
      <w:t>&amp; Segura</w:t>
    </w:r>
  </w:p>
  <w:p w14:paraId="07FA755B" w14:textId="60913998" w:rsidR="00AB15BB" w:rsidRPr="0058750E" w:rsidRDefault="00CE607D" w:rsidP="00534FB2">
    <w:pPr>
      <w:spacing w:after="0" w:line="240" w:lineRule="auto"/>
      <w:jc w:val="center"/>
      <w:rPr>
        <w:lang w:val="fr-FR"/>
      </w:rPr>
    </w:pPr>
    <w:r>
      <w:rPr>
        <w:rFonts w:eastAsia="Trebuchet MS" w:cs="Trebuchet MS"/>
        <w:sz w:val="18"/>
        <w:szCs w:val="18"/>
        <w:lang w:val="fr-FR"/>
      </w:rPr>
      <w:t>Avenue des Gaulois 9</w:t>
    </w:r>
    <w:r w:rsidR="0031300B" w:rsidRPr="0058750E">
      <w:rPr>
        <w:rFonts w:eastAsia="Trebuchet MS" w:cs="Trebuchet MS"/>
        <w:sz w:val="18"/>
        <w:szCs w:val="18"/>
        <w:lang w:val="fr-FR"/>
      </w:rPr>
      <w:t xml:space="preserve"> B-1040 Bruxelles</w:t>
    </w:r>
  </w:p>
  <w:p w14:paraId="2E74E972" w14:textId="77777777" w:rsidR="00AB15BB" w:rsidRDefault="0031300B" w:rsidP="00534FB2">
    <w:pPr>
      <w:spacing w:after="0" w:line="240" w:lineRule="auto"/>
      <w:jc w:val="center"/>
    </w:pPr>
    <w:r>
      <w:rPr>
        <w:rFonts w:eastAsia="Trebuchet MS" w:cs="Trebuchet MS"/>
        <w:sz w:val="18"/>
        <w:szCs w:val="18"/>
      </w:rPr>
      <w:t xml:space="preserve">TVA </w:t>
    </w:r>
    <w:r>
      <w:rPr>
        <w:rFonts w:eastAsia="Trebuchet MS" w:cs="Trebuchet MS"/>
        <w:sz w:val="18"/>
        <w:szCs w:val="18"/>
        <w:highlight w:val="white"/>
      </w:rPr>
      <w:t>BE 0667.725.927</w:t>
    </w:r>
  </w:p>
  <w:p w14:paraId="562C7588" w14:textId="77777777" w:rsidR="00AB15BB" w:rsidRDefault="0031300B" w:rsidP="00536712">
    <w:pPr>
      <w:tabs>
        <w:tab w:val="center" w:pos="4513"/>
        <w:tab w:val="right" w:pos="9026"/>
      </w:tabs>
      <w:spacing w:after="0" w:line="240" w:lineRule="auto"/>
      <w:jc w:val="center"/>
    </w:pPr>
    <w:r>
      <w:rPr>
        <w:rFonts w:eastAsia="Trebuchet MS" w:cs="Trebuchet MS"/>
        <w:sz w:val="18"/>
        <w:szCs w:val="18"/>
      </w:rPr>
      <w:t>www.claytonsegura.com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D8CC" w14:textId="77777777" w:rsidR="00982E52" w:rsidRDefault="00982E52">
      <w:pPr>
        <w:spacing w:after="0" w:line="240" w:lineRule="auto"/>
      </w:pPr>
      <w:r>
        <w:separator/>
      </w:r>
    </w:p>
  </w:footnote>
  <w:footnote w:type="continuationSeparator" w:id="0">
    <w:p w14:paraId="212536A1" w14:textId="77777777" w:rsidR="00982E52" w:rsidRDefault="00982E52">
      <w:pPr>
        <w:spacing w:after="0" w:line="240" w:lineRule="auto"/>
      </w:pPr>
      <w:r>
        <w:continuationSeparator/>
      </w:r>
    </w:p>
  </w:footnote>
  <w:footnote w:type="continuationNotice" w:id="1">
    <w:p w14:paraId="3AA323C1" w14:textId="77777777" w:rsidR="00982E52" w:rsidRDefault="00982E52">
      <w:pPr>
        <w:spacing w:after="0" w:line="240" w:lineRule="auto"/>
      </w:pPr>
    </w:p>
  </w:footnote>
  <w:footnote w:id="2">
    <w:p w14:paraId="00B46C3D" w14:textId="1D392AD0" w:rsidR="003D29A7" w:rsidRPr="004E0CC5" w:rsidRDefault="003D29A7">
      <w:pPr>
        <w:pStyle w:val="FootnoteText"/>
        <w:rPr>
          <w:rFonts w:cs="Arial"/>
          <w:lang w:val="fr-BE"/>
        </w:rPr>
      </w:pPr>
      <w:r w:rsidRPr="004E0CC5">
        <w:rPr>
          <w:rStyle w:val="FootnoteReference"/>
          <w:rFonts w:cs="Arial"/>
        </w:rPr>
        <w:footnoteRef/>
      </w:r>
      <w:r w:rsidRPr="004E0CC5">
        <w:rPr>
          <w:rFonts w:cs="Arial"/>
        </w:rPr>
        <w:t xml:space="preserve"> </w:t>
      </w:r>
      <w:r w:rsidR="00857E68" w:rsidRPr="004E0CC5">
        <w:rPr>
          <w:rFonts w:cs="Arial"/>
        </w:rPr>
        <w:t>Commission Notice on the definition of relevant market for the purposes of Community competition law, para</w:t>
      </w:r>
      <w:r w:rsidR="00C03541" w:rsidRPr="004E0CC5">
        <w:rPr>
          <w:rFonts w:cs="Arial"/>
        </w:rPr>
        <w:t>graphs</w:t>
      </w:r>
      <w:r w:rsidR="00857E68" w:rsidRPr="004E0CC5">
        <w:rPr>
          <w:rFonts w:cs="Arial"/>
        </w:rPr>
        <w:t xml:space="preserve"> </w:t>
      </w:r>
      <w:r w:rsidR="00C03541" w:rsidRPr="004E0CC5">
        <w:rPr>
          <w:rFonts w:cs="Arial"/>
        </w:rPr>
        <w:t>53-55.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98E65" w14:textId="77777777" w:rsidR="00AB15BB" w:rsidRPr="005E5980" w:rsidRDefault="005E5980" w:rsidP="002B78DD">
    <w:pPr>
      <w:spacing w:before="720" w:line="240" w:lineRule="auto"/>
    </w:pPr>
    <w:r>
      <w:rPr>
        <w:noProof/>
      </w:rPr>
      <w:drawing>
        <wp:anchor distT="0" distB="0" distL="114300" distR="114300" simplePos="0" relativeHeight="251658241" behindDoc="0" locked="0" layoutInCell="1" allowOverlap="0" wp14:anchorId="4E3975BD" wp14:editId="0D66A87B">
          <wp:simplePos x="0" y="0"/>
          <wp:positionH relativeFrom="column">
            <wp:posOffset>4466590</wp:posOffset>
          </wp:positionH>
          <wp:positionV relativeFrom="paragraph">
            <wp:posOffset>142240</wp:posOffset>
          </wp:positionV>
          <wp:extent cx="1214606" cy="333375"/>
          <wp:effectExtent l="0" t="0" r="508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14606" cy="333375"/>
                  </a:xfrm>
                  <a:prstGeom prst="rect">
                    <a:avLst/>
                  </a:prstGeom>
                  <a:ln/>
                </pic:spPr>
              </pic:pic>
            </a:graphicData>
          </a:graphic>
          <wp14:sizeRelH relativeFrom="margin">
            <wp14:pctWidth>0</wp14:pctWidth>
          </wp14:sizeRelH>
          <wp14:sizeRelV relativeFrom="margin">
            <wp14:pctHeight>0</wp14:pctHeight>
          </wp14:sizeRelV>
        </wp:anchor>
      </w:drawing>
    </w:r>
    <w: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8AEB" w14:textId="77777777" w:rsidR="00AB15BB" w:rsidRDefault="0031300B">
    <w:pPr>
      <w:tabs>
        <w:tab w:val="center" w:pos="4513"/>
        <w:tab w:val="right" w:pos="9026"/>
      </w:tabs>
      <w:spacing w:after="0" w:line="240" w:lineRule="auto"/>
    </w:pPr>
    <w:r>
      <w:rPr>
        <w:noProof/>
      </w:rPr>
      <w:drawing>
        <wp:anchor distT="0" distB="0" distL="114300" distR="114300" simplePos="0" relativeHeight="251658240" behindDoc="0" locked="0" layoutInCell="0" hidden="0" allowOverlap="1" wp14:anchorId="365A41D6" wp14:editId="3F9C8FB3">
          <wp:simplePos x="0" y="0"/>
          <wp:positionH relativeFrom="margin">
            <wp:posOffset>2037715</wp:posOffset>
          </wp:positionH>
          <wp:positionV relativeFrom="paragraph">
            <wp:posOffset>419100</wp:posOffset>
          </wp:positionV>
          <wp:extent cx="1772179" cy="485775"/>
          <wp:effectExtent l="0" t="0" r="0" b="0"/>
          <wp:wrapNone/>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772179" cy="485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230B"/>
    <w:multiLevelType w:val="hybridMultilevel"/>
    <w:tmpl w:val="3164446E"/>
    <w:lvl w:ilvl="0" w:tplc="20000017">
      <w:start w:val="1"/>
      <w:numFmt w:val="lowerLetter"/>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1" w15:restartNumberingAfterBreak="0">
    <w:nsid w:val="1D086C4C"/>
    <w:multiLevelType w:val="hybridMultilevel"/>
    <w:tmpl w:val="F856C828"/>
    <w:lvl w:ilvl="0" w:tplc="9A5E6DB4">
      <w:numFmt w:val="bullet"/>
      <w:lvlText w:val="-"/>
      <w:lvlJc w:val="left"/>
      <w:pPr>
        <w:ind w:left="720" w:hanging="360"/>
      </w:pPr>
      <w:rPr>
        <w:rFonts w:ascii="Trebuchet MS" w:eastAsia="Trebuchet MS" w:hAnsi="Trebuchet MS" w:cs="Trebuchet M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1574A4"/>
    <w:multiLevelType w:val="hybridMultilevel"/>
    <w:tmpl w:val="5C74281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EB4052"/>
    <w:multiLevelType w:val="multilevel"/>
    <w:tmpl w:val="8BCCB26C"/>
    <w:lvl w:ilvl="0">
      <w:start w:val="1"/>
      <w:numFmt w:val="upperRoman"/>
      <w:lvlText w:val="%1."/>
      <w:lvlJc w:val="left"/>
      <w:pPr>
        <w:tabs>
          <w:tab w:val="num" w:pos="340"/>
        </w:tabs>
        <w:ind w:left="57" w:hanging="57"/>
      </w:pPr>
      <w:rPr>
        <w:rFonts w:hint="default"/>
        <w:color w:val="643403"/>
      </w:rPr>
    </w:lvl>
    <w:lvl w:ilvl="1">
      <w:start w:val="1"/>
      <w:numFmt w:val="decimal"/>
      <w:lvlText w:val="%2."/>
      <w:lvlJc w:val="left"/>
      <w:pPr>
        <w:tabs>
          <w:tab w:val="num" w:pos="624"/>
        </w:tabs>
        <w:ind w:left="341" w:hanging="57"/>
      </w:pPr>
      <w:rPr>
        <w:rFonts w:hint="default"/>
      </w:rPr>
    </w:lvl>
    <w:lvl w:ilvl="2">
      <w:start w:val="1"/>
      <w:numFmt w:val="decimal"/>
      <w:lvlText w:val="%2.%3."/>
      <w:lvlJc w:val="left"/>
      <w:pPr>
        <w:tabs>
          <w:tab w:val="num" w:pos="908"/>
        </w:tabs>
        <w:ind w:left="284" w:firstLine="0"/>
      </w:pPr>
      <w:rPr>
        <w:rFonts w:hint="default"/>
      </w:rPr>
    </w:lvl>
    <w:lvl w:ilvl="3">
      <w:start w:val="1"/>
      <w:numFmt w:val="lowerLetter"/>
      <w:lvlText w:val="%4)"/>
      <w:lvlJc w:val="left"/>
      <w:pPr>
        <w:tabs>
          <w:tab w:val="num" w:pos="1192"/>
        </w:tabs>
        <w:ind w:left="909" w:hanging="57"/>
      </w:pPr>
      <w:rPr>
        <w:rFonts w:hint="default"/>
      </w:rPr>
    </w:lvl>
    <w:lvl w:ilvl="4">
      <w:start w:val="1"/>
      <w:numFmt w:val="decimal"/>
      <w:lvlText w:val="%1.%2.%3.%4.%5."/>
      <w:lvlJc w:val="left"/>
      <w:pPr>
        <w:tabs>
          <w:tab w:val="num" w:pos="1476"/>
        </w:tabs>
        <w:ind w:left="1193" w:hanging="57"/>
      </w:pPr>
      <w:rPr>
        <w:rFonts w:hint="default"/>
      </w:rPr>
    </w:lvl>
    <w:lvl w:ilvl="5">
      <w:start w:val="1"/>
      <w:numFmt w:val="decimal"/>
      <w:lvlText w:val="%1.%2.%3.%4.%5.%6."/>
      <w:lvlJc w:val="left"/>
      <w:pPr>
        <w:tabs>
          <w:tab w:val="num" w:pos="1760"/>
        </w:tabs>
        <w:ind w:left="1477" w:hanging="57"/>
      </w:pPr>
      <w:rPr>
        <w:rFonts w:hint="default"/>
      </w:rPr>
    </w:lvl>
    <w:lvl w:ilvl="6">
      <w:start w:val="1"/>
      <w:numFmt w:val="decimal"/>
      <w:lvlText w:val="%1.%2.%3.%4.%5.%6.%7."/>
      <w:lvlJc w:val="left"/>
      <w:pPr>
        <w:tabs>
          <w:tab w:val="num" w:pos="2044"/>
        </w:tabs>
        <w:ind w:left="1761" w:hanging="57"/>
      </w:pPr>
      <w:rPr>
        <w:rFonts w:hint="default"/>
      </w:rPr>
    </w:lvl>
    <w:lvl w:ilvl="7">
      <w:start w:val="1"/>
      <w:numFmt w:val="decimal"/>
      <w:lvlText w:val="%1.%2.%3.%4.%5.%6.%7.%8."/>
      <w:lvlJc w:val="left"/>
      <w:pPr>
        <w:tabs>
          <w:tab w:val="num" w:pos="2328"/>
        </w:tabs>
        <w:ind w:left="2045" w:hanging="57"/>
      </w:pPr>
      <w:rPr>
        <w:rFonts w:hint="default"/>
      </w:rPr>
    </w:lvl>
    <w:lvl w:ilvl="8">
      <w:start w:val="1"/>
      <w:numFmt w:val="decimal"/>
      <w:lvlText w:val="%1.%2.%3.%4.%5.%6.%7.%8.%9."/>
      <w:lvlJc w:val="left"/>
      <w:pPr>
        <w:tabs>
          <w:tab w:val="num" w:pos="2612"/>
        </w:tabs>
        <w:ind w:left="2329" w:hanging="57"/>
      </w:pPr>
      <w:rPr>
        <w:rFonts w:hint="default"/>
      </w:rPr>
    </w:lvl>
  </w:abstractNum>
  <w:abstractNum w:abstractNumId="4" w15:restartNumberingAfterBreak="0">
    <w:nsid w:val="4A892EB1"/>
    <w:multiLevelType w:val="hybridMultilevel"/>
    <w:tmpl w:val="C946F6C8"/>
    <w:lvl w:ilvl="0" w:tplc="2FE0262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B2F176C"/>
    <w:multiLevelType w:val="multilevel"/>
    <w:tmpl w:val="F3B859A0"/>
    <w:lvl w:ilvl="0">
      <w:start w:val="1"/>
      <w:numFmt w:val="upperRoman"/>
      <w:lvlText w:val="%1."/>
      <w:lvlJc w:val="left"/>
      <w:pPr>
        <w:ind w:left="360" w:firstLine="0"/>
      </w:pPr>
      <w:rPr>
        <w:rFonts w:hint="default"/>
        <w:color w:val="643403"/>
      </w:rPr>
    </w:lvl>
    <w:lvl w:ilvl="1">
      <w:start w:val="1"/>
      <w:numFmt w:val="decimal"/>
      <w:lvlText w:val="%2."/>
      <w:lvlJc w:val="left"/>
      <w:pPr>
        <w:ind w:left="792" w:firstLine="360"/>
      </w:pPr>
      <w:rPr>
        <w:rFonts w:hint="default"/>
      </w:rPr>
    </w:lvl>
    <w:lvl w:ilvl="2">
      <w:start w:val="1"/>
      <w:numFmt w:val="decimal"/>
      <w:lvlText w:val="%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5BB"/>
    <w:rsid w:val="00000D0B"/>
    <w:rsid w:val="00001C09"/>
    <w:rsid w:val="00004D62"/>
    <w:rsid w:val="0001199B"/>
    <w:rsid w:val="00012A28"/>
    <w:rsid w:val="00016531"/>
    <w:rsid w:val="000202D6"/>
    <w:rsid w:val="0002164E"/>
    <w:rsid w:val="000216C9"/>
    <w:rsid w:val="0002254A"/>
    <w:rsid w:val="000228C4"/>
    <w:rsid w:val="0002318C"/>
    <w:rsid w:val="00023CDC"/>
    <w:rsid w:val="00027C03"/>
    <w:rsid w:val="0003244C"/>
    <w:rsid w:val="00032A7C"/>
    <w:rsid w:val="00035572"/>
    <w:rsid w:val="00040053"/>
    <w:rsid w:val="00040291"/>
    <w:rsid w:val="00040DDF"/>
    <w:rsid w:val="00041109"/>
    <w:rsid w:val="00041AF1"/>
    <w:rsid w:val="00042116"/>
    <w:rsid w:val="000435D5"/>
    <w:rsid w:val="00045350"/>
    <w:rsid w:val="00045B7F"/>
    <w:rsid w:val="00045CC1"/>
    <w:rsid w:val="0005028D"/>
    <w:rsid w:val="00052E80"/>
    <w:rsid w:val="000533C1"/>
    <w:rsid w:val="00053A2B"/>
    <w:rsid w:val="00054C0A"/>
    <w:rsid w:val="00056302"/>
    <w:rsid w:val="00057532"/>
    <w:rsid w:val="00060662"/>
    <w:rsid w:val="00060A0E"/>
    <w:rsid w:val="00063325"/>
    <w:rsid w:val="00066304"/>
    <w:rsid w:val="00066E36"/>
    <w:rsid w:val="00067CDE"/>
    <w:rsid w:val="00070D42"/>
    <w:rsid w:val="000712F2"/>
    <w:rsid w:val="0007199C"/>
    <w:rsid w:val="00072C0F"/>
    <w:rsid w:val="0007323A"/>
    <w:rsid w:val="00074388"/>
    <w:rsid w:val="000746E0"/>
    <w:rsid w:val="0007485D"/>
    <w:rsid w:val="00075828"/>
    <w:rsid w:val="00081DED"/>
    <w:rsid w:val="00082360"/>
    <w:rsid w:val="00082A7D"/>
    <w:rsid w:val="00085452"/>
    <w:rsid w:val="00085838"/>
    <w:rsid w:val="00085EFF"/>
    <w:rsid w:val="0008658D"/>
    <w:rsid w:val="000869FB"/>
    <w:rsid w:val="000876DC"/>
    <w:rsid w:val="00090527"/>
    <w:rsid w:val="00091E91"/>
    <w:rsid w:val="00094C7A"/>
    <w:rsid w:val="000A2544"/>
    <w:rsid w:val="000A2D7A"/>
    <w:rsid w:val="000B2190"/>
    <w:rsid w:val="000B359C"/>
    <w:rsid w:val="000B3805"/>
    <w:rsid w:val="000B67B5"/>
    <w:rsid w:val="000B75F5"/>
    <w:rsid w:val="000C2FCA"/>
    <w:rsid w:val="000C6E87"/>
    <w:rsid w:val="000D1A93"/>
    <w:rsid w:val="000D2204"/>
    <w:rsid w:val="000D379E"/>
    <w:rsid w:val="000D3FBE"/>
    <w:rsid w:val="000D455E"/>
    <w:rsid w:val="000D49E6"/>
    <w:rsid w:val="000D615C"/>
    <w:rsid w:val="000E12DD"/>
    <w:rsid w:val="000E2232"/>
    <w:rsid w:val="000E2BBA"/>
    <w:rsid w:val="000E5D41"/>
    <w:rsid w:val="000E6777"/>
    <w:rsid w:val="000F2114"/>
    <w:rsid w:val="000F36D1"/>
    <w:rsid w:val="000F3FF1"/>
    <w:rsid w:val="0010054C"/>
    <w:rsid w:val="00100714"/>
    <w:rsid w:val="00105AB6"/>
    <w:rsid w:val="0010662A"/>
    <w:rsid w:val="00110ED7"/>
    <w:rsid w:val="001116B8"/>
    <w:rsid w:val="00114BB2"/>
    <w:rsid w:val="00120043"/>
    <w:rsid w:val="001215A7"/>
    <w:rsid w:val="001321AA"/>
    <w:rsid w:val="00143795"/>
    <w:rsid w:val="0014598F"/>
    <w:rsid w:val="00151A78"/>
    <w:rsid w:val="00151F62"/>
    <w:rsid w:val="00153C5B"/>
    <w:rsid w:val="00162C27"/>
    <w:rsid w:val="00174589"/>
    <w:rsid w:val="00186499"/>
    <w:rsid w:val="001920D6"/>
    <w:rsid w:val="00194380"/>
    <w:rsid w:val="001A11DC"/>
    <w:rsid w:val="001A73DC"/>
    <w:rsid w:val="001B0033"/>
    <w:rsid w:val="001B1C30"/>
    <w:rsid w:val="001B6CFC"/>
    <w:rsid w:val="001B6D2B"/>
    <w:rsid w:val="001C4EB2"/>
    <w:rsid w:val="001C6E9C"/>
    <w:rsid w:val="001D0E90"/>
    <w:rsid w:val="001D0EE3"/>
    <w:rsid w:val="001D2193"/>
    <w:rsid w:val="001D2CDB"/>
    <w:rsid w:val="001D2F25"/>
    <w:rsid w:val="001D73EB"/>
    <w:rsid w:val="001E5CC3"/>
    <w:rsid w:val="001E5E3B"/>
    <w:rsid w:val="001E6EBF"/>
    <w:rsid w:val="001F10CF"/>
    <w:rsid w:val="001F1204"/>
    <w:rsid w:val="001F43EE"/>
    <w:rsid w:val="001F789F"/>
    <w:rsid w:val="00202D9C"/>
    <w:rsid w:val="0020493A"/>
    <w:rsid w:val="00205138"/>
    <w:rsid w:val="002063D9"/>
    <w:rsid w:val="00216703"/>
    <w:rsid w:val="00217303"/>
    <w:rsid w:val="002179AF"/>
    <w:rsid w:val="00221CDC"/>
    <w:rsid w:val="00222887"/>
    <w:rsid w:val="00226CF9"/>
    <w:rsid w:val="002313BF"/>
    <w:rsid w:val="0023239C"/>
    <w:rsid w:val="00234EBE"/>
    <w:rsid w:val="00235ED6"/>
    <w:rsid w:val="002363B7"/>
    <w:rsid w:val="002410FF"/>
    <w:rsid w:val="002417AC"/>
    <w:rsid w:val="0024724A"/>
    <w:rsid w:val="002514A9"/>
    <w:rsid w:val="00251965"/>
    <w:rsid w:val="00252660"/>
    <w:rsid w:val="0025652E"/>
    <w:rsid w:val="00256F3F"/>
    <w:rsid w:val="002573EF"/>
    <w:rsid w:val="00257B7B"/>
    <w:rsid w:val="002605A1"/>
    <w:rsid w:val="00260EBF"/>
    <w:rsid w:val="00261D69"/>
    <w:rsid w:val="002626D0"/>
    <w:rsid w:val="00264F26"/>
    <w:rsid w:val="00266B79"/>
    <w:rsid w:val="0027328F"/>
    <w:rsid w:val="00274992"/>
    <w:rsid w:val="00276334"/>
    <w:rsid w:val="00282B5B"/>
    <w:rsid w:val="00282BFB"/>
    <w:rsid w:val="00284B5E"/>
    <w:rsid w:val="00287FF2"/>
    <w:rsid w:val="00290B3E"/>
    <w:rsid w:val="00291B88"/>
    <w:rsid w:val="00294FCD"/>
    <w:rsid w:val="0029534F"/>
    <w:rsid w:val="00295DDD"/>
    <w:rsid w:val="00295DEE"/>
    <w:rsid w:val="0029688E"/>
    <w:rsid w:val="002A18F5"/>
    <w:rsid w:val="002A2D6B"/>
    <w:rsid w:val="002B0501"/>
    <w:rsid w:val="002B19A7"/>
    <w:rsid w:val="002B5558"/>
    <w:rsid w:val="002B5B46"/>
    <w:rsid w:val="002B7721"/>
    <w:rsid w:val="002B78DD"/>
    <w:rsid w:val="002C2921"/>
    <w:rsid w:val="002C29E4"/>
    <w:rsid w:val="002C4004"/>
    <w:rsid w:val="002C6721"/>
    <w:rsid w:val="002C7CB5"/>
    <w:rsid w:val="002D2086"/>
    <w:rsid w:val="002D287C"/>
    <w:rsid w:val="002D68DC"/>
    <w:rsid w:val="002D7F28"/>
    <w:rsid w:val="002E2D17"/>
    <w:rsid w:val="002E409F"/>
    <w:rsid w:val="002E665F"/>
    <w:rsid w:val="002F058D"/>
    <w:rsid w:val="002F1726"/>
    <w:rsid w:val="002F24F2"/>
    <w:rsid w:val="002F2E19"/>
    <w:rsid w:val="002F39F7"/>
    <w:rsid w:val="002F4319"/>
    <w:rsid w:val="002F4564"/>
    <w:rsid w:val="002F54B6"/>
    <w:rsid w:val="00302210"/>
    <w:rsid w:val="00302B59"/>
    <w:rsid w:val="0030345D"/>
    <w:rsid w:val="0030638D"/>
    <w:rsid w:val="0030739D"/>
    <w:rsid w:val="00307A1D"/>
    <w:rsid w:val="0031300B"/>
    <w:rsid w:val="00317C4E"/>
    <w:rsid w:val="00320249"/>
    <w:rsid w:val="003210AC"/>
    <w:rsid w:val="00321425"/>
    <w:rsid w:val="00331964"/>
    <w:rsid w:val="003323FD"/>
    <w:rsid w:val="00332957"/>
    <w:rsid w:val="00333718"/>
    <w:rsid w:val="00334D4B"/>
    <w:rsid w:val="003367F2"/>
    <w:rsid w:val="00336C06"/>
    <w:rsid w:val="0033794C"/>
    <w:rsid w:val="00337984"/>
    <w:rsid w:val="00343403"/>
    <w:rsid w:val="003437B1"/>
    <w:rsid w:val="00347F61"/>
    <w:rsid w:val="0035073B"/>
    <w:rsid w:val="003508B8"/>
    <w:rsid w:val="003551CC"/>
    <w:rsid w:val="00356CDE"/>
    <w:rsid w:val="00356F63"/>
    <w:rsid w:val="0036205F"/>
    <w:rsid w:val="00363C53"/>
    <w:rsid w:val="003674E2"/>
    <w:rsid w:val="00374D2F"/>
    <w:rsid w:val="00375CB5"/>
    <w:rsid w:val="00376D5F"/>
    <w:rsid w:val="00377458"/>
    <w:rsid w:val="00380264"/>
    <w:rsid w:val="0038099B"/>
    <w:rsid w:val="003856B9"/>
    <w:rsid w:val="00390FCE"/>
    <w:rsid w:val="00391826"/>
    <w:rsid w:val="003932AF"/>
    <w:rsid w:val="003933A5"/>
    <w:rsid w:val="00393989"/>
    <w:rsid w:val="00394340"/>
    <w:rsid w:val="0039724A"/>
    <w:rsid w:val="003A5800"/>
    <w:rsid w:val="003A6CB0"/>
    <w:rsid w:val="003B06EF"/>
    <w:rsid w:val="003B1210"/>
    <w:rsid w:val="003B36C4"/>
    <w:rsid w:val="003B467E"/>
    <w:rsid w:val="003B6391"/>
    <w:rsid w:val="003C1066"/>
    <w:rsid w:val="003C26D6"/>
    <w:rsid w:val="003C3026"/>
    <w:rsid w:val="003C3EAF"/>
    <w:rsid w:val="003C55F9"/>
    <w:rsid w:val="003C5D1D"/>
    <w:rsid w:val="003D29A7"/>
    <w:rsid w:val="003D3C71"/>
    <w:rsid w:val="003D4F64"/>
    <w:rsid w:val="003E384A"/>
    <w:rsid w:val="003F0CC9"/>
    <w:rsid w:val="003F1C6D"/>
    <w:rsid w:val="003F1F7F"/>
    <w:rsid w:val="003F3E1E"/>
    <w:rsid w:val="003F4A87"/>
    <w:rsid w:val="003F4FD9"/>
    <w:rsid w:val="003F548C"/>
    <w:rsid w:val="003F70C8"/>
    <w:rsid w:val="004053A8"/>
    <w:rsid w:val="004071D9"/>
    <w:rsid w:val="00407A71"/>
    <w:rsid w:val="00410991"/>
    <w:rsid w:val="004164CD"/>
    <w:rsid w:val="004168D2"/>
    <w:rsid w:val="0041708E"/>
    <w:rsid w:val="004170AB"/>
    <w:rsid w:val="00420E60"/>
    <w:rsid w:val="00421401"/>
    <w:rsid w:val="0042202F"/>
    <w:rsid w:val="00422D20"/>
    <w:rsid w:val="00423613"/>
    <w:rsid w:val="0042667C"/>
    <w:rsid w:val="00431984"/>
    <w:rsid w:val="00442607"/>
    <w:rsid w:val="00443EA2"/>
    <w:rsid w:val="004513D0"/>
    <w:rsid w:val="0045299A"/>
    <w:rsid w:val="00452B6F"/>
    <w:rsid w:val="00454410"/>
    <w:rsid w:val="00455DC9"/>
    <w:rsid w:val="004611F6"/>
    <w:rsid w:val="00464141"/>
    <w:rsid w:val="00464DEC"/>
    <w:rsid w:val="0047158C"/>
    <w:rsid w:val="00472C68"/>
    <w:rsid w:val="00476550"/>
    <w:rsid w:val="00477B37"/>
    <w:rsid w:val="004838D5"/>
    <w:rsid w:val="00490D03"/>
    <w:rsid w:val="0049166F"/>
    <w:rsid w:val="00497771"/>
    <w:rsid w:val="00497F2F"/>
    <w:rsid w:val="004A0A96"/>
    <w:rsid w:val="004A33D6"/>
    <w:rsid w:val="004B4A9E"/>
    <w:rsid w:val="004B6D43"/>
    <w:rsid w:val="004C5A24"/>
    <w:rsid w:val="004C643C"/>
    <w:rsid w:val="004E0CC5"/>
    <w:rsid w:val="004E3009"/>
    <w:rsid w:val="004E787B"/>
    <w:rsid w:val="004F4D38"/>
    <w:rsid w:val="004F5CFA"/>
    <w:rsid w:val="00501C9E"/>
    <w:rsid w:val="0050265E"/>
    <w:rsid w:val="00503989"/>
    <w:rsid w:val="00504613"/>
    <w:rsid w:val="005060FE"/>
    <w:rsid w:val="0051077E"/>
    <w:rsid w:val="005123E2"/>
    <w:rsid w:val="0051248E"/>
    <w:rsid w:val="005129DC"/>
    <w:rsid w:val="005138F1"/>
    <w:rsid w:val="0051635A"/>
    <w:rsid w:val="00517143"/>
    <w:rsid w:val="005177D7"/>
    <w:rsid w:val="005216BD"/>
    <w:rsid w:val="00524E9A"/>
    <w:rsid w:val="00525D4A"/>
    <w:rsid w:val="00527787"/>
    <w:rsid w:val="00530C99"/>
    <w:rsid w:val="00534FB2"/>
    <w:rsid w:val="00536712"/>
    <w:rsid w:val="005370FC"/>
    <w:rsid w:val="00541CAB"/>
    <w:rsid w:val="00544800"/>
    <w:rsid w:val="00550681"/>
    <w:rsid w:val="005509FD"/>
    <w:rsid w:val="00553B4A"/>
    <w:rsid w:val="00556280"/>
    <w:rsid w:val="00557090"/>
    <w:rsid w:val="00561D4B"/>
    <w:rsid w:val="00563356"/>
    <w:rsid w:val="00563D19"/>
    <w:rsid w:val="00566A62"/>
    <w:rsid w:val="0057168A"/>
    <w:rsid w:val="00574485"/>
    <w:rsid w:val="0057470D"/>
    <w:rsid w:val="005769B6"/>
    <w:rsid w:val="00576FEB"/>
    <w:rsid w:val="005808B1"/>
    <w:rsid w:val="00581692"/>
    <w:rsid w:val="00582FDB"/>
    <w:rsid w:val="0058322D"/>
    <w:rsid w:val="005841C4"/>
    <w:rsid w:val="0058586F"/>
    <w:rsid w:val="00586E4F"/>
    <w:rsid w:val="0058750E"/>
    <w:rsid w:val="00591101"/>
    <w:rsid w:val="00591307"/>
    <w:rsid w:val="00592771"/>
    <w:rsid w:val="00593A50"/>
    <w:rsid w:val="0059646D"/>
    <w:rsid w:val="005A276A"/>
    <w:rsid w:val="005B0BB0"/>
    <w:rsid w:val="005B21D9"/>
    <w:rsid w:val="005B4A74"/>
    <w:rsid w:val="005B4AD3"/>
    <w:rsid w:val="005B5517"/>
    <w:rsid w:val="005C2EFB"/>
    <w:rsid w:val="005C3979"/>
    <w:rsid w:val="005C4852"/>
    <w:rsid w:val="005C60C2"/>
    <w:rsid w:val="005D01ED"/>
    <w:rsid w:val="005D0387"/>
    <w:rsid w:val="005D1503"/>
    <w:rsid w:val="005E044D"/>
    <w:rsid w:val="005E0ACA"/>
    <w:rsid w:val="005E0FD1"/>
    <w:rsid w:val="005E1FF6"/>
    <w:rsid w:val="005E4138"/>
    <w:rsid w:val="005E5980"/>
    <w:rsid w:val="005E5D13"/>
    <w:rsid w:val="005E6FA1"/>
    <w:rsid w:val="005F0FC0"/>
    <w:rsid w:val="005F21CA"/>
    <w:rsid w:val="005F2AD2"/>
    <w:rsid w:val="00602E84"/>
    <w:rsid w:val="006063B3"/>
    <w:rsid w:val="0061015A"/>
    <w:rsid w:val="00610D76"/>
    <w:rsid w:val="00612632"/>
    <w:rsid w:val="0061362A"/>
    <w:rsid w:val="00613F47"/>
    <w:rsid w:val="006140D6"/>
    <w:rsid w:val="006163AC"/>
    <w:rsid w:val="006236A2"/>
    <w:rsid w:val="006236D0"/>
    <w:rsid w:val="0063238A"/>
    <w:rsid w:val="006358E9"/>
    <w:rsid w:val="006401DA"/>
    <w:rsid w:val="00645EE7"/>
    <w:rsid w:val="006502F9"/>
    <w:rsid w:val="0066036B"/>
    <w:rsid w:val="00662D68"/>
    <w:rsid w:val="00662DE9"/>
    <w:rsid w:val="00663B04"/>
    <w:rsid w:val="00665329"/>
    <w:rsid w:val="00665B0A"/>
    <w:rsid w:val="00665BFB"/>
    <w:rsid w:val="00670A16"/>
    <w:rsid w:val="00672A56"/>
    <w:rsid w:val="00672D76"/>
    <w:rsid w:val="00673691"/>
    <w:rsid w:val="0067446A"/>
    <w:rsid w:val="00674EBF"/>
    <w:rsid w:val="00676EE1"/>
    <w:rsid w:val="0067768A"/>
    <w:rsid w:val="006832A8"/>
    <w:rsid w:val="00685C12"/>
    <w:rsid w:val="00686584"/>
    <w:rsid w:val="00693DA5"/>
    <w:rsid w:val="00693FE6"/>
    <w:rsid w:val="00695E31"/>
    <w:rsid w:val="00695E4F"/>
    <w:rsid w:val="006A2ADA"/>
    <w:rsid w:val="006A3214"/>
    <w:rsid w:val="006A4DB7"/>
    <w:rsid w:val="006A5120"/>
    <w:rsid w:val="006A78C5"/>
    <w:rsid w:val="006B0C4E"/>
    <w:rsid w:val="006B0C62"/>
    <w:rsid w:val="006B2368"/>
    <w:rsid w:val="006B2427"/>
    <w:rsid w:val="006B2920"/>
    <w:rsid w:val="006B37EF"/>
    <w:rsid w:val="006B430E"/>
    <w:rsid w:val="006B65E3"/>
    <w:rsid w:val="006B6C8A"/>
    <w:rsid w:val="006B758A"/>
    <w:rsid w:val="006C00C0"/>
    <w:rsid w:val="006C0119"/>
    <w:rsid w:val="006C4486"/>
    <w:rsid w:val="006C5FF4"/>
    <w:rsid w:val="006C6D39"/>
    <w:rsid w:val="006D28F4"/>
    <w:rsid w:val="006D558A"/>
    <w:rsid w:val="006D59BE"/>
    <w:rsid w:val="006D5D69"/>
    <w:rsid w:val="006D7016"/>
    <w:rsid w:val="006E06B6"/>
    <w:rsid w:val="006E0FAD"/>
    <w:rsid w:val="006E25F3"/>
    <w:rsid w:val="006E49B3"/>
    <w:rsid w:val="006E52C5"/>
    <w:rsid w:val="006F25A9"/>
    <w:rsid w:val="006F2926"/>
    <w:rsid w:val="006F68B3"/>
    <w:rsid w:val="006F72CF"/>
    <w:rsid w:val="006F7D0B"/>
    <w:rsid w:val="0070100E"/>
    <w:rsid w:val="007104DB"/>
    <w:rsid w:val="007119FA"/>
    <w:rsid w:val="00711ECB"/>
    <w:rsid w:val="007153C4"/>
    <w:rsid w:val="00716BAC"/>
    <w:rsid w:val="00717B8B"/>
    <w:rsid w:val="00717CBD"/>
    <w:rsid w:val="007323AD"/>
    <w:rsid w:val="00733128"/>
    <w:rsid w:val="007336FC"/>
    <w:rsid w:val="0073409D"/>
    <w:rsid w:val="00734C70"/>
    <w:rsid w:val="00734EC2"/>
    <w:rsid w:val="00736689"/>
    <w:rsid w:val="00740093"/>
    <w:rsid w:val="00741DF4"/>
    <w:rsid w:val="007431E4"/>
    <w:rsid w:val="00746480"/>
    <w:rsid w:val="007466AF"/>
    <w:rsid w:val="007522EA"/>
    <w:rsid w:val="007522EB"/>
    <w:rsid w:val="0075319A"/>
    <w:rsid w:val="007536D9"/>
    <w:rsid w:val="007540E7"/>
    <w:rsid w:val="00754D4C"/>
    <w:rsid w:val="00755E63"/>
    <w:rsid w:val="00760757"/>
    <w:rsid w:val="00761965"/>
    <w:rsid w:val="0076458D"/>
    <w:rsid w:val="00771ABC"/>
    <w:rsid w:val="00772380"/>
    <w:rsid w:val="00772916"/>
    <w:rsid w:val="00772D85"/>
    <w:rsid w:val="00773113"/>
    <w:rsid w:val="00776080"/>
    <w:rsid w:val="00777717"/>
    <w:rsid w:val="00780136"/>
    <w:rsid w:val="00780232"/>
    <w:rsid w:val="00782E30"/>
    <w:rsid w:val="00783E58"/>
    <w:rsid w:val="00786582"/>
    <w:rsid w:val="007874BD"/>
    <w:rsid w:val="00787D76"/>
    <w:rsid w:val="00791DDE"/>
    <w:rsid w:val="00792385"/>
    <w:rsid w:val="007A0CFB"/>
    <w:rsid w:val="007A2AC7"/>
    <w:rsid w:val="007A4BD4"/>
    <w:rsid w:val="007A66D0"/>
    <w:rsid w:val="007B0D2D"/>
    <w:rsid w:val="007B6A02"/>
    <w:rsid w:val="007C3A33"/>
    <w:rsid w:val="007C4568"/>
    <w:rsid w:val="007C59D0"/>
    <w:rsid w:val="007C5BA6"/>
    <w:rsid w:val="007D0D05"/>
    <w:rsid w:val="007D4B08"/>
    <w:rsid w:val="007E13A2"/>
    <w:rsid w:val="007E2398"/>
    <w:rsid w:val="007E29C7"/>
    <w:rsid w:val="007E312A"/>
    <w:rsid w:val="007E4966"/>
    <w:rsid w:val="007F0827"/>
    <w:rsid w:val="007F0944"/>
    <w:rsid w:val="007F39AA"/>
    <w:rsid w:val="007F3FD9"/>
    <w:rsid w:val="007F605A"/>
    <w:rsid w:val="008003AA"/>
    <w:rsid w:val="00801148"/>
    <w:rsid w:val="008031EE"/>
    <w:rsid w:val="00807321"/>
    <w:rsid w:val="008073BB"/>
    <w:rsid w:val="00807E44"/>
    <w:rsid w:val="00810BFA"/>
    <w:rsid w:val="008146FA"/>
    <w:rsid w:val="0081562D"/>
    <w:rsid w:val="008165BC"/>
    <w:rsid w:val="00822367"/>
    <w:rsid w:val="00826816"/>
    <w:rsid w:val="008304F7"/>
    <w:rsid w:val="00831F4B"/>
    <w:rsid w:val="0083537A"/>
    <w:rsid w:val="008430E1"/>
    <w:rsid w:val="00844EA5"/>
    <w:rsid w:val="008504A5"/>
    <w:rsid w:val="0085097A"/>
    <w:rsid w:val="00851CF0"/>
    <w:rsid w:val="008558A2"/>
    <w:rsid w:val="0085618D"/>
    <w:rsid w:val="00856A20"/>
    <w:rsid w:val="0085701E"/>
    <w:rsid w:val="00857E68"/>
    <w:rsid w:val="0086119B"/>
    <w:rsid w:val="00866EAE"/>
    <w:rsid w:val="00867DC2"/>
    <w:rsid w:val="0087117E"/>
    <w:rsid w:val="008727A0"/>
    <w:rsid w:val="00875DDB"/>
    <w:rsid w:val="00876531"/>
    <w:rsid w:val="00877D6B"/>
    <w:rsid w:val="0088070D"/>
    <w:rsid w:val="0088179D"/>
    <w:rsid w:val="0088525C"/>
    <w:rsid w:val="008857A7"/>
    <w:rsid w:val="008902D9"/>
    <w:rsid w:val="00891BC0"/>
    <w:rsid w:val="00893E73"/>
    <w:rsid w:val="008942CE"/>
    <w:rsid w:val="0089545F"/>
    <w:rsid w:val="00896018"/>
    <w:rsid w:val="008975F9"/>
    <w:rsid w:val="008A13F0"/>
    <w:rsid w:val="008A1B94"/>
    <w:rsid w:val="008A2BD5"/>
    <w:rsid w:val="008A5512"/>
    <w:rsid w:val="008A5C82"/>
    <w:rsid w:val="008A6CE3"/>
    <w:rsid w:val="008A7279"/>
    <w:rsid w:val="008A7DB1"/>
    <w:rsid w:val="008B038C"/>
    <w:rsid w:val="008B1104"/>
    <w:rsid w:val="008C1AFD"/>
    <w:rsid w:val="008C34E8"/>
    <w:rsid w:val="008C3FE9"/>
    <w:rsid w:val="008D3099"/>
    <w:rsid w:val="008D5984"/>
    <w:rsid w:val="008E4CD6"/>
    <w:rsid w:val="008F0B65"/>
    <w:rsid w:val="008F40A5"/>
    <w:rsid w:val="008F5068"/>
    <w:rsid w:val="008F5311"/>
    <w:rsid w:val="008F5620"/>
    <w:rsid w:val="008F792D"/>
    <w:rsid w:val="009000A9"/>
    <w:rsid w:val="0090186E"/>
    <w:rsid w:val="009032F8"/>
    <w:rsid w:val="00911049"/>
    <w:rsid w:val="009132BE"/>
    <w:rsid w:val="0091578A"/>
    <w:rsid w:val="00917DC4"/>
    <w:rsid w:val="00921FDB"/>
    <w:rsid w:val="0092221B"/>
    <w:rsid w:val="00923CA4"/>
    <w:rsid w:val="00925CB6"/>
    <w:rsid w:val="00927B05"/>
    <w:rsid w:val="00931B8E"/>
    <w:rsid w:val="00934DFF"/>
    <w:rsid w:val="00940131"/>
    <w:rsid w:val="00941E2E"/>
    <w:rsid w:val="00942A61"/>
    <w:rsid w:val="00944490"/>
    <w:rsid w:val="00951EE8"/>
    <w:rsid w:val="00954841"/>
    <w:rsid w:val="00954A2C"/>
    <w:rsid w:val="00954EAB"/>
    <w:rsid w:val="00964158"/>
    <w:rsid w:val="009645C0"/>
    <w:rsid w:val="00964BBC"/>
    <w:rsid w:val="00966724"/>
    <w:rsid w:val="00970CF4"/>
    <w:rsid w:val="00974F2F"/>
    <w:rsid w:val="00977276"/>
    <w:rsid w:val="00982E52"/>
    <w:rsid w:val="00983CAA"/>
    <w:rsid w:val="00986196"/>
    <w:rsid w:val="009870A5"/>
    <w:rsid w:val="00987407"/>
    <w:rsid w:val="009918AD"/>
    <w:rsid w:val="009935C1"/>
    <w:rsid w:val="0099386E"/>
    <w:rsid w:val="00995AD1"/>
    <w:rsid w:val="009A070D"/>
    <w:rsid w:val="009A0933"/>
    <w:rsid w:val="009A64A2"/>
    <w:rsid w:val="009B1B56"/>
    <w:rsid w:val="009B286C"/>
    <w:rsid w:val="009B5D97"/>
    <w:rsid w:val="009B78BE"/>
    <w:rsid w:val="009C054A"/>
    <w:rsid w:val="009C109D"/>
    <w:rsid w:val="009C30DB"/>
    <w:rsid w:val="009D0FEB"/>
    <w:rsid w:val="009D24BA"/>
    <w:rsid w:val="009D295E"/>
    <w:rsid w:val="009E4A0E"/>
    <w:rsid w:val="009E5771"/>
    <w:rsid w:val="009F0171"/>
    <w:rsid w:val="009F29C4"/>
    <w:rsid w:val="009F3C32"/>
    <w:rsid w:val="009F5BAE"/>
    <w:rsid w:val="009F5D83"/>
    <w:rsid w:val="009F5F70"/>
    <w:rsid w:val="009F5F91"/>
    <w:rsid w:val="00A00828"/>
    <w:rsid w:val="00A01E75"/>
    <w:rsid w:val="00A04328"/>
    <w:rsid w:val="00A04E95"/>
    <w:rsid w:val="00A0626D"/>
    <w:rsid w:val="00A072BE"/>
    <w:rsid w:val="00A07903"/>
    <w:rsid w:val="00A10115"/>
    <w:rsid w:val="00A20F45"/>
    <w:rsid w:val="00A22615"/>
    <w:rsid w:val="00A239B8"/>
    <w:rsid w:val="00A30172"/>
    <w:rsid w:val="00A32456"/>
    <w:rsid w:val="00A359B1"/>
    <w:rsid w:val="00A364A1"/>
    <w:rsid w:val="00A411DB"/>
    <w:rsid w:val="00A4438D"/>
    <w:rsid w:val="00A44C5A"/>
    <w:rsid w:val="00A459A1"/>
    <w:rsid w:val="00A50A33"/>
    <w:rsid w:val="00A518BC"/>
    <w:rsid w:val="00A51903"/>
    <w:rsid w:val="00A525EC"/>
    <w:rsid w:val="00A528D0"/>
    <w:rsid w:val="00A56FC6"/>
    <w:rsid w:val="00A576A2"/>
    <w:rsid w:val="00A62535"/>
    <w:rsid w:val="00A62E07"/>
    <w:rsid w:val="00A6649C"/>
    <w:rsid w:val="00A73C4F"/>
    <w:rsid w:val="00A75824"/>
    <w:rsid w:val="00A76383"/>
    <w:rsid w:val="00A802D7"/>
    <w:rsid w:val="00A84274"/>
    <w:rsid w:val="00A84668"/>
    <w:rsid w:val="00A851D4"/>
    <w:rsid w:val="00A85B17"/>
    <w:rsid w:val="00A86D86"/>
    <w:rsid w:val="00A91EAA"/>
    <w:rsid w:val="00A9215A"/>
    <w:rsid w:val="00A96A9E"/>
    <w:rsid w:val="00A97FBD"/>
    <w:rsid w:val="00AA11D8"/>
    <w:rsid w:val="00AA1B77"/>
    <w:rsid w:val="00AA3440"/>
    <w:rsid w:val="00AA6DE6"/>
    <w:rsid w:val="00AA74EF"/>
    <w:rsid w:val="00AB01DE"/>
    <w:rsid w:val="00AB07FA"/>
    <w:rsid w:val="00AB15BB"/>
    <w:rsid w:val="00AB37A2"/>
    <w:rsid w:val="00AB6D2E"/>
    <w:rsid w:val="00AB7B3E"/>
    <w:rsid w:val="00AC26D3"/>
    <w:rsid w:val="00AC5766"/>
    <w:rsid w:val="00AC689C"/>
    <w:rsid w:val="00AE0884"/>
    <w:rsid w:val="00AE0C69"/>
    <w:rsid w:val="00AE1617"/>
    <w:rsid w:val="00AE2B3F"/>
    <w:rsid w:val="00AE4BC6"/>
    <w:rsid w:val="00AE7131"/>
    <w:rsid w:val="00AF2B18"/>
    <w:rsid w:val="00AF34F3"/>
    <w:rsid w:val="00AF610B"/>
    <w:rsid w:val="00B019D1"/>
    <w:rsid w:val="00B021D6"/>
    <w:rsid w:val="00B04F37"/>
    <w:rsid w:val="00B0521D"/>
    <w:rsid w:val="00B06196"/>
    <w:rsid w:val="00B07225"/>
    <w:rsid w:val="00B128EE"/>
    <w:rsid w:val="00B165EB"/>
    <w:rsid w:val="00B177B2"/>
    <w:rsid w:val="00B23B42"/>
    <w:rsid w:val="00B2463C"/>
    <w:rsid w:val="00B3017F"/>
    <w:rsid w:val="00B33F8A"/>
    <w:rsid w:val="00B366CC"/>
    <w:rsid w:val="00B366DD"/>
    <w:rsid w:val="00B41654"/>
    <w:rsid w:val="00B41A10"/>
    <w:rsid w:val="00B41A6B"/>
    <w:rsid w:val="00B4235A"/>
    <w:rsid w:val="00B42E01"/>
    <w:rsid w:val="00B447A7"/>
    <w:rsid w:val="00B44D2E"/>
    <w:rsid w:val="00B46C9D"/>
    <w:rsid w:val="00B47A2A"/>
    <w:rsid w:val="00B52619"/>
    <w:rsid w:val="00B52F7B"/>
    <w:rsid w:val="00B54C49"/>
    <w:rsid w:val="00B602FC"/>
    <w:rsid w:val="00B60AE5"/>
    <w:rsid w:val="00B612FC"/>
    <w:rsid w:val="00B62B09"/>
    <w:rsid w:val="00B6365A"/>
    <w:rsid w:val="00B64083"/>
    <w:rsid w:val="00B64A55"/>
    <w:rsid w:val="00B651FA"/>
    <w:rsid w:val="00B654A1"/>
    <w:rsid w:val="00B65642"/>
    <w:rsid w:val="00B720EA"/>
    <w:rsid w:val="00B7323D"/>
    <w:rsid w:val="00B76843"/>
    <w:rsid w:val="00B8013B"/>
    <w:rsid w:val="00B837AC"/>
    <w:rsid w:val="00B85E2A"/>
    <w:rsid w:val="00B8743D"/>
    <w:rsid w:val="00B87EC7"/>
    <w:rsid w:val="00B90026"/>
    <w:rsid w:val="00B916B7"/>
    <w:rsid w:val="00B9398C"/>
    <w:rsid w:val="00B9409D"/>
    <w:rsid w:val="00B95DCC"/>
    <w:rsid w:val="00B97A10"/>
    <w:rsid w:val="00BA57C1"/>
    <w:rsid w:val="00BA72C5"/>
    <w:rsid w:val="00BA7634"/>
    <w:rsid w:val="00BB13A7"/>
    <w:rsid w:val="00BB1610"/>
    <w:rsid w:val="00BC2B32"/>
    <w:rsid w:val="00BC2B56"/>
    <w:rsid w:val="00BD1294"/>
    <w:rsid w:val="00BD20E0"/>
    <w:rsid w:val="00BD4E66"/>
    <w:rsid w:val="00BD51A2"/>
    <w:rsid w:val="00BD565F"/>
    <w:rsid w:val="00BE3EB8"/>
    <w:rsid w:val="00BE5251"/>
    <w:rsid w:val="00BE71A9"/>
    <w:rsid w:val="00BF214B"/>
    <w:rsid w:val="00BF2B71"/>
    <w:rsid w:val="00BF4727"/>
    <w:rsid w:val="00BF4EEE"/>
    <w:rsid w:val="00BF67E5"/>
    <w:rsid w:val="00C00477"/>
    <w:rsid w:val="00C01544"/>
    <w:rsid w:val="00C03541"/>
    <w:rsid w:val="00C04E65"/>
    <w:rsid w:val="00C079AF"/>
    <w:rsid w:val="00C164A7"/>
    <w:rsid w:val="00C22744"/>
    <w:rsid w:val="00C233DE"/>
    <w:rsid w:val="00C254D2"/>
    <w:rsid w:val="00C26E97"/>
    <w:rsid w:val="00C27F94"/>
    <w:rsid w:val="00C30C3D"/>
    <w:rsid w:val="00C33874"/>
    <w:rsid w:val="00C36AED"/>
    <w:rsid w:val="00C40488"/>
    <w:rsid w:val="00C41DD9"/>
    <w:rsid w:val="00C42B95"/>
    <w:rsid w:val="00C43BFA"/>
    <w:rsid w:val="00C44EE1"/>
    <w:rsid w:val="00C455B7"/>
    <w:rsid w:val="00C45694"/>
    <w:rsid w:val="00C4598B"/>
    <w:rsid w:val="00C56707"/>
    <w:rsid w:val="00C56F99"/>
    <w:rsid w:val="00C570F9"/>
    <w:rsid w:val="00C578A8"/>
    <w:rsid w:val="00C613D6"/>
    <w:rsid w:val="00C63DC8"/>
    <w:rsid w:val="00C70098"/>
    <w:rsid w:val="00C70F59"/>
    <w:rsid w:val="00C758E4"/>
    <w:rsid w:val="00C75A3D"/>
    <w:rsid w:val="00C76C18"/>
    <w:rsid w:val="00C80128"/>
    <w:rsid w:val="00C80EB6"/>
    <w:rsid w:val="00C8190C"/>
    <w:rsid w:val="00C8243E"/>
    <w:rsid w:val="00C836A8"/>
    <w:rsid w:val="00C84F7B"/>
    <w:rsid w:val="00C923E1"/>
    <w:rsid w:val="00C94248"/>
    <w:rsid w:val="00C946B6"/>
    <w:rsid w:val="00C951C3"/>
    <w:rsid w:val="00C96179"/>
    <w:rsid w:val="00C96225"/>
    <w:rsid w:val="00CA0857"/>
    <w:rsid w:val="00CA3B3D"/>
    <w:rsid w:val="00CA5491"/>
    <w:rsid w:val="00CA5620"/>
    <w:rsid w:val="00CB5B6A"/>
    <w:rsid w:val="00CB7313"/>
    <w:rsid w:val="00CB7920"/>
    <w:rsid w:val="00CC0D99"/>
    <w:rsid w:val="00CC1E8A"/>
    <w:rsid w:val="00CC2ABB"/>
    <w:rsid w:val="00CC330D"/>
    <w:rsid w:val="00CC3A8B"/>
    <w:rsid w:val="00CC3D34"/>
    <w:rsid w:val="00CC4F99"/>
    <w:rsid w:val="00CC61E5"/>
    <w:rsid w:val="00CC723F"/>
    <w:rsid w:val="00CD048B"/>
    <w:rsid w:val="00CD0567"/>
    <w:rsid w:val="00CD257B"/>
    <w:rsid w:val="00CD4EC8"/>
    <w:rsid w:val="00CD6149"/>
    <w:rsid w:val="00CE0B63"/>
    <w:rsid w:val="00CE3056"/>
    <w:rsid w:val="00CE40F7"/>
    <w:rsid w:val="00CE476C"/>
    <w:rsid w:val="00CE607D"/>
    <w:rsid w:val="00CE62CF"/>
    <w:rsid w:val="00CF24EC"/>
    <w:rsid w:val="00CF4999"/>
    <w:rsid w:val="00CF796C"/>
    <w:rsid w:val="00D0047C"/>
    <w:rsid w:val="00D00A93"/>
    <w:rsid w:val="00D02F5A"/>
    <w:rsid w:val="00D04B59"/>
    <w:rsid w:val="00D054D2"/>
    <w:rsid w:val="00D05DC1"/>
    <w:rsid w:val="00D06054"/>
    <w:rsid w:val="00D06463"/>
    <w:rsid w:val="00D07118"/>
    <w:rsid w:val="00D0732A"/>
    <w:rsid w:val="00D07BBD"/>
    <w:rsid w:val="00D12D52"/>
    <w:rsid w:val="00D142CF"/>
    <w:rsid w:val="00D20565"/>
    <w:rsid w:val="00D20D83"/>
    <w:rsid w:val="00D211B4"/>
    <w:rsid w:val="00D211CD"/>
    <w:rsid w:val="00D253CC"/>
    <w:rsid w:val="00D26497"/>
    <w:rsid w:val="00D27292"/>
    <w:rsid w:val="00D309ED"/>
    <w:rsid w:val="00D3156A"/>
    <w:rsid w:val="00D331A1"/>
    <w:rsid w:val="00D3503B"/>
    <w:rsid w:val="00D40867"/>
    <w:rsid w:val="00D43FB9"/>
    <w:rsid w:val="00D44575"/>
    <w:rsid w:val="00D46801"/>
    <w:rsid w:val="00D46C28"/>
    <w:rsid w:val="00D51AFA"/>
    <w:rsid w:val="00D52BB5"/>
    <w:rsid w:val="00D52F2B"/>
    <w:rsid w:val="00D5460B"/>
    <w:rsid w:val="00D54E76"/>
    <w:rsid w:val="00D55FA0"/>
    <w:rsid w:val="00D611C2"/>
    <w:rsid w:val="00D61D9B"/>
    <w:rsid w:val="00D62EF0"/>
    <w:rsid w:val="00D6381F"/>
    <w:rsid w:val="00D65D74"/>
    <w:rsid w:val="00D66BD0"/>
    <w:rsid w:val="00D72E4C"/>
    <w:rsid w:val="00D75CA2"/>
    <w:rsid w:val="00D77498"/>
    <w:rsid w:val="00D8241B"/>
    <w:rsid w:val="00D84199"/>
    <w:rsid w:val="00D87BE5"/>
    <w:rsid w:val="00D87C65"/>
    <w:rsid w:val="00D87F4E"/>
    <w:rsid w:val="00D903DC"/>
    <w:rsid w:val="00D921F8"/>
    <w:rsid w:val="00D92769"/>
    <w:rsid w:val="00D9413C"/>
    <w:rsid w:val="00D94F3C"/>
    <w:rsid w:val="00D9557A"/>
    <w:rsid w:val="00D97486"/>
    <w:rsid w:val="00D97999"/>
    <w:rsid w:val="00DA118E"/>
    <w:rsid w:val="00DA5FEA"/>
    <w:rsid w:val="00DA7039"/>
    <w:rsid w:val="00DA7D0F"/>
    <w:rsid w:val="00DB2A11"/>
    <w:rsid w:val="00DB3740"/>
    <w:rsid w:val="00DB4488"/>
    <w:rsid w:val="00DB55B2"/>
    <w:rsid w:val="00DB7914"/>
    <w:rsid w:val="00DB7C91"/>
    <w:rsid w:val="00DC1350"/>
    <w:rsid w:val="00DC2962"/>
    <w:rsid w:val="00DC4327"/>
    <w:rsid w:val="00DC6104"/>
    <w:rsid w:val="00DD1BB1"/>
    <w:rsid w:val="00DD2C5C"/>
    <w:rsid w:val="00DD699E"/>
    <w:rsid w:val="00DE0811"/>
    <w:rsid w:val="00DE369E"/>
    <w:rsid w:val="00DE4964"/>
    <w:rsid w:val="00DE4E05"/>
    <w:rsid w:val="00DE56D1"/>
    <w:rsid w:val="00DF08DC"/>
    <w:rsid w:val="00DF5588"/>
    <w:rsid w:val="00DF64B7"/>
    <w:rsid w:val="00DF7BB3"/>
    <w:rsid w:val="00E03217"/>
    <w:rsid w:val="00E038B1"/>
    <w:rsid w:val="00E07705"/>
    <w:rsid w:val="00E115B5"/>
    <w:rsid w:val="00E121CD"/>
    <w:rsid w:val="00E13A80"/>
    <w:rsid w:val="00E1431A"/>
    <w:rsid w:val="00E16B1A"/>
    <w:rsid w:val="00E17342"/>
    <w:rsid w:val="00E21FF9"/>
    <w:rsid w:val="00E2222A"/>
    <w:rsid w:val="00E229E6"/>
    <w:rsid w:val="00E22AB5"/>
    <w:rsid w:val="00E25396"/>
    <w:rsid w:val="00E27F27"/>
    <w:rsid w:val="00E30DB1"/>
    <w:rsid w:val="00E4031B"/>
    <w:rsid w:val="00E40939"/>
    <w:rsid w:val="00E425B2"/>
    <w:rsid w:val="00E4297C"/>
    <w:rsid w:val="00E42D2A"/>
    <w:rsid w:val="00E44319"/>
    <w:rsid w:val="00E44759"/>
    <w:rsid w:val="00E45F8F"/>
    <w:rsid w:val="00E47DB8"/>
    <w:rsid w:val="00E500A2"/>
    <w:rsid w:val="00E52BCA"/>
    <w:rsid w:val="00E60186"/>
    <w:rsid w:val="00E60CD9"/>
    <w:rsid w:val="00E6173F"/>
    <w:rsid w:val="00E65B74"/>
    <w:rsid w:val="00E7010A"/>
    <w:rsid w:val="00E70358"/>
    <w:rsid w:val="00E70858"/>
    <w:rsid w:val="00E70BA3"/>
    <w:rsid w:val="00E711E8"/>
    <w:rsid w:val="00E714D9"/>
    <w:rsid w:val="00E81214"/>
    <w:rsid w:val="00E867B6"/>
    <w:rsid w:val="00E907F4"/>
    <w:rsid w:val="00E919D2"/>
    <w:rsid w:val="00E932A6"/>
    <w:rsid w:val="00E95319"/>
    <w:rsid w:val="00EA01D4"/>
    <w:rsid w:val="00EA2515"/>
    <w:rsid w:val="00EA316B"/>
    <w:rsid w:val="00EA4238"/>
    <w:rsid w:val="00EA5E25"/>
    <w:rsid w:val="00EA7C1C"/>
    <w:rsid w:val="00EB0554"/>
    <w:rsid w:val="00EB2325"/>
    <w:rsid w:val="00EB4656"/>
    <w:rsid w:val="00EB6585"/>
    <w:rsid w:val="00EB6DE3"/>
    <w:rsid w:val="00EB6F78"/>
    <w:rsid w:val="00EB72CB"/>
    <w:rsid w:val="00EC3BED"/>
    <w:rsid w:val="00EC3CC1"/>
    <w:rsid w:val="00EC64D6"/>
    <w:rsid w:val="00ED22CC"/>
    <w:rsid w:val="00ED3926"/>
    <w:rsid w:val="00EE0ADB"/>
    <w:rsid w:val="00EE0F34"/>
    <w:rsid w:val="00EE2291"/>
    <w:rsid w:val="00EE3C37"/>
    <w:rsid w:val="00EE42E4"/>
    <w:rsid w:val="00EE51FE"/>
    <w:rsid w:val="00EE528D"/>
    <w:rsid w:val="00EE60C8"/>
    <w:rsid w:val="00EE6AC6"/>
    <w:rsid w:val="00EF0B9E"/>
    <w:rsid w:val="00EF0E26"/>
    <w:rsid w:val="00EF14D2"/>
    <w:rsid w:val="00EF3BE3"/>
    <w:rsid w:val="00EF412C"/>
    <w:rsid w:val="00EF635E"/>
    <w:rsid w:val="00EF7E0F"/>
    <w:rsid w:val="00EF7EC5"/>
    <w:rsid w:val="00F02A93"/>
    <w:rsid w:val="00F03058"/>
    <w:rsid w:val="00F11199"/>
    <w:rsid w:val="00F1197C"/>
    <w:rsid w:val="00F131BB"/>
    <w:rsid w:val="00F158FF"/>
    <w:rsid w:val="00F17E2D"/>
    <w:rsid w:val="00F237C1"/>
    <w:rsid w:val="00F237C2"/>
    <w:rsid w:val="00F23E79"/>
    <w:rsid w:val="00F2447D"/>
    <w:rsid w:val="00F25211"/>
    <w:rsid w:val="00F25C8E"/>
    <w:rsid w:val="00F25F1C"/>
    <w:rsid w:val="00F262DD"/>
    <w:rsid w:val="00F27F12"/>
    <w:rsid w:val="00F30A40"/>
    <w:rsid w:val="00F35473"/>
    <w:rsid w:val="00F36E04"/>
    <w:rsid w:val="00F42395"/>
    <w:rsid w:val="00F439D6"/>
    <w:rsid w:val="00F462FE"/>
    <w:rsid w:val="00F46A64"/>
    <w:rsid w:val="00F5253D"/>
    <w:rsid w:val="00F532B7"/>
    <w:rsid w:val="00F53D5B"/>
    <w:rsid w:val="00F61929"/>
    <w:rsid w:val="00F6245A"/>
    <w:rsid w:val="00F6265E"/>
    <w:rsid w:val="00F64A68"/>
    <w:rsid w:val="00F702D5"/>
    <w:rsid w:val="00F712A4"/>
    <w:rsid w:val="00F736D2"/>
    <w:rsid w:val="00F755B3"/>
    <w:rsid w:val="00F764D1"/>
    <w:rsid w:val="00F7794D"/>
    <w:rsid w:val="00F77C0D"/>
    <w:rsid w:val="00F80D03"/>
    <w:rsid w:val="00F85450"/>
    <w:rsid w:val="00F868D2"/>
    <w:rsid w:val="00F87CF5"/>
    <w:rsid w:val="00F91B74"/>
    <w:rsid w:val="00F9503B"/>
    <w:rsid w:val="00F97F73"/>
    <w:rsid w:val="00FA0887"/>
    <w:rsid w:val="00FA6439"/>
    <w:rsid w:val="00FA744E"/>
    <w:rsid w:val="00FA79B1"/>
    <w:rsid w:val="00FB0859"/>
    <w:rsid w:val="00FB118F"/>
    <w:rsid w:val="00FB6066"/>
    <w:rsid w:val="00FB6203"/>
    <w:rsid w:val="00FB7D6E"/>
    <w:rsid w:val="00FC225F"/>
    <w:rsid w:val="00FC2652"/>
    <w:rsid w:val="00FC52EE"/>
    <w:rsid w:val="00FC6369"/>
    <w:rsid w:val="00FD287F"/>
    <w:rsid w:val="00FE1EB1"/>
    <w:rsid w:val="00FE22AF"/>
    <w:rsid w:val="00FE5A96"/>
    <w:rsid w:val="00FE7415"/>
    <w:rsid w:val="00FF2606"/>
    <w:rsid w:val="00FF2D6D"/>
    <w:rsid w:val="00FF4BCA"/>
    <w:rsid w:val="00FF5545"/>
    <w:rsid w:val="00FF6074"/>
    <w:rsid w:val="00FF7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E167A"/>
  <w15:docId w15:val="{089E4384-6746-49AA-9646-F8E0B43F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GB" w:eastAsia="en-GB" w:bidi="ar-SA"/>
      </w:rPr>
    </w:rPrDefault>
    <w:pPrDefault>
      <w:pPr>
        <w:widowControl w:val="0"/>
        <w:spacing w:after="20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C52EE"/>
    <w:pPr>
      <w:spacing w:after="240"/>
      <w:jc w:val="left"/>
    </w:pPr>
    <w:rPr>
      <w:rFonts w:ascii="Trebuchet MS" w:hAnsi="Trebuchet MS"/>
      <w:sz w:val="22"/>
    </w:rPr>
  </w:style>
  <w:style w:type="paragraph" w:styleId="Heading1">
    <w:name w:val="heading 1"/>
    <w:basedOn w:val="Normal"/>
    <w:next w:val="Normal"/>
    <w:rsid w:val="00F702D5"/>
    <w:pPr>
      <w:keepNext/>
      <w:keepLines/>
      <w:ind w:left="720" w:hanging="360"/>
      <w:jc w:val="both"/>
      <w:outlineLvl w:val="0"/>
    </w:pPr>
    <w:rPr>
      <w:b/>
      <w:color w:val="643403"/>
    </w:rPr>
  </w:style>
  <w:style w:type="paragraph" w:styleId="Heading2">
    <w:name w:val="heading 2"/>
    <w:basedOn w:val="Normal"/>
    <w:next w:val="Normal"/>
    <w:rsid w:val="00F702D5"/>
    <w:pPr>
      <w:keepNext/>
      <w:keepLines/>
      <w:ind w:left="357" w:hanging="357"/>
      <w:jc w:val="both"/>
      <w:outlineLvl w:val="1"/>
    </w:pPr>
    <w:rPr>
      <w:b/>
      <w:color w:val="643403"/>
    </w:rPr>
  </w:style>
  <w:style w:type="paragraph" w:styleId="Heading3">
    <w:name w:val="heading 3"/>
    <w:basedOn w:val="Normal"/>
    <w:next w:val="Normal"/>
    <w:rsid w:val="00F702D5"/>
    <w:pPr>
      <w:keepNext/>
      <w:keepLines/>
      <w:ind w:left="924" w:hanging="357"/>
      <w:jc w:val="both"/>
      <w:outlineLvl w:val="2"/>
    </w:pPr>
    <w:rPr>
      <w:b/>
      <w:color w:val="643403"/>
    </w:rPr>
  </w:style>
  <w:style w:type="paragraph" w:styleId="Heading4">
    <w:name w:val="heading 4"/>
    <w:basedOn w:val="Normal"/>
    <w:next w:val="Normal"/>
    <w:rsid w:val="00F91B74"/>
    <w:pPr>
      <w:keepNext/>
      <w:keepLines/>
      <w:spacing w:before="280" w:after="80"/>
      <w:outlineLvl w:val="3"/>
    </w:pPr>
    <w:rPr>
      <w:b/>
      <w:color w:val="643403"/>
    </w:rPr>
  </w:style>
  <w:style w:type="paragraph" w:styleId="Heading5">
    <w:name w:val="heading 5"/>
    <w:basedOn w:val="Normal"/>
    <w:next w:val="Normal"/>
    <w:pPr>
      <w:keepNext/>
      <w:keepLines/>
      <w:spacing w:before="240" w:after="80"/>
      <w:outlineLvl w:val="4"/>
    </w:pPr>
    <w:rPr>
      <w:color w:val="666666"/>
      <w:szCs w:val="22"/>
    </w:rPr>
  </w:style>
  <w:style w:type="paragraph" w:styleId="Heading6">
    <w:name w:val="heading 6"/>
    <w:basedOn w:val="Normal"/>
    <w:next w:val="Normal"/>
    <w:pPr>
      <w:keepNext/>
      <w:keepLines/>
      <w:spacing w:before="240" w:after="80"/>
      <w:outlineLvl w:val="5"/>
    </w:pPr>
    <w:rPr>
      <w:i/>
      <w:color w:val="666666"/>
      <w:szCs w:val="22"/>
    </w:rPr>
  </w:style>
  <w:style w:type="paragraph" w:styleId="Heading7">
    <w:name w:val="heading 7"/>
    <w:basedOn w:val="Normal"/>
    <w:next w:val="Normal"/>
    <w:link w:val="Heading7Char"/>
    <w:uiPriority w:val="9"/>
    <w:semiHidden/>
    <w:unhideWhenUsed/>
    <w:qFormat/>
    <w:rsid w:val="007D4B0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i/>
      <w:color w:val="666666"/>
      <w:sz w:val="30"/>
      <w:szCs w:val="30"/>
    </w:rPr>
  </w:style>
  <w:style w:type="paragraph" w:styleId="Header">
    <w:name w:val="header"/>
    <w:basedOn w:val="Normal"/>
    <w:link w:val="HeaderChar"/>
    <w:uiPriority w:val="99"/>
    <w:unhideWhenUsed/>
    <w:rsid w:val="00A91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EAA"/>
  </w:style>
  <w:style w:type="paragraph" w:styleId="Footer">
    <w:name w:val="footer"/>
    <w:basedOn w:val="Normal"/>
    <w:link w:val="FooterChar"/>
    <w:uiPriority w:val="99"/>
    <w:unhideWhenUsed/>
    <w:rsid w:val="00A91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EAA"/>
  </w:style>
  <w:style w:type="character" w:customStyle="1" w:styleId="Heading7Char">
    <w:name w:val="Heading 7 Char"/>
    <w:basedOn w:val="DefaultParagraphFont"/>
    <w:link w:val="Heading7"/>
    <w:uiPriority w:val="9"/>
    <w:semiHidden/>
    <w:rsid w:val="007D4B08"/>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F702D5"/>
    <w:pPr>
      <w:ind w:left="720"/>
      <w:contextualSpacing/>
    </w:pPr>
  </w:style>
  <w:style w:type="paragraph" w:styleId="TOCHeading">
    <w:name w:val="TOC Heading"/>
    <w:basedOn w:val="Heading1"/>
    <w:next w:val="Normal"/>
    <w:uiPriority w:val="39"/>
    <w:unhideWhenUsed/>
    <w:qFormat/>
    <w:rsid w:val="00FC52EE"/>
    <w:pPr>
      <w:widowControl/>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FC52EE"/>
    <w:pPr>
      <w:spacing w:after="100"/>
    </w:pPr>
  </w:style>
  <w:style w:type="paragraph" w:styleId="TOC2">
    <w:name w:val="toc 2"/>
    <w:basedOn w:val="Normal"/>
    <w:next w:val="Normal"/>
    <w:autoRedefine/>
    <w:uiPriority w:val="39"/>
    <w:unhideWhenUsed/>
    <w:rsid w:val="00FC52EE"/>
    <w:pPr>
      <w:spacing w:after="100"/>
      <w:ind w:left="220"/>
    </w:pPr>
  </w:style>
  <w:style w:type="paragraph" w:styleId="TOC3">
    <w:name w:val="toc 3"/>
    <w:basedOn w:val="Normal"/>
    <w:next w:val="Normal"/>
    <w:autoRedefine/>
    <w:uiPriority w:val="39"/>
    <w:unhideWhenUsed/>
    <w:rsid w:val="00FC52EE"/>
    <w:pPr>
      <w:spacing w:after="100"/>
      <w:ind w:left="440"/>
    </w:pPr>
  </w:style>
  <w:style w:type="character" w:styleId="Hyperlink">
    <w:name w:val="Hyperlink"/>
    <w:basedOn w:val="DefaultParagraphFont"/>
    <w:uiPriority w:val="99"/>
    <w:unhideWhenUsed/>
    <w:rsid w:val="00FC52EE"/>
    <w:rPr>
      <w:color w:val="0563C1" w:themeColor="hyperlink"/>
      <w:u w:val="single"/>
    </w:rPr>
  </w:style>
  <w:style w:type="paragraph" w:styleId="TOC4">
    <w:name w:val="toc 4"/>
    <w:basedOn w:val="Normal"/>
    <w:next w:val="Normal"/>
    <w:autoRedefine/>
    <w:uiPriority w:val="39"/>
    <w:unhideWhenUsed/>
    <w:rsid w:val="00FC52EE"/>
    <w:pPr>
      <w:spacing w:after="100"/>
      <w:ind w:left="660"/>
    </w:pPr>
  </w:style>
  <w:style w:type="character" w:styleId="CommentReference">
    <w:name w:val="annotation reference"/>
    <w:basedOn w:val="DefaultParagraphFont"/>
    <w:uiPriority w:val="99"/>
    <w:semiHidden/>
    <w:unhideWhenUsed/>
    <w:rsid w:val="00DE4E05"/>
    <w:rPr>
      <w:sz w:val="16"/>
      <w:szCs w:val="16"/>
    </w:rPr>
  </w:style>
  <w:style w:type="paragraph" w:styleId="CommentText">
    <w:name w:val="annotation text"/>
    <w:basedOn w:val="Normal"/>
    <w:link w:val="CommentTextChar"/>
    <w:uiPriority w:val="99"/>
    <w:unhideWhenUsed/>
    <w:rsid w:val="00DE4E05"/>
    <w:pPr>
      <w:spacing w:line="240" w:lineRule="auto"/>
    </w:pPr>
    <w:rPr>
      <w:sz w:val="20"/>
      <w:szCs w:val="20"/>
    </w:rPr>
  </w:style>
  <w:style w:type="character" w:customStyle="1" w:styleId="CommentTextChar">
    <w:name w:val="Comment Text Char"/>
    <w:basedOn w:val="DefaultParagraphFont"/>
    <w:link w:val="CommentText"/>
    <w:uiPriority w:val="99"/>
    <w:rsid w:val="00DE4E05"/>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DE4E05"/>
    <w:rPr>
      <w:b/>
      <w:bCs/>
    </w:rPr>
  </w:style>
  <w:style w:type="character" w:customStyle="1" w:styleId="CommentSubjectChar">
    <w:name w:val="Comment Subject Char"/>
    <w:basedOn w:val="CommentTextChar"/>
    <w:link w:val="CommentSubject"/>
    <w:uiPriority w:val="99"/>
    <w:semiHidden/>
    <w:rsid w:val="00DE4E05"/>
    <w:rPr>
      <w:rFonts w:ascii="Trebuchet MS" w:hAnsi="Trebuchet MS"/>
      <w:b/>
      <w:bCs/>
      <w:sz w:val="20"/>
      <w:szCs w:val="20"/>
    </w:rPr>
  </w:style>
  <w:style w:type="paragraph" w:styleId="FootnoteText">
    <w:name w:val="footnote text"/>
    <w:basedOn w:val="Normal"/>
    <w:link w:val="FootnoteTextChar"/>
    <w:uiPriority w:val="99"/>
    <w:semiHidden/>
    <w:unhideWhenUsed/>
    <w:rsid w:val="003D29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9A7"/>
    <w:rPr>
      <w:rFonts w:ascii="Trebuchet MS" w:hAnsi="Trebuchet MS"/>
      <w:sz w:val="20"/>
      <w:szCs w:val="20"/>
    </w:rPr>
  </w:style>
  <w:style w:type="character" w:styleId="FootnoteReference">
    <w:name w:val="footnote reference"/>
    <w:basedOn w:val="DefaultParagraphFont"/>
    <w:uiPriority w:val="99"/>
    <w:semiHidden/>
    <w:unhideWhenUsed/>
    <w:rsid w:val="003D29A7"/>
    <w:rPr>
      <w:vertAlign w:val="superscript"/>
    </w:rPr>
  </w:style>
  <w:style w:type="character" w:styleId="UnresolvedMention">
    <w:name w:val="Unresolved Mention"/>
    <w:basedOn w:val="DefaultParagraphFont"/>
    <w:uiPriority w:val="99"/>
    <w:unhideWhenUsed/>
    <w:rsid w:val="00D26497"/>
    <w:rPr>
      <w:color w:val="605E5C"/>
      <w:shd w:val="clear" w:color="auto" w:fill="E1DFDD"/>
    </w:rPr>
  </w:style>
  <w:style w:type="character" w:styleId="Mention">
    <w:name w:val="Mention"/>
    <w:basedOn w:val="DefaultParagraphFont"/>
    <w:uiPriority w:val="99"/>
    <w:unhideWhenUsed/>
    <w:rsid w:val="00D26497"/>
    <w:rPr>
      <w:color w:val="2B579A"/>
      <w:shd w:val="clear" w:color="auto" w:fill="E1DFDD"/>
    </w:rPr>
  </w:style>
  <w:style w:type="paragraph" w:styleId="Revision">
    <w:name w:val="Revision"/>
    <w:hidden/>
    <w:uiPriority w:val="99"/>
    <w:semiHidden/>
    <w:rsid w:val="00F7794D"/>
    <w:pPr>
      <w:widowControl/>
      <w:spacing w:after="0" w:line="240" w:lineRule="auto"/>
      <w:jc w:val="left"/>
    </w:pPr>
    <w:rPr>
      <w:rFonts w:ascii="Trebuchet MS" w:hAnsi="Trebuchet MS"/>
      <w:sz w:val="22"/>
    </w:rPr>
  </w:style>
  <w:style w:type="character" w:styleId="FollowedHyperlink">
    <w:name w:val="FollowedHyperlink"/>
    <w:basedOn w:val="DefaultParagraphFont"/>
    <w:uiPriority w:val="99"/>
    <w:semiHidden/>
    <w:unhideWhenUsed/>
    <w:rsid w:val="00792385"/>
    <w:rPr>
      <w:color w:val="954F72" w:themeColor="followedHyperlink"/>
      <w:u w:val="single"/>
    </w:rPr>
  </w:style>
  <w:style w:type="character" w:styleId="Strong">
    <w:name w:val="Strong"/>
    <w:basedOn w:val="DefaultParagraphFont"/>
    <w:uiPriority w:val="22"/>
    <w:qFormat/>
    <w:rsid w:val="005B0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5988">
      <w:bodyDiv w:val="1"/>
      <w:marLeft w:val="0"/>
      <w:marRight w:val="0"/>
      <w:marTop w:val="0"/>
      <w:marBottom w:val="0"/>
      <w:divBdr>
        <w:top w:val="none" w:sz="0" w:space="0" w:color="auto"/>
        <w:left w:val="none" w:sz="0" w:space="0" w:color="auto"/>
        <w:bottom w:val="none" w:sz="0" w:space="0" w:color="auto"/>
        <w:right w:val="none" w:sz="0" w:space="0" w:color="auto"/>
      </w:divBdr>
    </w:div>
    <w:div w:id="1428767156">
      <w:bodyDiv w:val="1"/>
      <w:marLeft w:val="0"/>
      <w:marRight w:val="0"/>
      <w:marTop w:val="0"/>
      <w:marBottom w:val="0"/>
      <w:divBdr>
        <w:top w:val="none" w:sz="0" w:space="0" w:color="auto"/>
        <w:left w:val="none" w:sz="0" w:space="0" w:color="auto"/>
        <w:bottom w:val="none" w:sz="0" w:space="0" w:color="auto"/>
        <w:right w:val="none" w:sz="0" w:space="0" w:color="auto"/>
      </w:divBdr>
    </w:div>
    <w:div w:id="1848710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mpetition/state_aid/cases1/202202/SA_57496_9043347E-0000-C26F-89FF-45AAA1EE1757_102_1.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28552-188D-4825-A9B7-6DA80A0F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1182</Words>
  <Characters>6742</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Links>
    <vt:vector size="6" baseType="variant">
      <vt:variant>
        <vt:i4>4456492</vt:i4>
      </vt:variant>
      <vt:variant>
        <vt:i4>0</vt:i4>
      </vt:variant>
      <vt:variant>
        <vt:i4>0</vt:i4>
      </vt:variant>
      <vt:variant>
        <vt:i4>5</vt:i4>
      </vt:variant>
      <vt:variant>
        <vt:lpwstr>https://ec.europa.eu/competition/state_aid/cases1/202202/SA_57496_9043347E-0000-C26F-89FF-45AAA1EE1757_102_1.pdf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ClaytonSegura</dc:creator>
  <cp:keywords/>
  <cp:lastModifiedBy>Marianne Clayton</cp:lastModifiedBy>
  <cp:revision>396</cp:revision>
  <dcterms:created xsi:type="dcterms:W3CDTF">2022-03-12T04:12:00Z</dcterms:created>
  <dcterms:modified xsi:type="dcterms:W3CDTF">2022-03-16T23:16:00Z</dcterms:modified>
</cp:coreProperties>
</file>