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EC64" w14:textId="53059F87" w:rsidR="002D75CB" w:rsidRPr="00016639" w:rsidRDefault="0024041F" w:rsidP="002D75CB">
      <w:pPr>
        <w:rPr>
          <w:sz w:val="36"/>
          <w:szCs w:val="36"/>
          <w:lang w:val="en-US"/>
        </w:rPr>
      </w:pPr>
      <w:r w:rsidRPr="0024041F">
        <w:rPr>
          <w:sz w:val="36"/>
          <w:szCs w:val="36"/>
          <w:lang w:val="en-US"/>
        </w:rPr>
        <w:t xml:space="preserve">Expansion of Very </w:t>
      </w:r>
      <w:proofErr w:type="gramStart"/>
      <w:r w:rsidRPr="0024041F">
        <w:rPr>
          <w:sz w:val="36"/>
          <w:szCs w:val="36"/>
          <w:lang w:val="en-US"/>
        </w:rPr>
        <w:t>High Capacity</w:t>
      </w:r>
      <w:proofErr w:type="gramEnd"/>
      <w:r w:rsidRPr="0024041F">
        <w:rPr>
          <w:sz w:val="36"/>
          <w:szCs w:val="36"/>
          <w:lang w:val="en-US"/>
        </w:rPr>
        <w:t xml:space="preserve"> Networks in</w:t>
      </w:r>
      <w:r>
        <w:rPr>
          <w:sz w:val="36"/>
          <w:szCs w:val="36"/>
          <w:lang w:val="en-US"/>
        </w:rPr>
        <w:t xml:space="preserve"> </w:t>
      </w:r>
      <w:r w:rsidRPr="0024041F">
        <w:rPr>
          <w:sz w:val="36"/>
          <w:szCs w:val="36"/>
          <w:lang w:val="en-US"/>
        </w:rPr>
        <w:t>underserved areas</w:t>
      </w:r>
    </w:p>
    <w:p w14:paraId="33A89D8F" w14:textId="1392F76D" w:rsidR="002D75CB" w:rsidRPr="00016639" w:rsidRDefault="002D75CB" w:rsidP="002D75CB">
      <w:pPr>
        <w:jc w:val="center"/>
        <w:rPr>
          <w:lang w:val="en-US"/>
        </w:rPr>
      </w:pPr>
      <w:r w:rsidRPr="00016639">
        <w:rPr>
          <w:lang w:val="en-US"/>
        </w:rPr>
        <w:t>Public consultation pursuant to paragraphs 64 and 78 (b) of the European Union Guidelines for the Application of State Aid Rules in relation to the Rapid Development of Broadband Networks</w:t>
      </w:r>
      <w:r w:rsidR="00C73800">
        <w:rPr>
          <w:rStyle w:val="FootnoteReference"/>
          <w:lang w:val="en-US"/>
        </w:rPr>
        <w:footnoteReference w:id="2"/>
      </w:r>
    </w:p>
    <w:p w14:paraId="66B139A2" w14:textId="77777777" w:rsidR="002D75CB" w:rsidRPr="00027E4A" w:rsidRDefault="002D75CB" w:rsidP="002D75CB">
      <w:pPr>
        <w:jc w:val="both"/>
        <w:rPr>
          <w:b/>
          <w:bCs/>
          <w:i/>
          <w:iCs/>
          <w:sz w:val="24"/>
          <w:szCs w:val="28"/>
          <w:lang w:val="en-US"/>
        </w:rPr>
      </w:pPr>
      <w:r w:rsidRPr="00027E4A">
        <w:rPr>
          <w:b/>
          <w:bCs/>
          <w:i/>
          <w:iCs/>
          <w:sz w:val="24"/>
          <w:szCs w:val="28"/>
          <w:lang w:val="en-US"/>
        </w:rPr>
        <w:t>Preliminary remarks</w:t>
      </w:r>
    </w:p>
    <w:p w14:paraId="37FCEF04" w14:textId="79B39524" w:rsidR="002D75CB" w:rsidRPr="004A4596" w:rsidRDefault="002D75CB" w:rsidP="002D75CB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4A4596">
        <w:rPr>
          <w:lang w:val="en-US"/>
        </w:rPr>
        <w:t>Cypr</w:t>
      </w:r>
      <w:r w:rsidR="008B0D11">
        <w:rPr>
          <w:lang w:val="en-US"/>
        </w:rPr>
        <w:t>us</w:t>
      </w:r>
      <w:r w:rsidRPr="004A4596">
        <w:rPr>
          <w:lang w:val="en-US"/>
        </w:rPr>
        <w:t xml:space="preserve"> Recovery and Resilience Plan, adopted by the European Council in July 2021, under Component 4.1, foresees dedicated investments to </w:t>
      </w:r>
      <w:r w:rsidR="00865C4C">
        <w:rPr>
          <w:lang w:val="en-US"/>
        </w:rPr>
        <w:t xml:space="preserve">support deployment of </w:t>
      </w:r>
      <w:r w:rsidR="00DB6612">
        <w:rPr>
          <w:lang w:val="en-US"/>
        </w:rPr>
        <w:t xml:space="preserve">very </w:t>
      </w:r>
      <w:proofErr w:type="gramStart"/>
      <w:r w:rsidR="00DB6612">
        <w:rPr>
          <w:lang w:val="en-US"/>
        </w:rPr>
        <w:t>high capacity</w:t>
      </w:r>
      <w:proofErr w:type="gramEnd"/>
      <w:r w:rsidR="00DB6612">
        <w:rPr>
          <w:lang w:val="en-US"/>
        </w:rPr>
        <w:t xml:space="preserve"> networks in underserved areas of Cyprus</w:t>
      </w:r>
      <w:r w:rsidRPr="004A4596">
        <w:rPr>
          <w:lang w:val="en-US"/>
        </w:rPr>
        <w:t>.</w:t>
      </w:r>
    </w:p>
    <w:p w14:paraId="681FD81F" w14:textId="796D7172" w:rsidR="00AB3C35" w:rsidRDefault="002D75CB" w:rsidP="002D75CB">
      <w:pPr>
        <w:jc w:val="both"/>
        <w:rPr>
          <w:lang w:val="en-US"/>
        </w:rPr>
      </w:pPr>
      <w:r>
        <w:rPr>
          <w:lang w:val="en-US"/>
        </w:rPr>
        <w:t xml:space="preserve">This investment </w:t>
      </w:r>
      <w:r w:rsidRPr="00016639">
        <w:rPr>
          <w:lang w:val="en-US"/>
        </w:rPr>
        <w:t xml:space="preserve">aims to </w:t>
      </w:r>
      <w:r w:rsidR="00DB601C">
        <w:rPr>
          <w:lang w:val="en-US"/>
        </w:rPr>
        <w:t>accelerate</w:t>
      </w:r>
      <w:r w:rsidR="00794F4D">
        <w:rPr>
          <w:lang w:val="en-US"/>
        </w:rPr>
        <w:t>, through public intervention,</w:t>
      </w:r>
      <w:r w:rsidRPr="00016639">
        <w:rPr>
          <w:lang w:val="en-US"/>
        </w:rPr>
        <w:t xml:space="preserve"> </w:t>
      </w:r>
      <w:r w:rsidR="00B65476">
        <w:rPr>
          <w:lang w:val="en-US"/>
        </w:rPr>
        <w:t xml:space="preserve">deployment </w:t>
      </w:r>
      <w:r w:rsidR="00684FAF">
        <w:rPr>
          <w:lang w:val="en-US"/>
        </w:rPr>
        <w:t xml:space="preserve">of </w:t>
      </w:r>
      <w:r w:rsidR="009447A1">
        <w:rPr>
          <w:lang w:val="en-US"/>
        </w:rPr>
        <w:t xml:space="preserve">ultrafast </w:t>
      </w:r>
      <w:r w:rsidR="00B71A5E">
        <w:rPr>
          <w:lang w:val="en-US"/>
        </w:rPr>
        <w:t>connectivity infrastructures</w:t>
      </w:r>
      <w:r w:rsidR="00776ED0">
        <w:rPr>
          <w:lang w:val="en-US"/>
        </w:rPr>
        <w:t xml:space="preserve"> in underserved areas</w:t>
      </w:r>
      <w:r w:rsidR="0003510E">
        <w:rPr>
          <w:lang w:val="en-US"/>
        </w:rPr>
        <w:t xml:space="preserve"> </w:t>
      </w:r>
      <w:r w:rsidR="008C333D">
        <w:rPr>
          <w:lang w:val="en-US"/>
        </w:rPr>
        <w:t>with the aim to ensure that</w:t>
      </w:r>
      <w:r w:rsidR="00EC5BD2">
        <w:rPr>
          <w:lang w:val="en-US"/>
        </w:rPr>
        <w:t xml:space="preserve"> (a) </w:t>
      </w:r>
      <w:r w:rsidR="00112C51">
        <w:rPr>
          <w:lang w:val="en-US"/>
        </w:rPr>
        <w:t xml:space="preserve">all premises in organized </w:t>
      </w:r>
      <w:r w:rsidR="00C1796C">
        <w:rPr>
          <w:lang w:val="en-US"/>
        </w:rPr>
        <w:t xml:space="preserve">urban and rural communities have access to 100 Mbps download speeds, upgradable to 1 Gbps download speeds; (b) </w:t>
      </w:r>
      <w:r w:rsidR="005568ED">
        <w:rPr>
          <w:lang w:val="en-US"/>
        </w:rPr>
        <w:t xml:space="preserve">the entire population living in urban and rural communities, as well as </w:t>
      </w:r>
      <w:r w:rsidR="00733BE2">
        <w:rPr>
          <w:lang w:val="en-US"/>
        </w:rPr>
        <w:t xml:space="preserve">all major terrestrial transport paths </w:t>
      </w:r>
      <w:r w:rsidR="00D2040E">
        <w:rPr>
          <w:lang w:val="en-US"/>
        </w:rPr>
        <w:t>have uninterrupted 5G coverage with download speeds of at least 100 Mbps</w:t>
      </w:r>
      <w:r w:rsidR="00333F9D">
        <w:rPr>
          <w:lang w:val="en-US"/>
        </w:rPr>
        <w:t xml:space="preserve">; and (c) </w:t>
      </w:r>
      <w:r w:rsidR="00D7654B" w:rsidRPr="00D7654B">
        <w:rPr>
          <w:lang w:val="en-US"/>
        </w:rPr>
        <w:t>all main socio-economic drivers</w:t>
      </w:r>
      <w:r w:rsidR="00A6092B">
        <w:rPr>
          <w:lang w:val="en-US"/>
        </w:rPr>
        <w:t xml:space="preserve"> (SED)</w:t>
      </w:r>
      <w:r w:rsidR="00C95507">
        <w:rPr>
          <w:lang w:val="en-US"/>
        </w:rPr>
        <w:t xml:space="preserve"> have access to </w:t>
      </w:r>
      <w:r w:rsidR="00AB3C35">
        <w:rPr>
          <w:lang w:val="en-US"/>
        </w:rPr>
        <w:t>symmetrical Gigabit connectivity</w:t>
      </w:r>
      <w:r w:rsidR="00CB2AAC">
        <w:rPr>
          <w:lang w:val="en-US"/>
        </w:rPr>
        <w:t xml:space="preserve">. </w:t>
      </w:r>
    </w:p>
    <w:p w14:paraId="2D17B6BD" w14:textId="60AF0FBD" w:rsidR="00D21A90" w:rsidRDefault="00B56EE2" w:rsidP="002D75CB">
      <w:pPr>
        <w:jc w:val="both"/>
        <w:rPr>
          <w:lang w:val="en-US"/>
        </w:rPr>
      </w:pPr>
      <w:r>
        <w:rPr>
          <w:lang w:val="en-US"/>
        </w:rPr>
        <w:t>For the implementation of the measure</w:t>
      </w:r>
      <w:r w:rsidR="008472DB">
        <w:rPr>
          <w:lang w:val="en-US"/>
        </w:rPr>
        <w:t xml:space="preserve">, a </w:t>
      </w:r>
      <w:proofErr w:type="gramStart"/>
      <w:r w:rsidR="008472DB">
        <w:rPr>
          <w:lang w:val="en-US"/>
        </w:rPr>
        <w:t>State</w:t>
      </w:r>
      <w:proofErr w:type="gramEnd"/>
      <w:r w:rsidR="008472DB">
        <w:rPr>
          <w:lang w:val="en-US"/>
        </w:rPr>
        <w:t xml:space="preserve"> aid </w:t>
      </w:r>
      <w:r w:rsidR="006045E7">
        <w:rPr>
          <w:lang w:val="en-US"/>
        </w:rPr>
        <w:t>support scheme will be set-up</w:t>
      </w:r>
      <w:r w:rsidR="002E434A">
        <w:rPr>
          <w:lang w:val="en-US"/>
        </w:rPr>
        <w:t xml:space="preserve"> </w:t>
      </w:r>
      <w:r w:rsidR="007B7E64">
        <w:rPr>
          <w:lang w:val="en-US"/>
        </w:rPr>
        <w:t xml:space="preserve">to </w:t>
      </w:r>
      <w:r w:rsidR="00347319">
        <w:rPr>
          <w:lang w:val="en-US"/>
        </w:rPr>
        <w:t xml:space="preserve">support investment costs in a </w:t>
      </w:r>
      <w:r w:rsidR="00C412E3" w:rsidRPr="00C412E3">
        <w:rPr>
          <w:lang w:val="en-US"/>
        </w:rPr>
        <w:t>Private DBO (Design, Build and Operate) - Gap Funding model</w:t>
      </w:r>
      <w:r w:rsidR="00C412E3">
        <w:rPr>
          <w:lang w:val="en-US"/>
        </w:rPr>
        <w:t>. The beneficiaries of the scheme will be private telecommunications operator</w:t>
      </w:r>
      <w:r w:rsidR="00017DDD">
        <w:rPr>
          <w:lang w:val="en-US"/>
        </w:rPr>
        <w:t>s</w:t>
      </w:r>
      <w:r w:rsidR="00ED34F8">
        <w:rPr>
          <w:lang w:val="en-US"/>
        </w:rPr>
        <w:t xml:space="preserve">. </w:t>
      </w:r>
      <w:r w:rsidR="005F68F2">
        <w:rPr>
          <w:lang w:val="en-US"/>
        </w:rPr>
        <w:t xml:space="preserve">As a result of the public support, it is expected </w:t>
      </w:r>
      <w:r w:rsidR="005F68F2" w:rsidRPr="00D401FD">
        <w:rPr>
          <w:highlight w:val="green"/>
          <w:lang w:val="en-US"/>
        </w:rPr>
        <w:t xml:space="preserve">that </w:t>
      </w:r>
      <w:r w:rsidR="00A31055" w:rsidRPr="00D401FD">
        <w:rPr>
          <w:highlight w:val="green"/>
          <w:lang w:val="en-US"/>
        </w:rPr>
        <w:t>based on the RRF milestones</w:t>
      </w:r>
      <w:r w:rsidR="00A31055">
        <w:rPr>
          <w:lang w:val="en-US"/>
        </w:rPr>
        <w:t xml:space="preserve"> </w:t>
      </w:r>
      <w:r w:rsidR="005F68F2">
        <w:rPr>
          <w:lang w:val="en-US"/>
        </w:rPr>
        <w:t>at least 44,000 premises</w:t>
      </w:r>
      <w:r w:rsidR="00EB74E4">
        <w:rPr>
          <w:lang w:val="en-US"/>
        </w:rPr>
        <w:t xml:space="preserve"> in underserved areas</w:t>
      </w:r>
      <w:r w:rsidR="005F68F2">
        <w:rPr>
          <w:lang w:val="en-US"/>
        </w:rPr>
        <w:t xml:space="preserve"> will be covered</w:t>
      </w:r>
      <w:r w:rsidR="006C5AEA">
        <w:rPr>
          <w:lang w:val="en-US"/>
        </w:rPr>
        <w:t xml:space="preserve"> by ultrafast connectivity networks.</w:t>
      </w:r>
      <w:r w:rsidR="005F68F2">
        <w:rPr>
          <w:lang w:val="en-US"/>
        </w:rPr>
        <w:t xml:space="preserve"> </w:t>
      </w:r>
      <w:r w:rsidR="00ED34F8">
        <w:rPr>
          <w:lang w:val="en-US"/>
        </w:rPr>
        <w:t xml:space="preserve">The total budget allocated to the scheme will be of </w:t>
      </w:r>
      <w:r w:rsidR="004A16B7">
        <w:rPr>
          <w:lang w:val="en-US"/>
        </w:rPr>
        <w:t>35,000,000</w:t>
      </w:r>
      <w:r w:rsidR="003651A9">
        <w:rPr>
          <w:lang w:val="en-US"/>
        </w:rPr>
        <w:t xml:space="preserve"> EUR </w:t>
      </w:r>
      <w:r w:rsidR="000739B7">
        <w:rPr>
          <w:lang w:val="en-US"/>
        </w:rPr>
        <w:t xml:space="preserve">and will finance investments </w:t>
      </w:r>
      <w:r w:rsidR="003651A9">
        <w:rPr>
          <w:lang w:val="en-US"/>
        </w:rPr>
        <w:t>throughout 2022-202</w:t>
      </w:r>
      <w:r w:rsidR="009B572B">
        <w:rPr>
          <w:lang w:val="en-US"/>
        </w:rPr>
        <w:t>5</w:t>
      </w:r>
      <w:r w:rsidR="003651A9">
        <w:rPr>
          <w:lang w:val="en-US"/>
        </w:rPr>
        <w:t xml:space="preserve">. </w:t>
      </w:r>
    </w:p>
    <w:p w14:paraId="52F76973" w14:textId="2CFB4C7A" w:rsidR="00E4172F" w:rsidRDefault="00D20FA4" w:rsidP="00D20FA4">
      <w:pPr>
        <w:jc w:val="both"/>
        <w:rPr>
          <w:lang w:val="en-US"/>
        </w:rPr>
      </w:pPr>
      <w:r w:rsidRPr="00D20FA4">
        <w:rPr>
          <w:lang w:val="en-US"/>
        </w:rPr>
        <w:t xml:space="preserve">This document outlines the main features of the </w:t>
      </w:r>
      <w:r>
        <w:rPr>
          <w:lang w:val="en-US"/>
        </w:rPr>
        <w:t>support</w:t>
      </w:r>
      <w:r w:rsidRPr="00D20FA4">
        <w:rPr>
          <w:lang w:val="en-US"/>
        </w:rPr>
        <w:t xml:space="preserve"> scheme</w:t>
      </w:r>
      <w:r w:rsidR="009F0656">
        <w:rPr>
          <w:lang w:val="en-US"/>
        </w:rPr>
        <w:t>, in</w:t>
      </w:r>
      <w:r w:rsidR="009B572B">
        <w:rPr>
          <w:lang w:val="en-US"/>
        </w:rPr>
        <w:t>c</w:t>
      </w:r>
      <w:r w:rsidR="009F0656">
        <w:rPr>
          <w:lang w:val="en-US"/>
        </w:rPr>
        <w:t xml:space="preserve">luding the </w:t>
      </w:r>
      <w:r w:rsidR="00CD69E0">
        <w:rPr>
          <w:lang w:val="en-US"/>
        </w:rPr>
        <w:t>map of eligible intervention areas preliminar</w:t>
      </w:r>
      <w:r w:rsidR="00DA1B23">
        <w:rPr>
          <w:lang w:val="en-US"/>
        </w:rPr>
        <w:t>il</w:t>
      </w:r>
      <w:r w:rsidR="00CD69E0">
        <w:rPr>
          <w:lang w:val="en-US"/>
        </w:rPr>
        <w:t>y identified</w:t>
      </w:r>
      <w:r w:rsidRPr="00D20FA4">
        <w:rPr>
          <w:lang w:val="en-US"/>
        </w:rPr>
        <w:t xml:space="preserve">. It is submitted for public </w:t>
      </w:r>
      <w:r w:rsidRPr="003F1ABF">
        <w:rPr>
          <w:lang w:val="en-US"/>
        </w:rPr>
        <w:t xml:space="preserve">consultation by the Department of Electronic Communications, in line with European State aid rules. </w:t>
      </w:r>
      <w:r w:rsidR="00E4172F" w:rsidRPr="003F1ABF">
        <w:rPr>
          <w:lang w:val="en-US"/>
        </w:rPr>
        <w:t>The</w:t>
      </w:r>
      <w:r w:rsidR="00E4172F">
        <w:rPr>
          <w:lang w:val="en-US"/>
        </w:rPr>
        <w:t xml:space="preserve"> objective of the public consultation is twofold</w:t>
      </w:r>
      <w:r w:rsidR="00067E5B">
        <w:rPr>
          <w:lang w:val="en-US"/>
        </w:rPr>
        <w:t xml:space="preserve">: </w:t>
      </w:r>
      <w:r w:rsidR="004B1111">
        <w:rPr>
          <w:lang w:val="en-US"/>
        </w:rPr>
        <w:t>co</w:t>
      </w:r>
      <w:r w:rsidR="004B67A4">
        <w:rPr>
          <w:lang w:val="en-US"/>
        </w:rPr>
        <w:t xml:space="preserve">nfirm the </w:t>
      </w:r>
      <w:r w:rsidR="00BF08EB">
        <w:rPr>
          <w:lang w:val="en-US"/>
        </w:rPr>
        <w:t xml:space="preserve">list of underserved areas in Cyprus </w:t>
      </w:r>
      <w:proofErr w:type="gramStart"/>
      <w:r w:rsidR="00BF08EB">
        <w:rPr>
          <w:lang w:val="en-US"/>
        </w:rPr>
        <w:t>in order to</w:t>
      </w:r>
      <w:proofErr w:type="gramEnd"/>
      <w:r w:rsidR="00BF08EB">
        <w:rPr>
          <w:lang w:val="en-US"/>
        </w:rPr>
        <w:t xml:space="preserve"> consolidate the final map of eligible intervention </w:t>
      </w:r>
      <w:r w:rsidR="00752677">
        <w:rPr>
          <w:lang w:val="en-US"/>
        </w:rPr>
        <w:t>areas and</w:t>
      </w:r>
      <w:r w:rsidR="00BF08EB">
        <w:rPr>
          <w:lang w:val="en-US"/>
        </w:rPr>
        <w:t xml:space="preserve"> obtain feedback on the </w:t>
      </w:r>
      <w:r w:rsidR="00C8287F">
        <w:rPr>
          <w:lang w:val="en-US"/>
        </w:rPr>
        <w:t xml:space="preserve">proposed public support scheme. </w:t>
      </w:r>
      <w:r w:rsidR="00D63CDB">
        <w:rPr>
          <w:lang w:val="en-US"/>
        </w:rPr>
        <w:t>I</w:t>
      </w:r>
      <w:r w:rsidR="00D63CDB" w:rsidRPr="00D63CDB">
        <w:rPr>
          <w:lang w:val="en-US"/>
        </w:rPr>
        <w:t xml:space="preserve">nterested parties </w:t>
      </w:r>
      <w:r w:rsidR="00D63CDB">
        <w:rPr>
          <w:lang w:val="en-US"/>
        </w:rPr>
        <w:t xml:space="preserve">are invited </w:t>
      </w:r>
      <w:r w:rsidR="00D63CDB" w:rsidRPr="00D63CDB">
        <w:rPr>
          <w:lang w:val="en-US"/>
        </w:rPr>
        <w:t>to comment on the measure</w:t>
      </w:r>
      <w:r w:rsidR="00742AA2">
        <w:rPr>
          <w:lang w:val="en-US"/>
        </w:rPr>
        <w:t xml:space="preserve">. </w:t>
      </w:r>
      <w:r w:rsidR="0017302D">
        <w:rPr>
          <w:lang w:val="en-US"/>
        </w:rPr>
        <w:t>B</w:t>
      </w:r>
      <w:r w:rsidR="00742AA2">
        <w:rPr>
          <w:lang w:val="en-US"/>
        </w:rPr>
        <w:t>roadband operators</w:t>
      </w:r>
      <w:r w:rsidR="0017302D">
        <w:rPr>
          <w:lang w:val="en-US"/>
        </w:rPr>
        <w:t xml:space="preserve"> should </w:t>
      </w:r>
      <w:r w:rsidR="00D63CDB" w:rsidRPr="00D63CDB">
        <w:rPr>
          <w:lang w:val="en-US"/>
        </w:rPr>
        <w:t>submit substantiated information regarding the</w:t>
      </w:r>
      <w:r w:rsidR="0061174D">
        <w:rPr>
          <w:lang w:val="en-US"/>
        </w:rPr>
        <w:t>ir</w:t>
      </w:r>
      <w:r w:rsidR="00742AA2">
        <w:rPr>
          <w:lang w:val="en-US"/>
        </w:rPr>
        <w:t xml:space="preserve"> own</w:t>
      </w:r>
      <w:r w:rsidR="00D63CDB" w:rsidRPr="00D63CDB">
        <w:rPr>
          <w:lang w:val="en-US"/>
        </w:rPr>
        <w:t xml:space="preserve"> networks able to reliably provide the </w:t>
      </w:r>
      <w:r w:rsidR="00D63CDB" w:rsidRPr="00B850C4">
        <w:rPr>
          <w:lang w:val="en-US"/>
        </w:rPr>
        <w:t>threshold speeds</w:t>
      </w:r>
      <w:r w:rsidR="00D63CDB" w:rsidRPr="00D63CDB">
        <w:rPr>
          <w:lang w:val="en-US"/>
        </w:rPr>
        <w:t xml:space="preserve"> in the target area that are present or credibly planned to be deployed </w:t>
      </w:r>
      <w:r w:rsidR="003F1ABF">
        <w:rPr>
          <w:lang w:val="en-US"/>
        </w:rPr>
        <w:t>until 2025</w:t>
      </w:r>
      <w:r w:rsidR="00D63CDB" w:rsidRPr="00D63CDB">
        <w:rPr>
          <w:lang w:val="en-US"/>
        </w:rPr>
        <w:t>.</w:t>
      </w:r>
    </w:p>
    <w:p w14:paraId="1491CDB0" w14:textId="494B6DDB" w:rsidR="00D20FA4" w:rsidRPr="00D20FA4" w:rsidRDefault="007D6EE0" w:rsidP="00D20FA4">
      <w:pPr>
        <w:jc w:val="both"/>
        <w:rPr>
          <w:lang w:val="en-US"/>
        </w:rPr>
      </w:pPr>
      <w:r>
        <w:rPr>
          <w:lang w:val="en-US"/>
        </w:rPr>
        <w:t xml:space="preserve">The deadline </w:t>
      </w:r>
      <w:r w:rsidR="00D20FA4" w:rsidRPr="00D20FA4">
        <w:rPr>
          <w:lang w:val="en-US"/>
        </w:rPr>
        <w:t xml:space="preserve">to submit comments and observations </w:t>
      </w:r>
      <w:r w:rsidR="00D837D0">
        <w:rPr>
          <w:lang w:val="en-US"/>
        </w:rPr>
        <w:t xml:space="preserve">together with the relevant documentation </w:t>
      </w:r>
      <w:proofErr w:type="gramStart"/>
      <w:r w:rsidR="00D837D0">
        <w:rPr>
          <w:lang w:val="en-US"/>
        </w:rPr>
        <w:t xml:space="preserve">is </w:t>
      </w:r>
      <w:r w:rsidR="00D20FA4" w:rsidRPr="00D20FA4">
        <w:rPr>
          <w:lang w:val="en-US"/>
        </w:rPr>
        <w:t xml:space="preserve"> </w:t>
      </w:r>
      <w:r w:rsidR="00D20FA4" w:rsidRPr="00DE761E">
        <w:rPr>
          <w:highlight w:val="yellow"/>
          <w:lang w:val="en-US"/>
        </w:rPr>
        <w:t>….</w:t>
      </w:r>
      <w:r w:rsidR="00D837D0">
        <w:rPr>
          <w:lang w:val="en-US"/>
        </w:rPr>
        <w:t>.</w:t>
      </w:r>
      <w:proofErr w:type="gramEnd"/>
      <w:r w:rsidR="00D837D0">
        <w:rPr>
          <w:lang w:val="en-US"/>
        </w:rPr>
        <w:t xml:space="preserve"> </w:t>
      </w:r>
      <w:r w:rsidR="00420FF8">
        <w:rPr>
          <w:lang w:val="en-US"/>
        </w:rPr>
        <w:t xml:space="preserve">Please use </w:t>
      </w:r>
      <w:r w:rsidR="00D20FA4" w:rsidRPr="00D20FA4">
        <w:rPr>
          <w:lang w:val="en-US"/>
        </w:rPr>
        <w:t>the following e-mail address</w:t>
      </w:r>
      <w:r w:rsidR="00420FF8">
        <w:rPr>
          <w:lang w:val="en-US"/>
        </w:rPr>
        <w:t xml:space="preserve"> to submit your information</w:t>
      </w:r>
      <w:r w:rsidR="00D20FA4" w:rsidRPr="00D20FA4">
        <w:rPr>
          <w:lang w:val="en-US"/>
        </w:rPr>
        <w:t xml:space="preserve">: </w:t>
      </w:r>
      <w:r w:rsidR="00D20FA4" w:rsidRPr="00E5268F">
        <w:rPr>
          <w:highlight w:val="yellow"/>
          <w:lang w:val="en-US"/>
        </w:rPr>
        <w:t>…</w:t>
      </w:r>
      <w:r w:rsidR="00D20FA4">
        <w:rPr>
          <w:lang w:val="en-US"/>
        </w:rPr>
        <w:t>.</w:t>
      </w:r>
      <w:r w:rsidR="00381124">
        <w:rPr>
          <w:lang w:val="en-US"/>
        </w:rPr>
        <w:t xml:space="preserve"> </w:t>
      </w:r>
      <w:r w:rsidR="002451B3">
        <w:rPr>
          <w:lang w:val="en-US"/>
        </w:rPr>
        <w:t>Please identify the information that should be considered confidential.</w:t>
      </w:r>
    </w:p>
    <w:p w14:paraId="7D6A4D42" w14:textId="22B39CB5" w:rsidR="002D75CB" w:rsidRDefault="00D20FA4" w:rsidP="00D20FA4">
      <w:pPr>
        <w:jc w:val="both"/>
        <w:rPr>
          <w:lang w:val="en-US"/>
        </w:rPr>
      </w:pPr>
      <w:r w:rsidRPr="00D20FA4">
        <w:rPr>
          <w:lang w:val="en-US"/>
        </w:rPr>
        <w:t xml:space="preserve">Following the outcome of the public consultation, the scheme will be notified to the </w:t>
      </w:r>
      <w:r w:rsidRPr="00D20FA4">
        <w:rPr>
          <w:lang w:val="en-US"/>
        </w:rPr>
        <w:lastRenderedPageBreak/>
        <w:t>European Commission pursuant to Article 108, paragraph 3 of the TFEU.</w:t>
      </w:r>
    </w:p>
    <w:p w14:paraId="217E8CCB" w14:textId="77777777" w:rsidR="0046354A" w:rsidRPr="0046354A" w:rsidRDefault="0046354A" w:rsidP="0046354A">
      <w:pPr>
        <w:jc w:val="both"/>
        <w:rPr>
          <w:b/>
          <w:bCs/>
          <w:i/>
          <w:iCs/>
          <w:sz w:val="24"/>
          <w:lang w:val="en-US"/>
        </w:rPr>
      </w:pPr>
      <w:r w:rsidRPr="0046354A">
        <w:rPr>
          <w:b/>
          <w:bCs/>
          <w:i/>
          <w:iCs/>
          <w:sz w:val="24"/>
          <w:lang w:val="en-US"/>
        </w:rPr>
        <w:t>High-level project description</w:t>
      </w:r>
    </w:p>
    <w:p w14:paraId="0EEC09C3" w14:textId="77777777" w:rsidR="0046354A" w:rsidRPr="007E5F38" w:rsidRDefault="0046354A" w:rsidP="0046354A">
      <w:pPr>
        <w:jc w:val="both"/>
        <w:rPr>
          <w:b/>
          <w:bCs/>
          <w:u w:val="single"/>
          <w:lang w:val="en-US"/>
        </w:rPr>
      </w:pPr>
      <w:r w:rsidRPr="007E5F38">
        <w:rPr>
          <w:b/>
          <w:bCs/>
          <w:u w:val="single"/>
          <w:lang w:val="en-US"/>
        </w:rPr>
        <w:t xml:space="preserve">Objectives of the scheme: </w:t>
      </w:r>
    </w:p>
    <w:p w14:paraId="103F3DCB" w14:textId="0A4519B4" w:rsidR="0046354A" w:rsidRDefault="0046354A" w:rsidP="0046354A">
      <w:pPr>
        <w:jc w:val="both"/>
        <w:rPr>
          <w:lang w:val="en-US"/>
        </w:rPr>
      </w:pPr>
      <w:r w:rsidRPr="0046354A">
        <w:rPr>
          <w:lang w:val="en-US"/>
        </w:rPr>
        <w:t xml:space="preserve">The </w:t>
      </w:r>
      <w:r w:rsidR="007E5F38">
        <w:rPr>
          <w:lang w:val="en-US"/>
        </w:rPr>
        <w:t xml:space="preserve">scheme will support </w:t>
      </w:r>
      <w:r w:rsidR="004979D4">
        <w:rPr>
          <w:lang w:val="en-US"/>
        </w:rPr>
        <w:t>investments in ultrafast connectivity infrastructures in underserved areas of Cyprus</w:t>
      </w:r>
      <w:r w:rsidR="00D5212B">
        <w:rPr>
          <w:lang w:val="en-US"/>
        </w:rPr>
        <w:t xml:space="preserve"> through 3 types of in</w:t>
      </w:r>
      <w:r w:rsidR="00356A01">
        <w:rPr>
          <w:lang w:val="en-US"/>
        </w:rPr>
        <w:t>terventions</w:t>
      </w:r>
      <w:r w:rsidR="00F154E4">
        <w:rPr>
          <w:lang w:val="en-US"/>
        </w:rPr>
        <w:t>:</w:t>
      </w:r>
    </w:p>
    <w:p w14:paraId="17F7CFBB" w14:textId="5B507EDB" w:rsidR="00F154E4" w:rsidRDefault="00A96AF0" w:rsidP="00A96A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6442B">
        <w:rPr>
          <w:b/>
          <w:bCs/>
          <w:u w:val="single"/>
          <w:lang w:val="en-US"/>
        </w:rPr>
        <w:t>Type A investments</w:t>
      </w:r>
      <w:r w:rsidRPr="00E6442B">
        <w:rPr>
          <w:lang w:val="en-US"/>
        </w:rPr>
        <w:t xml:space="preserve">: </w:t>
      </w:r>
      <w:r w:rsidR="009F3F43" w:rsidRPr="00E6442B">
        <w:rPr>
          <w:lang w:val="en-US"/>
        </w:rPr>
        <w:t xml:space="preserve">Investments in </w:t>
      </w:r>
      <w:r w:rsidR="004B4520" w:rsidRPr="00E6442B">
        <w:rPr>
          <w:lang w:val="en-US"/>
        </w:rPr>
        <w:t>ultrafast fixed access networks providing at least</w:t>
      </w:r>
      <w:r w:rsidR="004B4520">
        <w:rPr>
          <w:lang w:val="en-US"/>
        </w:rPr>
        <w:t xml:space="preserve"> </w:t>
      </w:r>
      <w:r w:rsidR="00CC49DB">
        <w:rPr>
          <w:lang w:val="en-US"/>
        </w:rPr>
        <w:t>3</w:t>
      </w:r>
      <w:r w:rsidR="004B4520">
        <w:rPr>
          <w:lang w:val="en-US"/>
        </w:rPr>
        <w:t xml:space="preserve">00 Mbps download speed, upgradable </w:t>
      </w:r>
      <w:r w:rsidR="00F33F37">
        <w:rPr>
          <w:lang w:val="en-US"/>
        </w:rPr>
        <w:t>to 1 Gbps download speed</w:t>
      </w:r>
      <w:r w:rsidR="00F031F5">
        <w:rPr>
          <w:lang w:val="en-US"/>
        </w:rPr>
        <w:t xml:space="preserve">, located in areas </w:t>
      </w:r>
      <w:r w:rsidR="00CC6DE8">
        <w:rPr>
          <w:lang w:val="en-US"/>
        </w:rPr>
        <w:t xml:space="preserve">where no networks providing 100 Mbps </w:t>
      </w:r>
      <w:r w:rsidR="001D4880">
        <w:rPr>
          <w:lang w:val="en-US"/>
        </w:rPr>
        <w:t xml:space="preserve">download </w:t>
      </w:r>
      <w:r w:rsidR="00CC6DE8">
        <w:rPr>
          <w:lang w:val="en-US"/>
        </w:rPr>
        <w:t>connectivity are present or planned</w:t>
      </w:r>
      <w:r w:rsidR="00AE7139">
        <w:rPr>
          <w:lang w:val="en-US"/>
        </w:rPr>
        <w:t xml:space="preserve"> by 2025</w:t>
      </w:r>
      <w:r w:rsidR="005A5740">
        <w:rPr>
          <w:lang w:val="en-US"/>
        </w:rPr>
        <w:t>.</w:t>
      </w:r>
    </w:p>
    <w:p w14:paraId="6ED187FC" w14:textId="3F788D9D" w:rsidR="00421080" w:rsidRPr="000148E7" w:rsidRDefault="005A5740" w:rsidP="00866C0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148E7">
        <w:rPr>
          <w:b/>
          <w:bCs/>
          <w:u w:val="single"/>
          <w:lang w:val="en-US"/>
        </w:rPr>
        <w:t>Type B investments</w:t>
      </w:r>
      <w:r w:rsidRPr="000148E7">
        <w:rPr>
          <w:lang w:val="en-US"/>
        </w:rPr>
        <w:t xml:space="preserve">: Investments </w:t>
      </w:r>
      <w:r w:rsidR="00885994" w:rsidRPr="000148E7">
        <w:rPr>
          <w:lang w:val="en-US"/>
        </w:rPr>
        <w:t xml:space="preserve">in </w:t>
      </w:r>
      <w:r w:rsidR="00635DD9" w:rsidRPr="000148E7">
        <w:rPr>
          <w:lang w:val="en-US"/>
        </w:rPr>
        <w:t xml:space="preserve">mobile networks </w:t>
      </w:r>
      <w:r w:rsidR="00FB29D7" w:rsidRPr="000148E7">
        <w:rPr>
          <w:lang w:val="en-US"/>
        </w:rPr>
        <w:t xml:space="preserve">that provide a 5G service at a minimum speed of 100 Mbps download, in areas where </w:t>
      </w:r>
      <w:r w:rsidR="007631D0" w:rsidRPr="000148E7">
        <w:rPr>
          <w:lang w:val="en-US"/>
        </w:rPr>
        <w:t>no such networks are present or planned</w:t>
      </w:r>
      <w:r w:rsidR="00AE7139">
        <w:rPr>
          <w:lang w:val="en-US"/>
        </w:rPr>
        <w:t xml:space="preserve"> by 2025</w:t>
      </w:r>
      <w:r w:rsidR="00D91FD3" w:rsidRPr="000148E7">
        <w:rPr>
          <w:lang w:val="en-US"/>
        </w:rPr>
        <w:t xml:space="preserve">. </w:t>
      </w:r>
      <w:r w:rsidR="00E42764" w:rsidRPr="000148E7">
        <w:rPr>
          <w:lang w:val="en-US"/>
        </w:rPr>
        <w:t xml:space="preserve">No support will be granted or used to meet </w:t>
      </w:r>
      <w:r w:rsidR="000148E7" w:rsidRPr="000148E7">
        <w:rPr>
          <w:lang w:val="en-US"/>
        </w:rPr>
        <w:t>legal obligations, such as coverage obligations attached to rights of use for spectrum</w:t>
      </w:r>
      <w:r w:rsidR="000148E7">
        <w:rPr>
          <w:lang w:val="en-US"/>
        </w:rPr>
        <w:t xml:space="preserve">. </w:t>
      </w:r>
    </w:p>
    <w:p w14:paraId="07B7C829" w14:textId="45B19B84" w:rsidR="005A5740" w:rsidRDefault="00421080" w:rsidP="00A96A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u w:val="single"/>
          <w:lang w:val="en-US"/>
        </w:rPr>
        <w:t>Type C investments</w:t>
      </w:r>
      <w:r w:rsidRPr="00421080">
        <w:rPr>
          <w:lang w:val="en-US"/>
        </w:rPr>
        <w:t>:</w:t>
      </w:r>
      <w:r>
        <w:rPr>
          <w:lang w:val="en-US"/>
        </w:rPr>
        <w:t xml:space="preserve"> Investments </w:t>
      </w:r>
      <w:r w:rsidR="0047782E">
        <w:rPr>
          <w:lang w:val="en-US"/>
        </w:rPr>
        <w:t>for configuration of</w:t>
      </w:r>
      <w:r w:rsidR="00784ABD">
        <w:rPr>
          <w:lang w:val="en-US"/>
        </w:rPr>
        <w:t xml:space="preserve"> ultrafast fixed access networks </w:t>
      </w:r>
      <w:r w:rsidR="00A81AEC">
        <w:rPr>
          <w:lang w:val="en-US"/>
        </w:rPr>
        <w:t>to provide</w:t>
      </w:r>
      <w:r w:rsidR="00784ABD">
        <w:rPr>
          <w:lang w:val="en-US"/>
        </w:rPr>
        <w:t xml:space="preserve"> 1 Gbps symmetrical speeds </w:t>
      </w:r>
      <w:r w:rsidR="00D27975">
        <w:rPr>
          <w:lang w:val="en-US"/>
        </w:rPr>
        <w:t>to socio-economic drivers</w:t>
      </w:r>
      <w:r w:rsidR="0037423D">
        <w:rPr>
          <w:lang w:val="en-US"/>
        </w:rPr>
        <w:t xml:space="preserve"> (</w:t>
      </w:r>
      <w:r w:rsidR="0037423D" w:rsidRPr="0037423D">
        <w:rPr>
          <w:lang w:val="en-US"/>
        </w:rPr>
        <w:t>educational institutions of all levels (primary, secondary and higher education), hospitals and buildings housing government agencies of the central and regional administration</w:t>
      </w:r>
      <w:r w:rsidR="006D4076">
        <w:rPr>
          <w:lang w:val="en-US"/>
        </w:rPr>
        <w:t>)</w:t>
      </w:r>
      <w:r w:rsidR="006223C5">
        <w:rPr>
          <w:lang w:val="en-US"/>
        </w:rPr>
        <w:t>, where 1 Gbps symmetrical speeds services are not available or planned</w:t>
      </w:r>
      <w:r w:rsidR="006F5C82">
        <w:rPr>
          <w:lang w:val="en-US"/>
        </w:rPr>
        <w:t xml:space="preserve"> by 2025</w:t>
      </w:r>
      <w:r w:rsidR="006223C5">
        <w:rPr>
          <w:lang w:val="en-US"/>
        </w:rPr>
        <w:t xml:space="preserve">. </w:t>
      </w:r>
    </w:p>
    <w:p w14:paraId="4F7AB650" w14:textId="2393BC50" w:rsidR="00072538" w:rsidRPr="009C0CDB" w:rsidRDefault="00623E8E" w:rsidP="00072538">
      <w:pPr>
        <w:jc w:val="both"/>
        <w:rPr>
          <w:b/>
          <w:bCs/>
          <w:u w:val="single"/>
          <w:lang w:val="en-US"/>
        </w:rPr>
      </w:pPr>
      <w:r w:rsidRPr="009C0CDB">
        <w:rPr>
          <w:b/>
          <w:bCs/>
          <w:u w:val="single"/>
          <w:lang w:val="en-US"/>
        </w:rPr>
        <w:t>Preliminary identification of e</w:t>
      </w:r>
      <w:r w:rsidR="00FF1078" w:rsidRPr="009C0CDB">
        <w:rPr>
          <w:b/>
          <w:bCs/>
          <w:u w:val="single"/>
          <w:lang w:val="en-US"/>
        </w:rPr>
        <w:t>ligible intervention areas</w:t>
      </w:r>
    </w:p>
    <w:p w14:paraId="7D252D86" w14:textId="3DD4098C" w:rsidR="00712D53" w:rsidRDefault="002A6E3C" w:rsidP="00072538">
      <w:pPr>
        <w:jc w:val="both"/>
        <w:rPr>
          <w:lang w:val="en-US"/>
        </w:rPr>
      </w:pPr>
      <w:r>
        <w:rPr>
          <w:lang w:val="en-US"/>
        </w:rPr>
        <w:t>The intervention area</w:t>
      </w:r>
      <w:r w:rsidR="00E04D25">
        <w:rPr>
          <w:lang w:val="en-US"/>
        </w:rPr>
        <w:t>s</w:t>
      </w:r>
      <w:r>
        <w:rPr>
          <w:lang w:val="en-US"/>
        </w:rPr>
        <w:t xml:space="preserve"> will consist of </w:t>
      </w:r>
      <w:r w:rsidR="009C0CDB" w:rsidRPr="009C0CDB">
        <w:rPr>
          <w:lang w:val="en-US"/>
        </w:rPr>
        <w:t>discrete areas, scattered over the entire territory of the Republic of Cyprus</w:t>
      </w:r>
      <w:r w:rsidR="002D1759">
        <w:rPr>
          <w:lang w:val="en-US"/>
        </w:rPr>
        <w:t xml:space="preserve">. </w:t>
      </w:r>
    </w:p>
    <w:p w14:paraId="75AC138A" w14:textId="083DAC5E" w:rsidR="00DC3237" w:rsidRDefault="00712D53" w:rsidP="00072538">
      <w:pPr>
        <w:jc w:val="both"/>
        <w:rPr>
          <w:lang w:val="en-US"/>
        </w:rPr>
      </w:pPr>
      <w:r w:rsidRPr="00BE200B">
        <w:rPr>
          <w:lang w:val="en-US"/>
        </w:rPr>
        <w:t>D</w:t>
      </w:r>
      <w:r w:rsidR="00747150" w:rsidRPr="00BE200B">
        <w:rPr>
          <w:lang w:val="en-US"/>
        </w:rPr>
        <w:t>edicated mapping exercises</w:t>
      </w:r>
      <w:r w:rsidR="00DD7D33" w:rsidRPr="00BE200B">
        <w:rPr>
          <w:lang w:val="en-US"/>
        </w:rPr>
        <w:t xml:space="preserve"> for fixed and wireless networks</w:t>
      </w:r>
      <w:r w:rsidR="00747150" w:rsidRPr="00BE200B">
        <w:rPr>
          <w:lang w:val="en-US"/>
        </w:rPr>
        <w:t xml:space="preserve"> </w:t>
      </w:r>
      <w:r w:rsidRPr="00BE200B">
        <w:rPr>
          <w:lang w:val="en-US"/>
        </w:rPr>
        <w:t xml:space="preserve">were </w:t>
      </w:r>
      <w:r w:rsidR="00747150" w:rsidRPr="00BE200B">
        <w:rPr>
          <w:lang w:val="en-US"/>
        </w:rPr>
        <w:t xml:space="preserve">conducted by </w:t>
      </w:r>
      <w:r w:rsidR="00F13125" w:rsidRPr="00BE200B">
        <w:rPr>
          <w:lang w:val="en-US"/>
        </w:rPr>
        <w:t>OCECPRP</w:t>
      </w:r>
      <w:r w:rsidR="00D67248" w:rsidRPr="00BE200B">
        <w:rPr>
          <w:lang w:val="en-US"/>
        </w:rPr>
        <w:t xml:space="preserve"> throughout 2021</w:t>
      </w:r>
      <w:r w:rsidRPr="00BE200B">
        <w:rPr>
          <w:lang w:val="en-US"/>
        </w:rPr>
        <w:t xml:space="preserve"> to identify </w:t>
      </w:r>
      <w:r w:rsidR="00F13125" w:rsidRPr="00BE200B">
        <w:rPr>
          <w:lang w:val="en-US"/>
        </w:rPr>
        <w:t xml:space="preserve">private investment plans </w:t>
      </w:r>
      <w:r w:rsidR="006C33B4" w:rsidRPr="00BE200B">
        <w:rPr>
          <w:lang w:val="en-US"/>
        </w:rPr>
        <w:t xml:space="preserve">up to 2025. Based </w:t>
      </w:r>
      <w:r w:rsidR="005A772E" w:rsidRPr="00BE200B">
        <w:rPr>
          <w:lang w:val="en-US"/>
        </w:rPr>
        <w:t xml:space="preserve">on the results of this mapping, a preliminary </w:t>
      </w:r>
      <w:r w:rsidR="00D62A3D" w:rsidRPr="00BE200B">
        <w:rPr>
          <w:lang w:val="en-US"/>
        </w:rPr>
        <w:t>list of</w:t>
      </w:r>
      <w:r w:rsidR="00322211" w:rsidRPr="00BE200B">
        <w:rPr>
          <w:lang w:val="en-US"/>
        </w:rPr>
        <w:t xml:space="preserve"> </w:t>
      </w:r>
      <w:r w:rsidR="00D62A3D" w:rsidRPr="00BE200B">
        <w:rPr>
          <w:lang w:val="en-US"/>
        </w:rPr>
        <w:t>eligible intervention areas under the support scheme has been identified, as described below.</w:t>
      </w:r>
    </w:p>
    <w:p w14:paraId="2D05293F" w14:textId="452ACC15" w:rsidR="00F24250" w:rsidRDefault="00F24250" w:rsidP="00072538">
      <w:pPr>
        <w:jc w:val="both"/>
        <w:rPr>
          <w:lang w:val="en-US"/>
        </w:rPr>
      </w:pPr>
      <w:r w:rsidRPr="00045FDB">
        <w:rPr>
          <w:u w:val="single"/>
          <w:lang w:val="en-US"/>
        </w:rPr>
        <w:t>Eligible intervention areas for Type A investments</w:t>
      </w:r>
      <w:r w:rsidR="00D52C5D">
        <w:rPr>
          <w:u w:val="single"/>
          <w:lang w:val="en-US"/>
        </w:rPr>
        <w:t xml:space="preserve">- areas where no networks </w:t>
      </w:r>
      <w:r w:rsidR="00D52C5D" w:rsidRPr="00D52C5D">
        <w:rPr>
          <w:u w:val="single"/>
          <w:lang w:val="en-US"/>
        </w:rPr>
        <w:t>providing 100 Mbps download connectivity</w:t>
      </w:r>
      <w:r w:rsidR="00C872FA">
        <w:rPr>
          <w:u w:val="single"/>
          <w:lang w:val="en-US"/>
        </w:rPr>
        <w:t xml:space="preserve"> are present or planned</w:t>
      </w:r>
      <w:r w:rsidR="00CF3251">
        <w:rPr>
          <w:lang w:val="en-US"/>
        </w:rPr>
        <w:t>:</w:t>
      </w:r>
    </w:p>
    <w:p w14:paraId="696ECC67" w14:textId="3FB172FD" w:rsidR="00F24250" w:rsidRDefault="00F24250" w:rsidP="00072538">
      <w:pPr>
        <w:jc w:val="both"/>
        <w:rPr>
          <w:lang w:val="en-US"/>
        </w:rPr>
      </w:pPr>
      <w:r w:rsidRPr="00A0492F">
        <w:rPr>
          <w:highlight w:val="yellow"/>
          <w:lang w:val="en-US"/>
        </w:rPr>
        <w:t xml:space="preserve">Insert </w:t>
      </w:r>
      <w:r w:rsidR="00D62A3D" w:rsidRPr="00A0492F">
        <w:rPr>
          <w:highlight w:val="yellow"/>
          <w:lang w:val="en-US"/>
        </w:rPr>
        <w:t>here</w:t>
      </w:r>
      <w:r w:rsidR="00A17237" w:rsidRPr="00A0492F">
        <w:rPr>
          <w:highlight w:val="yellow"/>
          <w:lang w:val="en-US"/>
        </w:rPr>
        <w:t xml:space="preserve"> </w:t>
      </w:r>
      <w:r w:rsidR="00045FDB" w:rsidRPr="00A0492F">
        <w:rPr>
          <w:highlight w:val="yellow"/>
          <w:lang w:val="en-US"/>
        </w:rPr>
        <w:t>list</w:t>
      </w:r>
      <w:r w:rsidR="00045FDB">
        <w:rPr>
          <w:lang w:val="en-US"/>
        </w:rPr>
        <w:t xml:space="preserve"> of eligible areas for fixed access networks</w:t>
      </w:r>
    </w:p>
    <w:p w14:paraId="6975FEAD" w14:textId="1C4B7667" w:rsidR="00045FDB" w:rsidRDefault="00045FDB" w:rsidP="00072538">
      <w:pPr>
        <w:jc w:val="both"/>
        <w:rPr>
          <w:lang w:val="en-US"/>
        </w:rPr>
      </w:pPr>
      <w:r w:rsidRPr="00045FDB">
        <w:rPr>
          <w:u w:val="single"/>
          <w:lang w:val="en-US"/>
        </w:rPr>
        <w:t>Eligible intervention areas for Type B investments</w:t>
      </w:r>
      <w:r w:rsidR="00C872FA">
        <w:rPr>
          <w:u w:val="single"/>
          <w:lang w:val="en-US"/>
        </w:rPr>
        <w:t xml:space="preserve">- areas where no mobile networks providing </w:t>
      </w:r>
      <w:r w:rsidR="0096689E">
        <w:rPr>
          <w:u w:val="single"/>
          <w:lang w:val="en-US"/>
        </w:rPr>
        <w:t>a 5G service for min. 100 Mbps download speeds are present or planned</w:t>
      </w:r>
      <w:r>
        <w:rPr>
          <w:lang w:val="en-US"/>
        </w:rPr>
        <w:t>:</w:t>
      </w:r>
    </w:p>
    <w:p w14:paraId="0B332CF0" w14:textId="38B19607" w:rsidR="00045FDB" w:rsidRDefault="00045FDB" w:rsidP="00072538">
      <w:pPr>
        <w:jc w:val="both"/>
        <w:rPr>
          <w:lang w:val="en-US"/>
        </w:rPr>
      </w:pPr>
      <w:r w:rsidRPr="00A0492F">
        <w:rPr>
          <w:highlight w:val="yellow"/>
          <w:lang w:val="en-US"/>
        </w:rPr>
        <w:t>Insert here list</w:t>
      </w:r>
      <w:r>
        <w:rPr>
          <w:lang w:val="en-US"/>
        </w:rPr>
        <w:t xml:space="preserve"> of eligible areas for 5G mobile networks</w:t>
      </w:r>
    </w:p>
    <w:p w14:paraId="0FD5528D" w14:textId="0918861E" w:rsidR="0097532A" w:rsidRPr="00B8494D" w:rsidRDefault="00A6092B" w:rsidP="00072538">
      <w:pPr>
        <w:jc w:val="both"/>
        <w:rPr>
          <w:u w:val="single"/>
          <w:lang w:val="en-US"/>
        </w:rPr>
      </w:pPr>
      <w:r w:rsidRPr="00B8494D">
        <w:rPr>
          <w:u w:val="single"/>
          <w:lang w:val="en-US"/>
        </w:rPr>
        <w:t>Eligible socio</w:t>
      </w:r>
      <w:r w:rsidR="00B8494D" w:rsidRPr="00B8494D">
        <w:rPr>
          <w:u w:val="single"/>
          <w:lang w:val="en-US"/>
        </w:rPr>
        <w:t>-economic drivers (SED) buildings for Type C investments</w:t>
      </w:r>
    </w:p>
    <w:p w14:paraId="0CDDD523" w14:textId="0E0C0E5B" w:rsidR="00B8494D" w:rsidRDefault="00B8494D" w:rsidP="00072538">
      <w:pPr>
        <w:jc w:val="both"/>
        <w:rPr>
          <w:lang w:val="en-US"/>
        </w:rPr>
      </w:pPr>
      <w:r w:rsidRPr="00A0492F">
        <w:rPr>
          <w:highlight w:val="yellow"/>
          <w:lang w:val="en-US"/>
        </w:rPr>
        <w:t>Insert here list</w:t>
      </w:r>
      <w:r>
        <w:rPr>
          <w:lang w:val="en-US"/>
        </w:rPr>
        <w:t xml:space="preserve"> of eligible buildings</w:t>
      </w:r>
    </w:p>
    <w:p w14:paraId="5D4A5D9F" w14:textId="560DCB50" w:rsidR="00ED2E84" w:rsidRPr="0039048B" w:rsidRDefault="00A700AD" w:rsidP="00072538">
      <w:pPr>
        <w:jc w:val="both"/>
        <w:rPr>
          <w:b/>
          <w:bCs/>
          <w:u w:val="single"/>
          <w:lang w:val="en-US"/>
        </w:rPr>
      </w:pPr>
      <w:r w:rsidRPr="0039048B">
        <w:rPr>
          <w:b/>
          <w:bCs/>
          <w:u w:val="single"/>
          <w:lang w:val="en-US"/>
        </w:rPr>
        <w:t>P</w:t>
      </w:r>
      <w:r w:rsidR="00D049FF" w:rsidRPr="0039048B">
        <w:rPr>
          <w:b/>
          <w:bCs/>
          <w:u w:val="single"/>
          <w:lang w:val="en-US"/>
        </w:rPr>
        <w:t>erformance of subsidized networks</w:t>
      </w:r>
    </w:p>
    <w:p w14:paraId="6A3D9034" w14:textId="6D2A2376" w:rsidR="00B5471D" w:rsidRDefault="00B66E80" w:rsidP="00072538">
      <w:pPr>
        <w:jc w:val="both"/>
        <w:rPr>
          <w:lang w:val="en-US"/>
        </w:rPr>
      </w:pPr>
      <w:r>
        <w:rPr>
          <w:lang w:val="en-US"/>
        </w:rPr>
        <w:t xml:space="preserve">The new infrastructure supported by the scheme </w:t>
      </w:r>
      <w:r w:rsidR="009F6013">
        <w:rPr>
          <w:lang w:val="en-US"/>
        </w:rPr>
        <w:t xml:space="preserve">will have to </w:t>
      </w:r>
      <w:r w:rsidR="00C65744">
        <w:rPr>
          <w:lang w:val="en-US"/>
        </w:rPr>
        <w:t>observe</w:t>
      </w:r>
      <w:r w:rsidR="009F6013">
        <w:rPr>
          <w:lang w:val="en-US"/>
        </w:rPr>
        <w:t xml:space="preserve"> minimum</w:t>
      </w:r>
      <w:r w:rsidR="0039048B">
        <w:rPr>
          <w:lang w:val="en-US"/>
        </w:rPr>
        <w:t xml:space="preserve"> </w:t>
      </w:r>
      <w:r w:rsidR="00C65744">
        <w:rPr>
          <w:lang w:val="en-US"/>
        </w:rPr>
        <w:t xml:space="preserve">performance </w:t>
      </w:r>
      <w:r w:rsidR="00C65744">
        <w:rPr>
          <w:lang w:val="en-US"/>
        </w:rPr>
        <w:lastRenderedPageBreak/>
        <w:t>requirements, as described below for each type of investments:</w:t>
      </w:r>
    </w:p>
    <w:p w14:paraId="049F5D3B" w14:textId="70F59892" w:rsidR="00C65744" w:rsidRDefault="00823860" w:rsidP="008238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Minimum performance requirements for Type A investments</w:t>
      </w:r>
    </w:p>
    <w:p w14:paraId="7D8EB363" w14:textId="62FCD079" w:rsidR="000C67BA" w:rsidRDefault="00D349D0" w:rsidP="008556ED">
      <w:pPr>
        <w:jc w:val="both"/>
        <w:rPr>
          <w:lang w:val="en-US"/>
        </w:rPr>
      </w:pPr>
      <w:r>
        <w:rPr>
          <w:lang w:val="en-US"/>
        </w:rPr>
        <w:t xml:space="preserve">Subsidized fixed access networks should provide </w:t>
      </w:r>
      <w:r w:rsidRPr="00D401FD">
        <w:rPr>
          <w:highlight w:val="green"/>
          <w:lang w:val="en-US"/>
        </w:rPr>
        <w:t xml:space="preserve">minimum </w:t>
      </w:r>
      <w:r w:rsidR="00A31055" w:rsidRPr="00D401FD">
        <w:rPr>
          <w:highlight w:val="green"/>
          <w:lang w:val="en-US"/>
        </w:rPr>
        <w:t>3</w:t>
      </w:r>
      <w:r w:rsidRPr="00D401FD">
        <w:rPr>
          <w:highlight w:val="green"/>
          <w:lang w:val="en-US"/>
        </w:rPr>
        <w:t>00 Mbps</w:t>
      </w:r>
      <w:r w:rsidR="007802A7" w:rsidRPr="00D401FD">
        <w:rPr>
          <w:highlight w:val="green"/>
          <w:lang w:val="en-US"/>
        </w:rPr>
        <w:t xml:space="preserve"> download</w:t>
      </w:r>
      <w:r w:rsidRPr="00D401FD">
        <w:rPr>
          <w:highlight w:val="green"/>
          <w:lang w:val="en-US"/>
        </w:rPr>
        <w:t xml:space="preserve"> speed</w:t>
      </w:r>
      <w:r w:rsidR="007802A7" w:rsidRPr="00D401FD">
        <w:rPr>
          <w:highlight w:val="green"/>
          <w:lang w:val="en-US"/>
        </w:rPr>
        <w:t xml:space="preserve"> (</w:t>
      </w:r>
      <w:r w:rsidR="00996E2D" w:rsidRPr="00D401FD">
        <w:rPr>
          <w:highlight w:val="green"/>
          <w:lang w:val="en-US"/>
        </w:rPr>
        <w:t xml:space="preserve">min. </w:t>
      </w:r>
      <w:r w:rsidR="00A31055" w:rsidRPr="00D401FD">
        <w:rPr>
          <w:highlight w:val="green"/>
          <w:lang w:val="en-US"/>
        </w:rPr>
        <w:t xml:space="preserve">50 Mbps </w:t>
      </w:r>
      <w:r w:rsidR="00996E2D" w:rsidRPr="00D401FD">
        <w:rPr>
          <w:highlight w:val="green"/>
          <w:lang w:val="en-US"/>
        </w:rPr>
        <w:t xml:space="preserve">upload speed) </w:t>
      </w:r>
      <w:bookmarkStart w:id="0" w:name="_Hlk99107085"/>
      <w:r w:rsidR="002A1E00" w:rsidRPr="00D401FD">
        <w:rPr>
          <w:highlight w:val="green"/>
          <w:lang w:val="en-US"/>
        </w:rPr>
        <w:t>that can be reliably achieved</w:t>
      </w:r>
      <w:r w:rsidR="007A152B" w:rsidRPr="00D401FD">
        <w:rPr>
          <w:highlight w:val="green"/>
          <w:lang w:val="en-US"/>
        </w:rPr>
        <w:t xml:space="preserve"> under </w:t>
      </w:r>
      <w:r w:rsidR="00DF21F5" w:rsidRPr="00D401FD">
        <w:rPr>
          <w:highlight w:val="green"/>
          <w:lang w:val="en-US"/>
        </w:rPr>
        <w:t xml:space="preserve">usual </w:t>
      </w:r>
      <w:r w:rsidR="007A152B" w:rsidRPr="00D401FD">
        <w:rPr>
          <w:highlight w:val="green"/>
          <w:lang w:val="en-US"/>
        </w:rPr>
        <w:t>peak time conditions</w:t>
      </w:r>
      <w:r w:rsidR="00644206" w:rsidRPr="00D401FD">
        <w:rPr>
          <w:rStyle w:val="FootnoteReference"/>
          <w:highlight w:val="green"/>
          <w:lang w:val="en-US"/>
        </w:rPr>
        <w:footnoteReference w:id="3"/>
      </w:r>
      <w:bookmarkEnd w:id="0"/>
      <w:r w:rsidR="007A152B" w:rsidRPr="00D401FD">
        <w:rPr>
          <w:highlight w:val="green"/>
          <w:lang w:val="en-US"/>
        </w:rPr>
        <w:t>.</w:t>
      </w:r>
      <w:r w:rsidR="0050791D" w:rsidRPr="00D401FD">
        <w:rPr>
          <w:highlight w:val="green"/>
          <w:lang w:val="en-US"/>
        </w:rPr>
        <w:t xml:space="preserve"> </w:t>
      </w:r>
      <w:r w:rsidR="00ED4FB3" w:rsidRPr="00D401FD">
        <w:rPr>
          <w:highlight w:val="green"/>
          <w:lang w:val="en-US"/>
        </w:rPr>
        <w:t xml:space="preserve">It must be possible </w:t>
      </w:r>
      <w:r w:rsidR="00CD7BF7" w:rsidRPr="00D401FD">
        <w:rPr>
          <w:highlight w:val="green"/>
          <w:lang w:val="en-US"/>
        </w:rPr>
        <w:t xml:space="preserve">(within 5 working days) </w:t>
      </w:r>
      <w:r w:rsidR="00ED4FB3" w:rsidRPr="00D401FD">
        <w:rPr>
          <w:highlight w:val="green"/>
          <w:lang w:val="en-US"/>
        </w:rPr>
        <w:t xml:space="preserve">to upgrade the supported networks </w:t>
      </w:r>
      <w:r w:rsidR="00194D8C" w:rsidRPr="00D401FD">
        <w:rPr>
          <w:highlight w:val="green"/>
          <w:lang w:val="en-US"/>
        </w:rPr>
        <w:t>to 1 Gbps download speed (</w:t>
      </w:r>
      <w:r w:rsidR="00CC49DB" w:rsidRPr="00D401FD">
        <w:rPr>
          <w:highlight w:val="green"/>
          <w:lang w:val="en-US"/>
        </w:rPr>
        <w:t>2</w:t>
      </w:r>
      <w:r w:rsidR="00A31055" w:rsidRPr="00D401FD">
        <w:rPr>
          <w:highlight w:val="green"/>
          <w:lang w:val="en-US"/>
        </w:rPr>
        <w:t xml:space="preserve">50 Mbps </w:t>
      </w:r>
      <w:r w:rsidR="00194D8C" w:rsidRPr="00D401FD">
        <w:rPr>
          <w:highlight w:val="green"/>
          <w:lang w:val="en-US"/>
        </w:rPr>
        <w:t>upload speed)</w:t>
      </w:r>
      <w:r w:rsidR="00BC3215" w:rsidRPr="00D401FD">
        <w:rPr>
          <w:highlight w:val="green"/>
          <w:lang w:val="en-US"/>
        </w:rPr>
        <w:t xml:space="preserve"> reliably achieved at peak time conditions without </w:t>
      </w:r>
      <w:r w:rsidR="00824BCC" w:rsidRPr="00D401FD">
        <w:rPr>
          <w:highlight w:val="green"/>
          <w:lang w:val="en-US"/>
        </w:rPr>
        <w:t>further investments in the passive infrastructure supported by the scheme.</w:t>
      </w:r>
      <w:r w:rsidR="00824BCC">
        <w:rPr>
          <w:lang w:val="en-US"/>
        </w:rPr>
        <w:t xml:space="preserve"> </w:t>
      </w:r>
    </w:p>
    <w:p w14:paraId="2F243951" w14:textId="306D0662" w:rsidR="00926D61" w:rsidRDefault="00926D61" w:rsidP="00926D61">
      <w:pPr>
        <w:jc w:val="both"/>
        <w:rPr>
          <w:lang w:val="en-US"/>
        </w:rPr>
      </w:pPr>
      <w:r w:rsidRPr="004F09F5">
        <w:rPr>
          <w:lang w:val="en-US"/>
        </w:rPr>
        <w:t xml:space="preserve">The funding applicant must ensure that the passive infrastructure supported and deployed under the scheme will result in the provision of a fixed broadband access service that at </w:t>
      </w:r>
      <w:r w:rsidRPr="00D401FD">
        <w:rPr>
          <w:highlight w:val="green"/>
          <w:lang w:val="en-US"/>
        </w:rPr>
        <w:t>least</w:t>
      </w:r>
      <w:r w:rsidR="00CE7010" w:rsidRPr="00D401FD">
        <w:rPr>
          <w:highlight w:val="green"/>
          <w:lang w:val="en-US"/>
        </w:rPr>
        <w:t xml:space="preserve"> triples</w:t>
      </w:r>
      <w:r w:rsidRPr="00D401FD">
        <w:rPr>
          <w:highlight w:val="green"/>
          <w:lang w:val="en-US"/>
        </w:rPr>
        <w:t xml:space="preserve"> the existing download and upload speeds provided</w:t>
      </w:r>
      <w:r w:rsidR="00CE7010" w:rsidRPr="00D401FD">
        <w:rPr>
          <w:highlight w:val="green"/>
          <w:lang w:val="en-US"/>
        </w:rPr>
        <w:t xml:space="preserve"> </w:t>
      </w:r>
      <w:r w:rsidRPr="00D401FD">
        <w:rPr>
          <w:highlight w:val="green"/>
          <w:lang w:val="en-US"/>
        </w:rPr>
        <w:t>under usual peak time conditions to end users in the target areas and ensures in all</w:t>
      </w:r>
      <w:r w:rsidR="00CE7010" w:rsidRPr="00D401FD">
        <w:rPr>
          <w:highlight w:val="green"/>
          <w:lang w:val="en-US"/>
        </w:rPr>
        <w:t xml:space="preserve"> </w:t>
      </w:r>
      <w:r w:rsidRPr="00D401FD">
        <w:rPr>
          <w:highlight w:val="green"/>
          <w:lang w:val="en-US"/>
        </w:rPr>
        <w:t>cases, irrespective of the existing speeds, the provision, under usual peak time</w:t>
      </w:r>
      <w:r w:rsidR="00CE7010" w:rsidRPr="00D401FD">
        <w:rPr>
          <w:highlight w:val="green"/>
          <w:lang w:val="en-US"/>
        </w:rPr>
        <w:t xml:space="preserve"> </w:t>
      </w:r>
      <w:r w:rsidRPr="00D401FD">
        <w:rPr>
          <w:highlight w:val="green"/>
          <w:lang w:val="en-US"/>
        </w:rPr>
        <w:t>conditions, of speeds of at least 100</w:t>
      </w:r>
      <w:r w:rsidR="00CD7BF7" w:rsidRPr="00D401FD">
        <w:rPr>
          <w:highlight w:val="green"/>
          <w:lang w:val="en-US"/>
        </w:rPr>
        <w:t>0</w:t>
      </w:r>
      <w:r w:rsidRPr="00D401FD">
        <w:rPr>
          <w:highlight w:val="green"/>
          <w:lang w:val="en-US"/>
        </w:rPr>
        <w:t xml:space="preserve"> Mbps download and </w:t>
      </w:r>
      <w:r w:rsidR="00CD7BF7" w:rsidRPr="00D401FD">
        <w:rPr>
          <w:highlight w:val="green"/>
          <w:lang w:val="en-US"/>
        </w:rPr>
        <w:t>250</w:t>
      </w:r>
      <w:r w:rsidRPr="00D401FD">
        <w:rPr>
          <w:highlight w:val="green"/>
          <w:lang w:val="en-US"/>
        </w:rPr>
        <w:t xml:space="preserve"> Mbps upload.</w:t>
      </w:r>
    </w:p>
    <w:p w14:paraId="42692317" w14:textId="7B7947E9" w:rsidR="00413203" w:rsidRDefault="00413203" w:rsidP="00926D61">
      <w:pPr>
        <w:jc w:val="both"/>
        <w:rPr>
          <w:lang w:val="en-US"/>
        </w:rPr>
      </w:pPr>
    </w:p>
    <w:p w14:paraId="452767F9" w14:textId="77777777" w:rsidR="009A52CE" w:rsidRDefault="009A52CE" w:rsidP="009A52CE">
      <w:pPr>
        <w:jc w:val="both"/>
        <w:rPr>
          <w:lang w:val="en-US"/>
        </w:rPr>
      </w:pPr>
      <w:r>
        <w:rPr>
          <w:lang w:val="en-US"/>
        </w:rPr>
        <w:t xml:space="preserve">Supported networks must reach at least up to the boundaries of passed premises, so that all premises passed by the supported network can be connected </w:t>
      </w:r>
      <w:r w:rsidRPr="0048008B">
        <w:rPr>
          <w:lang w:val="en-US"/>
        </w:rPr>
        <w:t xml:space="preserve">within </w:t>
      </w:r>
      <w:r>
        <w:rPr>
          <w:lang w:val="en-US"/>
        </w:rPr>
        <w:t xml:space="preserve">maximum </w:t>
      </w:r>
      <w:r w:rsidRPr="0048008B">
        <w:rPr>
          <w:lang w:val="en-US"/>
        </w:rPr>
        <w:t>4 weeks from the date of the request</w:t>
      </w:r>
      <w:r>
        <w:rPr>
          <w:lang w:val="en-US"/>
        </w:rPr>
        <w:t xml:space="preserve"> of the end user, for normal activation fees. </w:t>
      </w:r>
    </w:p>
    <w:p w14:paraId="0E7C3E19" w14:textId="3B54487A" w:rsidR="00AB67D1" w:rsidRDefault="00AB67D1" w:rsidP="00AB67D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Minimum performance requirement</w:t>
      </w:r>
      <w:r w:rsidR="008370C1">
        <w:rPr>
          <w:lang w:val="en-US"/>
        </w:rPr>
        <w:t>s</w:t>
      </w:r>
      <w:r>
        <w:rPr>
          <w:lang w:val="en-US"/>
        </w:rPr>
        <w:t xml:space="preserve"> for Type B investments</w:t>
      </w:r>
    </w:p>
    <w:p w14:paraId="63E77AFF" w14:textId="3B63BB1A" w:rsidR="00AB67D1" w:rsidRDefault="00CA6C19" w:rsidP="00B5546C">
      <w:pPr>
        <w:jc w:val="both"/>
        <w:rPr>
          <w:lang w:val="en-US"/>
        </w:rPr>
      </w:pPr>
      <w:r>
        <w:rPr>
          <w:lang w:val="en-US"/>
        </w:rPr>
        <w:t xml:space="preserve">The supported 5G </w:t>
      </w:r>
      <w:r w:rsidRPr="00550D08">
        <w:rPr>
          <w:lang w:val="en-US"/>
        </w:rPr>
        <w:t xml:space="preserve">mobile infrastructure </w:t>
      </w:r>
      <w:r w:rsidR="00B5546C" w:rsidRPr="00550D08">
        <w:rPr>
          <w:lang w:val="en-US"/>
        </w:rPr>
        <w:t xml:space="preserve">should provide a </w:t>
      </w:r>
      <w:r w:rsidR="003A7A81" w:rsidRPr="00550D08">
        <w:rPr>
          <w:lang w:val="en-US"/>
        </w:rPr>
        <w:t xml:space="preserve">terrestrial </w:t>
      </w:r>
      <w:r w:rsidR="00B5546C" w:rsidRPr="00550D08">
        <w:rPr>
          <w:lang w:val="en-US"/>
        </w:rPr>
        <w:t xml:space="preserve">connection delivering a data rate of at least 100 Mbps </w:t>
      </w:r>
      <w:r w:rsidR="0060393E" w:rsidRPr="00550D08">
        <w:rPr>
          <w:lang w:val="en-US"/>
        </w:rPr>
        <w:t xml:space="preserve">symmetrical </w:t>
      </w:r>
      <w:r w:rsidR="00782A1C" w:rsidRPr="00550D08">
        <w:rPr>
          <w:lang w:val="en-US"/>
        </w:rPr>
        <w:t>that</w:t>
      </w:r>
      <w:r w:rsidR="00782A1C" w:rsidRPr="00782A1C">
        <w:rPr>
          <w:lang w:val="en-US"/>
        </w:rPr>
        <w:t xml:space="preserve"> can be reliably achieved under peak time conditions</w:t>
      </w:r>
      <w:r w:rsidR="00782A1C">
        <w:rPr>
          <w:lang w:val="en-US"/>
        </w:rPr>
        <w:t xml:space="preserve">. </w:t>
      </w:r>
      <w:r w:rsidR="004D1556">
        <w:rPr>
          <w:lang w:val="en-US"/>
        </w:rPr>
        <w:t xml:space="preserve">In practice the scheme will fund the connection to </w:t>
      </w:r>
      <w:r w:rsidR="00CD7BF7" w:rsidRPr="00D401FD">
        <w:rPr>
          <w:highlight w:val="green"/>
          <w:lang w:val="en-US"/>
        </w:rPr>
        <w:t xml:space="preserve">symmetrical </w:t>
      </w:r>
      <w:r w:rsidR="004D1556" w:rsidRPr="00D401FD">
        <w:rPr>
          <w:highlight w:val="green"/>
          <w:lang w:val="en-US"/>
        </w:rPr>
        <w:t>gigabit</w:t>
      </w:r>
      <w:r w:rsidR="004D1556">
        <w:rPr>
          <w:lang w:val="en-US"/>
        </w:rPr>
        <w:t xml:space="preserve"> ready backhaul for base stations currently connected only through radio links. </w:t>
      </w:r>
    </w:p>
    <w:p w14:paraId="531D3074" w14:textId="7C0DA55D" w:rsidR="00DA6349" w:rsidRDefault="00DA6349" w:rsidP="00B5546C">
      <w:pPr>
        <w:jc w:val="both"/>
        <w:rPr>
          <w:lang w:val="en-US"/>
        </w:rPr>
      </w:pPr>
      <w:r>
        <w:rPr>
          <w:lang w:val="en-US"/>
        </w:rPr>
        <w:t xml:space="preserve">The funding applicant must ensure </w:t>
      </w:r>
      <w:r w:rsidRPr="00926D61">
        <w:rPr>
          <w:lang w:val="en-US"/>
        </w:rPr>
        <w:t>that the infrastructure supported and deployed</w:t>
      </w:r>
      <w:r>
        <w:rPr>
          <w:lang w:val="en-US"/>
        </w:rPr>
        <w:t xml:space="preserve"> </w:t>
      </w:r>
      <w:r w:rsidRPr="00926D61">
        <w:rPr>
          <w:lang w:val="en-US"/>
        </w:rPr>
        <w:t xml:space="preserve">under the </w:t>
      </w:r>
      <w:r>
        <w:rPr>
          <w:lang w:val="en-US"/>
        </w:rPr>
        <w:t>scheme</w:t>
      </w:r>
      <w:r w:rsidRPr="00926D61">
        <w:rPr>
          <w:lang w:val="en-US"/>
        </w:rPr>
        <w:t xml:space="preserve"> will result in the provision of a </w:t>
      </w:r>
      <w:r w:rsidR="00EB58FD">
        <w:rPr>
          <w:lang w:val="en-US"/>
        </w:rPr>
        <w:t>mobile</w:t>
      </w:r>
      <w:r w:rsidRPr="00926D61">
        <w:rPr>
          <w:lang w:val="en-US"/>
        </w:rPr>
        <w:t xml:space="preserve"> broadband access</w:t>
      </w:r>
      <w:r>
        <w:rPr>
          <w:lang w:val="en-US"/>
        </w:rPr>
        <w:t xml:space="preserve"> </w:t>
      </w:r>
      <w:r w:rsidRPr="00926D61">
        <w:rPr>
          <w:lang w:val="en-US"/>
        </w:rPr>
        <w:t xml:space="preserve">service that at </w:t>
      </w:r>
      <w:r w:rsidRPr="005601ED">
        <w:rPr>
          <w:lang w:val="en-US"/>
        </w:rPr>
        <w:t xml:space="preserve">least </w:t>
      </w:r>
      <w:r w:rsidRPr="00D401FD">
        <w:rPr>
          <w:lang w:val="en-US"/>
        </w:rPr>
        <w:t>doubles</w:t>
      </w:r>
      <w:r w:rsidRPr="005601ED">
        <w:rPr>
          <w:lang w:val="en-US"/>
        </w:rPr>
        <w:t xml:space="preserve"> the existing download </w:t>
      </w:r>
      <w:r w:rsidRPr="00D401FD">
        <w:rPr>
          <w:lang w:val="en-US"/>
        </w:rPr>
        <w:t>and upload</w:t>
      </w:r>
      <w:r w:rsidRPr="005601ED">
        <w:rPr>
          <w:lang w:val="en-US"/>
        </w:rPr>
        <w:t xml:space="preserve"> speeds provided under usual peak time conditio</w:t>
      </w:r>
      <w:r w:rsidRPr="00926D61">
        <w:rPr>
          <w:lang w:val="en-US"/>
        </w:rPr>
        <w:t>ns to end users in the target areas and ensures in all</w:t>
      </w:r>
      <w:r>
        <w:rPr>
          <w:lang w:val="en-US"/>
        </w:rPr>
        <w:t xml:space="preserve"> </w:t>
      </w:r>
      <w:r w:rsidRPr="00926D61">
        <w:rPr>
          <w:lang w:val="en-US"/>
        </w:rPr>
        <w:t>cases, irrespective of the existing speeds, the provision, under usual peak time</w:t>
      </w:r>
      <w:r>
        <w:rPr>
          <w:lang w:val="en-US"/>
        </w:rPr>
        <w:t xml:space="preserve"> </w:t>
      </w:r>
      <w:r w:rsidRPr="00926D61">
        <w:rPr>
          <w:lang w:val="en-US"/>
        </w:rPr>
        <w:t xml:space="preserve">conditions, of speeds of at least 100 Mbps </w:t>
      </w:r>
      <w:r w:rsidRPr="00D401FD">
        <w:rPr>
          <w:highlight w:val="green"/>
          <w:lang w:val="en-US"/>
        </w:rPr>
        <w:t xml:space="preserve">download and </w:t>
      </w:r>
      <w:commentRangeStart w:id="1"/>
      <w:r w:rsidR="00CD7BF7" w:rsidRPr="00D401FD">
        <w:rPr>
          <w:highlight w:val="green"/>
          <w:lang w:val="en-US"/>
        </w:rPr>
        <w:t>20</w:t>
      </w:r>
      <w:commentRangeEnd w:id="1"/>
      <w:r w:rsidR="00F2140D" w:rsidRPr="00D401FD">
        <w:rPr>
          <w:rStyle w:val="CommentReference"/>
          <w:highlight w:val="green"/>
        </w:rPr>
        <w:commentReference w:id="1"/>
      </w:r>
      <w:r w:rsidRPr="00D401FD">
        <w:rPr>
          <w:highlight w:val="green"/>
          <w:lang w:val="en-US"/>
        </w:rPr>
        <w:t xml:space="preserve"> Mbps upload.</w:t>
      </w:r>
    </w:p>
    <w:p w14:paraId="114774C7" w14:textId="1EC974E8" w:rsidR="00413203" w:rsidRDefault="00413203" w:rsidP="00B5546C">
      <w:pPr>
        <w:jc w:val="both"/>
        <w:rPr>
          <w:lang w:val="en-US"/>
        </w:rPr>
      </w:pPr>
    </w:p>
    <w:p w14:paraId="3196B589" w14:textId="77777777" w:rsidR="00413203" w:rsidRDefault="00413203" w:rsidP="00B5546C">
      <w:pPr>
        <w:jc w:val="both"/>
        <w:rPr>
          <w:lang w:val="en-US"/>
        </w:rPr>
      </w:pPr>
    </w:p>
    <w:p w14:paraId="30981ABE" w14:textId="4CA1EBA9" w:rsidR="008370C1" w:rsidRDefault="008370C1" w:rsidP="008370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Minimum performance requirements for Type C investments</w:t>
      </w:r>
    </w:p>
    <w:p w14:paraId="7ADA9DEA" w14:textId="3EEEB8E4" w:rsidR="00FE08D5" w:rsidRDefault="00F23208" w:rsidP="00FE08D5">
      <w:pPr>
        <w:jc w:val="both"/>
        <w:rPr>
          <w:lang w:val="en-US"/>
        </w:rPr>
      </w:pPr>
      <w:r>
        <w:rPr>
          <w:lang w:val="en-US"/>
        </w:rPr>
        <w:t xml:space="preserve">Subsidized </w:t>
      </w:r>
      <w:r w:rsidR="00571CC8">
        <w:rPr>
          <w:lang w:val="en-US"/>
        </w:rPr>
        <w:t>access networks connecting SEDs</w:t>
      </w:r>
      <w:r w:rsidR="009C41A7">
        <w:rPr>
          <w:lang w:val="en-US"/>
        </w:rPr>
        <w:t xml:space="preserve"> </w:t>
      </w:r>
      <w:r w:rsidR="009C41A7" w:rsidRPr="009C41A7">
        <w:rPr>
          <w:lang w:val="en-US"/>
        </w:rPr>
        <w:t xml:space="preserve">should provide minimum </w:t>
      </w:r>
      <w:r w:rsidR="009C41A7">
        <w:rPr>
          <w:lang w:val="en-US"/>
        </w:rPr>
        <w:t>1 Gbps symmetrical speeds</w:t>
      </w:r>
      <w:r w:rsidR="00BE21E3">
        <w:rPr>
          <w:lang w:val="en-US"/>
        </w:rPr>
        <w:t xml:space="preserve"> </w:t>
      </w:r>
      <w:r w:rsidR="00BE21E3" w:rsidRPr="00BE21E3">
        <w:rPr>
          <w:lang w:val="en-US"/>
        </w:rPr>
        <w:t>that can be reliably achieved under peak time conditions, irrespective of the technologies used</w:t>
      </w:r>
      <w:r w:rsidR="004961CF">
        <w:rPr>
          <w:lang w:val="en-US"/>
        </w:rPr>
        <w:t xml:space="preserve">. </w:t>
      </w:r>
    </w:p>
    <w:p w14:paraId="6737E056" w14:textId="0351FCAC" w:rsidR="00AE4A07" w:rsidRDefault="00B70051" w:rsidP="00FE08D5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funding applicant must ensure </w:t>
      </w:r>
      <w:r w:rsidRPr="00926D61">
        <w:rPr>
          <w:lang w:val="en-US"/>
        </w:rPr>
        <w:t>that the infrastructure supported and deployed</w:t>
      </w:r>
      <w:r>
        <w:rPr>
          <w:lang w:val="en-US"/>
        </w:rPr>
        <w:t xml:space="preserve"> </w:t>
      </w:r>
      <w:r w:rsidRPr="00926D61">
        <w:rPr>
          <w:lang w:val="en-US"/>
        </w:rPr>
        <w:t xml:space="preserve">under the </w:t>
      </w:r>
      <w:r>
        <w:rPr>
          <w:lang w:val="en-US"/>
        </w:rPr>
        <w:t>scheme</w:t>
      </w:r>
      <w:r w:rsidRPr="00926D61">
        <w:rPr>
          <w:lang w:val="en-US"/>
        </w:rPr>
        <w:t xml:space="preserve"> will result in the provision of a </w:t>
      </w:r>
      <w:r>
        <w:rPr>
          <w:lang w:val="en-US"/>
        </w:rPr>
        <w:t>fixed</w:t>
      </w:r>
      <w:r w:rsidRPr="00926D61">
        <w:rPr>
          <w:lang w:val="en-US"/>
        </w:rPr>
        <w:t xml:space="preserve"> broadband access</w:t>
      </w:r>
      <w:r>
        <w:rPr>
          <w:lang w:val="en-US"/>
        </w:rPr>
        <w:t xml:space="preserve"> </w:t>
      </w:r>
      <w:r w:rsidRPr="00926D61">
        <w:rPr>
          <w:lang w:val="en-US"/>
        </w:rPr>
        <w:t xml:space="preserve">service that at least </w:t>
      </w:r>
      <w:r w:rsidR="00A3072B">
        <w:rPr>
          <w:lang w:val="en-US"/>
        </w:rPr>
        <w:t>triples</w:t>
      </w:r>
      <w:r w:rsidRPr="00926D61">
        <w:rPr>
          <w:lang w:val="en-US"/>
        </w:rPr>
        <w:t xml:space="preserve"> the existing download </w:t>
      </w:r>
      <w:r w:rsidRPr="00A3072B">
        <w:rPr>
          <w:lang w:val="en-US"/>
        </w:rPr>
        <w:t>and upload</w:t>
      </w:r>
      <w:r w:rsidRPr="00926D61">
        <w:rPr>
          <w:lang w:val="en-US"/>
        </w:rPr>
        <w:t xml:space="preserve"> speeds provided</w:t>
      </w:r>
      <w:r>
        <w:rPr>
          <w:lang w:val="en-US"/>
        </w:rPr>
        <w:t xml:space="preserve"> </w:t>
      </w:r>
      <w:r w:rsidRPr="00926D61">
        <w:rPr>
          <w:lang w:val="en-US"/>
        </w:rPr>
        <w:t xml:space="preserve">under usual peak time conditions to </w:t>
      </w:r>
      <w:r w:rsidR="00A3072B">
        <w:rPr>
          <w:lang w:val="en-US"/>
        </w:rPr>
        <w:t>SEDs</w:t>
      </w:r>
      <w:r w:rsidRPr="00926D61">
        <w:rPr>
          <w:lang w:val="en-US"/>
        </w:rPr>
        <w:t xml:space="preserve"> and ensures in all</w:t>
      </w:r>
      <w:r>
        <w:rPr>
          <w:lang w:val="en-US"/>
        </w:rPr>
        <w:t xml:space="preserve"> </w:t>
      </w:r>
      <w:r w:rsidRPr="00926D61">
        <w:rPr>
          <w:lang w:val="en-US"/>
        </w:rPr>
        <w:t>cases, irrespective of the existing speeds, the provision, under usual peak time</w:t>
      </w:r>
      <w:r>
        <w:rPr>
          <w:lang w:val="en-US"/>
        </w:rPr>
        <w:t xml:space="preserve"> </w:t>
      </w:r>
      <w:r w:rsidRPr="00926D61">
        <w:rPr>
          <w:lang w:val="en-US"/>
        </w:rPr>
        <w:t xml:space="preserve">conditions, of speeds of at least </w:t>
      </w:r>
      <w:r w:rsidR="009D2D60">
        <w:rPr>
          <w:lang w:val="en-US"/>
        </w:rPr>
        <w:t>1 Gbps</w:t>
      </w:r>
      <w:r w:rsidRPr="00926D61">
        <w:rPr>
          <w:lang w:val="en-US"/>
        </w:rPr>
        <w:t xml:space="preserve"> download </w:t>
      </w:r>
      <w:r w:rsidRPr="009D2D60">
        <w:rPr>
          <w:lang w:val="en-US"/>
        </w:rPr>
        <w:t xml:space="preserve">and </w:t>
      </w:r>
      <w:r w:rsidR="009D2D60" w:rsidRPr="009D2D60">
        <w:rPr>
          <w:lang w:val="en-US"/>
        </w:rPr>
        <w:t>1 Gbps</w:t>
      </w:r>
      <w:r w:rsidRPr="009D2D60">
        <w:rPr>
          <w:lang w:val="en-US"/>
        </w:rPr>
        <w:t xml:space="preserve"> upload</w:t>
      </w:r>
      <w:r w:rsidRPr="00926D61">
        <w:rPr>
          <w:lang w:val="en-US"/>
        </w:rPr>
        <w:t>.</w:t>
      </w:r>
    </w:p>
    <w:p w14:paraId="7B5711F2" w14:textId="718109CE" w:rsidR="007544A0" w:rsidRDefault="007544A0" w:rsidP="00FE08D5">
      <w:pPr>
        <w:jc w:val="both"/>
        <w:rPr>
          <w:lang w:val="en-US"/>
        </w:rPr>
      </w:pPr>
      <w:r w:rsidRPr="005601ED">
        <w:rPr>
          <w:lang w:val="en-US"/>
        </w:rPr>
        <w:t xml:space="preserve">For all three types of investments, beneficiaries </w:t>
      </w:r>
      <w:r w:rsidR="00A35F85" w:rsidRPr="005601ED">
        <w:rPr>
          <w:lang w:val="en-US"/>
        </w:rPr>
        <w:t>are entitled to propose the provision of the required services using or combining whatever technology they deem most suitable.</w:t>
      </w:r>
      <w:r w:rsidR="00A35F85">
        <w:rPr>
          <w:lang w:val="en-US"/>
        </w:rPr>
        <w:t xml:space="preserve"> </w:t>
      </w:r>
    </w:p>
    <w:p w14:paraId="7E62102E" w14:textId="77777777" w:rsidR="00A35F85" w:rsidRPr="00FE08D5" w:rsidRDefault="00A35F85" w:rsidP="00FE08D5">
      <w:pPr>
        <w:jc w:val="both"/>
        <w:rPr>
          <w:lang w:val="en-US"/>
        </w:rPr>
      </w:pPr>
    </w:p>
    <w:p w14:paraId="771F3C67" w14:textId="77777777" w:rsidR="00AF6FAC" w:rsidRPr="001613A1" w:rsidRDefault="00AF6FAC" w:rsidP="00AF6FAC">
      <w:pPr>
        <w:jc w:val="both"/>
        <w:rPr>
          <w:b/>
          <w:bCs/>
          <w:u w:val="single"/>
          <w:lang w:val="en-US"/>
        </w:rPr>
      </w:pPr>
      <w:r w:rsidRPr="001613A1">
        <w:rPr>
          <w:b/>
          <w:bCs/>
          <w:u w:val="single"/>
          <w:lang w:val="en-US"/>
        </w:rPr>
        <w:t>Budget and duration of the scheme</w:t>
      </w:r>
    </w:p>
    <w:p w14:paraId="3D0EAD68" w14:textId="3530AA1F" w:rsidR="00AF6FAC" w:rsidRDefault="008671F1" w:rsidP="008671F1">
      <w:pPr>
        <w:jc w:val="both"/>
        <w:rPr>
          <w:lang w:val="en-US"/>
        </w:rPr>
      </w:pPr>
      <w:r w:rsidRPr="008671F1">
        <w:rPr>
          <w:lang w:val="en-US"/>
        </w:rPr>
        <w:t xml:space="preserve">The budget of the measure is </w:t>
      </w:r>
      <w:r w:rsidR="001613A1">
        <w:rPr>
          <w:lang w:val="en-US"/>
        </w:rPr>
        <w:t>35,000,000 EUR</w:t>
      </w:r>
      <w:r w:rsidRPr="008671F1">
        <w:rPr>
          <w:lang w:val="en-US"/>
        </w:rPr>
        <w:t xml:space="preserve">, </w:t>
      </w:r>
      <w:r w:rsidR="00A574C8">
        <w:rPr>
          <w:lang w:val="en-US"/>
        </w:rPr>
        <w:t>entirely</w:t>
      </w:r>
      <w:r w:rsidRPr="008671F1">
        <w:rPr>
          <w:lang w:val="en-US"/>
        </w:rPr>
        <w:t xml:space="preserve"> made available through</w:t>
      </w:r>
      <w:r w:rsidR="001613A1">
        <w:rPr>
          <w:lang w:val="en-US"/>
        </w:rPr>
        <w:t xml:space="preserve"> </w:t>
      </w:r>
      <w:r w:rsidRPr="008671F1">
        <w:rPr>
          <w:lang w:val="en-US"/>
        </w:rPr>
        <w:t>the Recovery and Resilience Facility (“RRF”). The scheme will last until 31</w:t>
      </w:r>
      <w:r w:rsidR="001613A1">
        <w:rPr>
          <w:lang w:val="en-US"/>
        </w:rPr>
        <w:t xml:space="preserve"> </w:t>
      </w:r>
      <w:r w:rsidRPr="008671F1">
        <w:rPr>
          <w:lang w:val="en-US"/>
        </w:rPr>
        <w:t>December 2025 (date until which aid can be granted under the scheme)</w:t>
      </w:r>
      <w:r w:rsidR="001613A1">
        <w:rPr>
          <w:lang w:val="en-US"/>
        </w:rPr>
        <w:t xml:space="preserve">. </w:t>
      </w:r>
    </w:p>
    <w:p w14:paraId="5B4E7524" w14:textId="1E008F5E" w:rsidR="002D06EE" w:rsidRPr="006C358A" w:rsidRDefault="002D06EE" w:rsidP="00072538">
      <w:pPr>
        <w:jc w:val="both"/>
        <w:rPr>
          <w:b/>
          <w:bCs/>
          <w:u w:val="single"/>
          <w:lang w:val="en-US"/>
        </w:rPr>
      </w:pPr>
      <w:r w:rsidRPr="006C358A">
        <w:rPr>
          <w:b/>
          <w:bCs/>
          <w:u w:val="single"/>
          <w:lang w:val="en-US"/>
        </w:rPr>
        <w:t>Eligible beneficiaries</w:t>
      </w:r>
      <w:r w:rsidR="00092D9D" w:rsidRPr="006C358A">
        <w:rPr>
          <w:b/>
          <w:bCs/>
          <w:u w:val="single"/>
          <w:lang w:val="en-US"/>
        </w:rPr>
        <w:t xml:space="preserve"> &amp; conditions for participation in the scheme</w:t>
      </w:r>
    </w:p>
    <w:p w14:paraId="1688C518" w14:textId="7C4F42C4" w:rsidR="00D73215" w:rsidRDefault="00D73215" w:rsidP="00072538">
      <w:pPr>
        <w:jc w:val="both"/>
        <w:rPr>
          <w:lang w:val="en-US"/>
        </w:rPr>
      </w:pPr>
      <w:r>
        <w:rPr>
          <w:lang w:val="en-US"/>
        </w:rPr>
        <w:t xml:space="preserve">The beneficiaries of the </w:t>
      </w:r>
      <w:r w:rsidR="00077FE1">
        <w:rPr>
          <w:lang w:val="en-US"/>
        </w:rPr>
        <w:t xml:space="preserve">scheme </w:t>
      </w:r>
      <w:r w:rsidR="006C358A">
        <w:rPr>
          <w:lang w:val="en-US"/>
        </w:rPr>
        <w:t>are</w:t>
      </w:r>
      <w:r w:rsidR="006E494C">
        <w:rPr>
          <w:lang w:val="en-US"/>
        </w:rPr>
        <w:t xml:space="preserve"> undertakings</w:t>
      </w:r>
      <w:r w:rsidR="00A50FBA">
        <w:rPr>
          <w:lang w:val="en-US"/>
        </w:rPr>
        <w:t>,</w:t>
      </w:r>
      <w:r w:rsidR="00077FE1">
        <w:rPr>
          <w:lang w:val="en-US"/>
        </w:rPr>
        <w:t xml:space="preserve"> </w:t>
      </w:r>
      <w:r w:rsidR="00337DBE">
        <w:rPr>
          <w:lang w:val="en-US"/>
        </w:rPr>
        <w:t xml:space="preserve">authorized </w:t>
      </w:r>
      <w:r w:rsidR="008F4B0D">
        <w:rPr>
          <w:lang w:val="en-US"/>
        </w:rPr>
        <w:t xml:space="preserve">electronic </w:t>
      </w:r>
      <w:r w:rsidR="00077FE1">
        <w:rPr>
          <w:lang w:val="en-US"/>
        </w:rPr>
        <w:t xml:space="preserve">telecommunications </w:t>
      </w:r>
      <w:r w:rsidR="008F4B0D">
        <w:rPr>
          <w:lang w:val="en-US"/>
        </w:rPr>
        <w:t xml:space="preserve">network </w:t>
      </w:r>
      <w:r w:rsidR="00077FE1">
        <w:rPr>
          <w:lang w:val="en-US"/>
        </w:rPr>
        <w:t>operators</w:t>
      </w:r>
      <w:r w:rsidR="00A12317">
        <w:rPr>
          <w:lang w:val="en-US"/>
        </w:rPr>
        <w:t xml:space="preserve">, established in the Republic of Cyprus at the </w:t>
      </w:r>
      <w:r w:rsidR="007A1DA9">
        <w:rPr>
          <w:lang w:val="en-US"/>
        </w:rPr>
        <w:t xml:space="preserve">time of </w:t>
      </w:r>
      <w:r w:rsidR="003267CA">
        <w:rPr>
          <w:lang w:val="en-US"/>
        </w:rPr>
        <w:t xml:space="preserve">selection of the grantees </w:t>
      </w:r>
      <w:r w:rsidR="007A1DA9">
        <w:rPr>
          <w:lang w:val="en-US"/>
        </w:rPr>
        <w:t>of the support,</w:t>
      </w:r>
      <w:r w:rsidR="00077FE1">
        <w:rPr>
          <w:lang w:val="en-US"/>
        </w:rPr>
        <w:t xml:space="preserve"> that design, build and operate </w:t>
      </w:r>
      <w:r w:rsidR="009E3520">
        <w:rPr>
          <w:lang w:val="en-US"/>
        </w:rPr>
        <w:t>the infrastructure supported under the scheme.</w:t>
      </w:r>
      <w:r w:rsidR="006C358A">
        <w:rPr>
          <w:lang w:val="en-US"/>
        </w:rPr>
        <w:t xml:space="preserve"> </w:t>
      </w:r>
      <w:r w:rsidR="006D6C05">
        <w:rPr>
          <w:lang w:val="en-US"/>
        </w:rPr>
        <w:t xml:space="preserve">The beneficiaries will be selected </w:t>
      </w:r>
      <w:r w:rsidR="00F53A7C" w:rsidRPr="00F53A7C">
        <w:rPr>
          <w:lang w:val="en-US"/>
        </w:rPr>
        <w:t xml:space="preserve">following an open, transparent, </w:t>
      </w:r>
      <w:r w:rsidR="00F34DC6">
        <w:rPr>
          <w:lang w:val="en-US"/>
        </w:rPr>
        <w:t xml:space="preserve">and </w:t>
      </w:r>
      <w:r w:rsidR="00F53A7C" w:rsidRPr="00F53A7C">
        <w:rPr>
          <w:lang w:val="en-US"/>
        </w:rPr>
        <w:t>non</w:t>
      </w:r>
      <w:r w:rsidR="0091450D">
        <w:rPr>
          <w:lang w:val="en-US"/>
        </w:rPr>
        <w:t>-</w:t>
      </w:r>
      <w:r w:rsidR="00F53A7C" w:rsidRPr="00F53A7C">
        <w:rPr>
          <w:lang w:val="en-US"/>
        </w:rPr>
        <w:t xml:space="preserve">discriminatory competitive </w:t>
      </w:r>
      <w:r w:rsidR="00F34DC6">
        <w:rPr>
          <w:lang w:val="en-US"/>
        </w:rPr>
        <w:t xml:space="preserve">funding </w:t>
      </w:r>
      <w:r w:rsidR="00F53A7C" w:rsidRPr="00F53A7C">
        <w:rPr>
          <w:lang w:val="en-US"/>
        </w:rPr>
        <w:t>procedure</w:t>
      </w:r>
      <w:r w:rsidR="00006363">
        <w:rPr>
          <w:lang w:val="en-US"/>
        </w:rPr>
        <w:t xml:space="preserve">, following the public procurement legislation of Cyprus. </w:t>
      </w:r>
      <w:r w:rsidR="00F53A7C">
        <w:rPr>
          <w:lang w:val="en-US"/>
        </w:rPr>
        <w:t xml:space="preserve"> </w:t>
      </w:r>
    </w:p>
    <w:p w14:paraId="2AC1F61C" w14:textId="5A6644B9" w:rsidR="00F67AFB" w:rsidRDefault="001F52D0" w:rsidP="00FE4D2E">
      <w:pPr>
        <w:jc w:val="both"/>
        <w:rPr>
          <w:lang w:val="en-US"/>
        </w:rPr>
      </w:pPr>
      <w:r>
        <w:rPr>
          <w:lang w:val="en-US"/>
        </w:rPr>
        <w:t>The beneficiaries of the scheme</w:t>
      </w:r>
      <w:r w:rsidR="007E1904">
        <w:rPr>
          <w:lang w:val="en-US"/>
        </w:rPr>
        <w:t xml:space="preserve"> must confirm </w:t>
      </w:r>
      <w:r w:rsidR="00427CF0">
        <w:rPr>
          <w:lang w:val="en-US"/>
        </w:rPr>
        <w:t xml:space="preserve">the subsidized networks for which they receive </w:t>
      </w:r>
      <w:r w:rsidR="00CC7E95">
        <w:rPr>
          <w:lang w:val="en-US"/>
        </w:rPr>
        <w:t xml:space="preserve">investment </w:t>
      </w:r>
      <w:r w:rsidR="00427CF0">
        <w:rPr>
          <w:lang w:val="en-US"/>
        </w:rPr>
        <w:t xml:space="preserve">support </w:t>
      </w:r>
      <w:r w:rsidR="00CC7E95">
        <w:rPr>
          <w:lang w:val="en-US"/>
        </w:rPr>
        <w:t xml:space="preserve">are not </w:t>
      </w:r>
      <w:r w:rsidR="000D453B">
        <w:rPr>
          <w:lang w:val="en-US"/>
        </w:rPr>
        <w:t>part of their investment plans until 2025</w:t>
      </w:r>
      <w:r w:rsidR="004B2A9A">
        <w:rPr>
          <w:lang w:val="en-US"/>
        </w:rPr>
        <w:t>; in addition</w:t>
      </w:r>
      <w:r w:rsidR="0002553E">
        <w:rPr>
          <w:lang w:val="en-US"/>
        </w:rPr>
        <w:t xml:space="preserve">, applicants </w:t>
      </w:r>
      <w:r w:rsidR="00FE4D2E" w:rsidRPr="00FE4D2E">
        <w:rPr>
          <w:lang w:val="en-US"/>
        </w:rPr>
        <w:t>must provide</w:t>
      </w:r>
      <w:r w:rsidR="00FE4D2E">
        <w:rPr>
          <w:lang w:val="en-US"/>
        </w:rPr>
        <w:t xml:space="preserve"> </w:t>
      </w:r>
      <w:r w:rsidR="00FE4D2E" w:rsidRPr="00FE4D2E">
        <w:rPr>
          <w:lang w:val="en-US"/>
        </w:rPr>
        <w:t xml:space="preserve">appropriate documentation, such as performance, cost, </w:t>
      </w:r>
      <w:proofErr w:type="gramStart"/>
      <w:r w:rsidR="00FE4D2E" w:rsidRPr="00FE4D2E">
        <w:rPr>
          <w:lang w:val="en-US"/>
        </w:rPr>
        <w:t>time</w:t>
      </w:r>
      <w:proofErr w:type="gramEnd"/>
      <w:r w:rsidR="00FE4D2E" w:rsidRPr="00FE4D2E">
        <w:rPr>
          <w:lang w:val="en-US"/>
        </w:rPr>
        <w:t xml:space="preserve"> and financing plans</w:t>
      </w:r>
      <w:r w:rsidR="00FE4D2E">
        <w:rPr>
          <w:lang w:val="en-US"/>
        </w:rPr>
        <w:t xml:space="preserve"> demonstrating </w:t>
      </w:r>
      <w:r w:rsidR="00796D4F">
        <w:rPr>
          <w:lang w:val="en-US"/>
        </w:rPr>
        <w:t xml:space="preserve">the implementation of </w:t>
      </w:r>
      <w:r w:rsidR="003625E9">
        <w:rPr>
          <w:lang w:val="en-US"/>
        </w:rPr>
        <w:t>the</w:t>
      </w:r>
      <w:r w:rsidR="00796D4F">
        <w:rPr>
          <w:lang w:val="en-US"/>
        </w:rPr>
        <w:t xml:space="preserve"> investment would not be possible without public support. </w:t>
      </w:r>
    </w:p>
    <w:p w14:paraId="071448CF" w14:textId="07C14448" w:rsidR="00847238" w:rsidRDefault="00847238" w:rsidP="00072538">
      <w:pPr>
        <w:jc w:val="both"/>
        <w:rPr>
          <w:lang w:val="en-US"/>
        </w:rPr>
      </w:pPr>
      <w:r w:rsidRPr="00985377">
        <w:rPr>
          <w:lang w:val="en-US"/>
        </w:rPr>
        <w:t>The infrastructure built will be in the property of the undertaking that receives</w:t>
      </w:r>
      <w:r>
        <w:rPr>
          <w:lang w:val="en-US"/>
        </w:rPr>
        <w:t xml:space="preserve"> </w:t>
      </w:r>
      <w:r w:rsidRPr="00985377">
        <w:rPr>
          <w:lang w:val="en-US"/>
        </w:rPr>
        <w:t>funding following the competitive selection procedure</w:t>
      </w:r>
      <w:r>
        <w:rPr>
          <w:lang w:val="en-US"/>
        </w:rPr>
        <w:t>. T</w:t>
      </w:r>
      <w:r w:rsidRPr="00433977">
        <w:rPr>
          <w:lang w:val="en-US"/>
        </w:rPr>
        <w:t xml:space="preserve">he </w:t>
      </w:r>
      <w:r>
        <w:rPr>
          <w:lang w:val="en-US"/>
        </w:rPr>
        <w:t xml:space="preserve">selected </w:t>
      </w:r>
      <w:r w:rsidR="00F2140D">
        <w:rPr>
          <w:lang w:val="en-US"/>
        </w:rPr>
        <w:t>undertaking</w:t>
      </w:r>
      <w:r w:rsidR="00006363" w:rsidRPr="00433977">
        <w:rPr>
          <w:lang w:val="en-US"/>
        </w:rPr>
        <w:t xml:space="preserve"> </w:t>
      </w:r>
      <w:r w:rsidRPr="00433977">
        <w:rPr>
          <w:lang w:val="en-US"/>
        </w:rPr>
        <w:t>is obliged to operate</w:t>
      </w:r>
      <w:r>
        <w:rPr>
          <w:lang w:val="en-US"/>
        </w:rPr>
        <w:t xml:space="preserve"> and maintain</w:t>
      </w:r>
      <w:r w:rsidRPr="00433977">
        <w:rPr>
          <w:lang w:val="en-US"/>
        </w:rPr>
        <w:t xml:space="preserve"> the subsidized infrastructure for at</w:t>
      </w:r>
      <w:r>
        <w:rPr>
          <w:lang w:val="en-US"/>
        </w:rPr>
        <w:t xml:space="preserve"> </w:t>
      </w:r>
      <w:r w:rsidRPr="00D401FD">
        <w:rPr>
          <w:highlight w:val="green"/>
          <w:lang w:val="en-US"/>
        </w:rPr>
        <w:t>least seven years</w:t>
      </w:r>
      <w:r>
        <w:rPr>
          <w:lang w:val="en-US"/>
        </w:rPr>
        <w:t xml:space="preserve"> after the start of its operation. This obligation will be in force </w:t>
      </w:r>
      <w:r w:rsidRPr="009C7E69">
        <w:rPr>
          <w:lang w:val="en-US"/>
        </w:rPr>
        <w:t>irrespective of any change in ownership of the infrastructure within</w:t>
      </w:r>
      <w:r>
        <w:rPr>
          <w:lang w:val="en-US"/>
        </w:rPr>
        <w:t xml:space="preserve"> </w:t>
      </w:r>
      <w:r w:rsidRPr="009C7E69">
        <w:rPr>
          <w:lang w:val="en-US"/>
        </w:rPr>
        <w:t>this timeframe</w:t>
      </w:r>
      <w:r>
        <w:rPr>
          <w:lang w:val="en-US"/>
        </w:rPr>
        <w:t xml:space="preserve">. </w:t>
      </w:r>
      <w:r w:rsidR="00605ECD">
        <w:rPr>
          <w:lang w:val="en-US"/>
        </w:rPr>
        <w:t xml:space="preserve">Wholesale access rules apply to </w:t>
      </w:r>
      <w:r w:rsidR="005A5BA9">
        <w:rPr>
          <w:lang w:val="en-US"/>
        </w:rPr>
        <w:t>any subsidized infrastructure.</w:t>
      </w:r>
    </w:p>
    <w:p w14:paraId="657F7D5F" w14:textId="15B4AD52" w:rsidR="00215173" w:rsidRDefault="00215173" w:rsidP="00072538">
      <w:pPr>
        <w:jc w:val="both"/>
        <w:rPr>
          <w:lang w:val="en-US"/>
        </w:rPr>
      </w:pPr>
      <w:r>
        <w:rPr>
          <w:lang w:val="en-US"/>
        </w:rPr>
        <w:t>Undertakings in difficulty</w:t>
      </w:r>
      <w:r w:rsidR="00A17F51">
        <w:rPr>
          <w:rStyle w:val="FootnoteReference"/>
          <w:lang w:val="en-US"/>
        </w:rPr>
        <w:footnoteReference w:id="4"/>
      </w:r>
      <w:r>
        <w:rPr>
          <w:lang w:val="en-US"/>
        </w:rPr>
        <w:t xml:space="preserve"> </w:t>
      </w:r>
      <w:r w:rsidR="00133187">
        <w:rPr>
          <w:lang w:val="en-US"/>
        </w:rPr>
        <w:t xml:space="preserve">will not be eligible to receive support under this scheme. </w:t>
      </w:r>
    </w:p>
    <w:p w14:paraId="44943A3D" w14:textId="36370799" w:rsidR="002D06EE" w:rsidRPr="00942540" w:rsidRDefault="002D06EE" w:rsidP="00072538">
      <w:pPr>
        <w:jc w:val="both"/>
        <w:rPr>
          <w:b/>
          <w:bCs/>
          <w:u w:val="single"/>
          <w:lang w:val="en-US"/>
        </w:rPr>
      </w:pPr>
      <w:r w:rsidRPr="00942540">
        <w:rPr>
          <w:b/>
          <w:bCs/>
          <w:u w:val="single"/>
          <w:lang w:val="en-US"/>
        </w:rPr>
        <w:t>Intervention model</w:t>
      </w:r>
    </w:p>
    <w:p w14:paraId="3E1BED3D" w14:textId="637D364F" w:rsidR="00645599" w:rsidRDefault="00942540" w:rsidP="00C95573">
      <w:pPr>
        <w:jc w:val="both"/>
        <w:rPr>
          <w:lang w:val="en-US"/>
        </w:rPr>
      </w:pPr>
      <w:r w:rsidRPr="00942540">
        <w:rPr>
          <w:lang w:val="en-US"/>
        </w:rPr>
        <w:t xml:space="preserve">The implementation of the </w:t>
      </w:r>
      <w:r>
        <w:rPr>
          <w:lang w:val="en-US"/>
        </w:rPr>
        <w:t>investments</w:t>
      </w:r>
      <w:r w:rsidRPr="00942540">
        <w:rPr>
          <w:lang w:val="en-US"/>
        </w:rPr>
        <w:t xml:space="preserve"> will follow a Private DBO (Design, Build and Operate) </w:t>
      </w:r>
      <w:r w:rsidR="0056280C">
        <w:rPr>
          <w:lang w:val="en-US"/>
        </w:rPr>
        <w:t>–</w:t>
      </w:r>
      <w:r w:rsidRPr="00942540">
        <w:rPr>
          <w:lang w:val="en-US"/>
        </w:rPr>
        <w:t xml:space="preserve"> Gap Funding model</w:t>
      </w:r>
      <w:r w:rsidR="00925389">
        <w:rPr>
          <w:rStyle w:val="FootnoteReference"/>
          <w:lang w:val="en-US"/>
        </w:rPr>
        <w:footnoteReference w:id="5"/>
      </w:r>
      <w:r w:rsidR="007402CE">
        <w:rPr>
          <w:lang w:val="en-US"/>
        </w:rPr>
        <w:t>. T</w:t>
      </w:r>
      <w:r w:rsidRPr="00942540">
        <w:rPr>
          <w:lang w:val="en-US"/>
        </w:rPr>
        <w:t>he Contractor will undertake the design, construction</w:t>
      </w:r>
      <w:r w:rsidR="004D2624">
        <w:rPr>
          <w:lang w:val="en-US"/>
        </w:rPr>
        <w:t>,</w:t>
      </w:r>
      <w:r w:rsidRPr="00942540">
        <w:rPr>
          <w:lang w:val="en-US"/>
        </w:rPr>
        <w:t xml:space="preserve"> and operation </w:t>
      </w:r>
      <w:r w:rsidRPr="00942540">
        <w:rPr>
          <w:lang w:val="en-US"/>
        </w:rPr>
        <w:lastRenderedPageBreak/>
        <w:t>of the network, as well as part of the financing, and the public sector will cover the funding gap with a grant,</w:t>
      </w:r>
      <w:r w:rsidR="00C95573">
        <w:rPr>
          <w:lang w:val="en-US"/>
        </w:rPr>
        <w:t xml:space="preserve"> </w:t>
      </w:r>
      <w:r w:rsidR="00C95573" w:rsidRPr="00C95573">
        <w:rPr>
          <w:lang w:val="en-US"/>
        </w:rPr>
        <w:t xml:space="preserve">calculated </w:t>
      </w:r>
      <w:proofErr w:type="gramStart"/>
      <w:r w:rsidR="00C95573" w:rsidRPr="00C95573">
        <w:rPr>
          <w:lang w:val="en-US"/>
        </w:rPr>
        <w:t>on the basis of</w:t>
      </w:r>
      <w:proofErr w:type="gramEnd"/>
      <w:r w:rsidR="00C95573" w:rsidRPr="00C95573">
        <w:rPr>
          <w:lang w:val="en-US"/>
        </w:rPr>
        <w:t xml:space="preserve"> a percentage of</w:t>
      </w:r>
      <w:r w:rsidR="00C95573">
        <w:rPr>
          <w:lang w:val="en-US"/>
        </w:rPr>
        <w:t xml:space="preserve"> </w:t>
      </w:r>
      <w:r w:rsidR="00C95573" w:rsidRPr="00C95573">
        <w:rPr>
          <w:lang w:val="en-US"/>
        </w:rPr>
        <w:t xml:space="preserve">eligible investment costs for the deployment of </w:t>
      </w:r>
      <w:r w:rsidR="00645599">
        <w:rPr>
          <w:lang w:val="en-US"/>
        </w:rPr>
        <w:t xml:space="preserve">subsidized infrastructure, </w:t>
      </w:r>
      <w:r w:rsidRPr="00942540">
        <w:rPr>
          <w:lang w:val="en-US"/>
        </w:rPr>
        <w:t xml:space="preserve">following an open </w:t>
      </w:r>
      <w:r w:rsidR="00F60E4A">
        <w:rPr>
          <w:lang w:val="en-US"/>
        </w:rPr>
        <w:t>tender</w:t>
      </w:r>
      <w:r w:rsidRPr="00942540">
        <w:rPr>
          <w:lang w:val="en-US"/>
        </w:rPr>
        <w:t xml:space="preserve"> procedure.</w:t>
      </w:r>
      <w:r w:rsidR="004D2624">
        <w:rPr>
          <w:lang w:val="en-US"/>
        </w:rPr>
        <w:t xml:space="preserve"> </w:t>
      </w:r>
      <w:r w:rsidRPr="00942540">
        <w:rPr>
          <w:lang w:val="en-US"/>
        </w:rPr>
        <w:t xml:space="preserve"> </w:t>
      </w:r>
    </w:p>
    <w:p w14:paraId="782B54E4" w14:textId="7BB21DE8" w:rsidR="009407A3" w:rsidRDefault="0056280C" w:rsidP="00072538">
      <w:pPr>
        <w:jc w:val="both"/>
        <w:rPr>
          <w:lang w:val="en-US"/>
        </w:rPr>
      </w:pPr>
      <w:r>
        <w:rPr>
          <w:lang w:val="en-US"/>
        </w:rPr>
        <w:t>As will be explained in detail below, t</w:t>
      </w:r>
      <w:r w:rsidR="00942540" w:rsidRPr="00942540">
        <w:rPr>
          <w:lang w:val="en-US"/>
        </w:rPr>
        <w:t xml:space="preserve">he geographical territory of the Republic of Cyprus will be divided into 3 lots. </w:t>
      </w:r>
      <w:r w:rsidR="007F1B2E">
        <w:rPr>
          <w:lang w:val="en-US"/>
        </w:rPr>
        <w:t xml:space="preserve">Each lot will include a combination of </w:t>
      </w:r>
      <w:r w:rsidR="00060A65">
        <w:rPr>
          <w:lang w:val="en-US"/>
        </w:rPr>
        <w:t xml:space="preserve">type A, B and C investments, grouped in the respective intervention area. </w:t>
      </w:r>
    </w:p>
    <w:p w14:paraId="4CF4FB5C" w14:textId="202937A4" w:rsidR="003A1CBC" w:rsidRDefault="003A1CBC" w:rsidP="003A1CBC">
      <w:pPr>
        <w:jc w:val="both"/>
        <w:rPr>
          <w:b/>
          <w:bCs/>
          <w:u w:val="single"/>
          <w:lang w:val="en-US"/>
        </w:rPr>
      </w:pPr>
      <w:r w:rsidRPr="00491BF0">
        <w:rPr>
          <w:b/>
          <w:bCs/>
          <w:u w:val="single"/>
          <w:lang w:val="en-US"/>
        </w:rPr>
        <w:t>Eligible costs</w:t>
      </w:r>
    </w:p>
    <w:p w14:paraId="68485289" w14:textId="3EAC6021" w:rsidR="00122651" w:rsidRPr="00122651" w:rsidRDefault="00122651" w:rsidP="003A1CBC">
      <w:pPr>
        <w:jc w:val="both"/>
        <w:rPr>
          <w:lang w:val="en-US"/>
        </w:rPr>
      </w:pPr>
      <w:r>
        <w:rPr>
          <w:lang w:val="en-US"/>
        </w:rPr>
        <w:t>Eligible costs will include investment costs</w:t>
      </w:r>
      <w:r w:rsidR="000E1F83">
        <w:rPr>
          <w:lang w:val="en-US"/>
        </w:rPr>
        <w:t xml:space="preserve"> for the three types of investments, as well as </w:t>
      </w:r>
      <w:r w:rsidR="00C207BC">
        <w:rPr>
          <w:lang w:val="en-US"/>
        </w:rPr>
        <w:t>own-services costs and project planning and management costs, detailed as follows:</w:t>
      </w:r>
    </w:p>
    <w:p w14:paraId="36E0311B" w14:textId="2101F0DC" w:rsidR="00901D57" w:rsidRPr="00D401FD" w:rsidRDefault="0010364C" w:rsidP="007D057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D0571">
        <w:rPr>
          <w:lang w:val="en-US"/>
        </w:rPr>
        <w:t xml:space="preserve">Eligible </w:t>
      </w:r>
      <w:r w:rsidR="00C207BC">
        <w:rPr>
          <w:lang w:val="en-US"/>
        </w:rPr>
        <w:t xml:space="preserve">investment </w:t>
      </w:r>
      <w:r w:rsidRPr="007D0571">
        <w:rPr>
          <w:lang w:val="en-US"/>
        </w:rPr>
        <w:t xml:space="preserve">costs </w:t>
      </w:r>
      <w:r w:rsidR="007D0571">
        <w:rPr>
          <w:lang w:val="en-US"/>
        </w:rPr>
        <w:t>for Type A investments</w:t>
      </w:r>
      <w:r w:rsidR="00C420E0">
        <w:rPr>
          <w:lang w:val="en-US"/>
        </w:rPr>
        <w:t>: costs</w:t>
      </w:r>
      <w:r w:rsidR="00E26FEA">
        <w:rPr>
          <w:lang w:val="en-US"/>
        </w:rPr>
        <w:t xml:space="preserve"> for </w:t>
      </w:r>
      <w:r w:rsidR="00E26FEA" w:rsidRPr="00E26FEA">
        <w:rPr>
          <w:lang w:val="en-US"/>
        </w:rPr>
        <w:t>deployment of passive infrastructure of ultrafast fixed access networks</w:t>
      </w:r>
      <w:r w:rsidR="00E26FEA">
        <w:rPr>
          <w:lang w:val="en-US"/>
        </w:rPr>
        <w:t xml:space="preserve">. This can </w:t>
      </w:r>
      <w:proofErr w:type="gramStart"/>
      <w:r w:rsidR="00E26FEA">
        <w:rPr>
          <w:lang w:val="en-US"/>
        </w:rPr>
        <w:t>include:</w:t>
      </w:r>
      <w:proofErr w:type="gramEnd"/>
      <w:r w:rsidR="00E26FEA">
        <w:rPr>
          <w:lang w:val="en-US"/>
        </w:rPr>
        <w:t xml:space="preserve"> </w:t>
      </w:r>
      <w:bookmarkStart w:id="2" w:name="_Hlk101451457"/>
      <w:r w:rsidR="00E26FEA" w:rsidRPr="00E26FEA">
        <w:rPr>
          <w:lang w:val="en-US"/>
        </w:rPr>
        <w:t>civil engineering works</w:t>
      </w:r>
      <w:r w:rsidR="00DC0EA4">
        <w:rPr>
          <w:lang w:val="en-US"/>
        </w:rPr>
        <w:t>,</w:t>
      </w:r>
      <w:r w:rsidR="00E26FEA" w:rsidRPr="00E26FEA">
        <w:rPr>
          <w:lang w:val="en-US"/>
        </w:rPr>
        <w:t xml:space="preserve"> preparation of documentation to </w:t>
      </w:r>
      <w:r w:rsidR="00E26FEA" w:rsidRPr="00D401FD">
        <w:rPr>
          <w:lang w:val="en-US"/>
        </w:rPr>
        <w:t>obtain the necessary permits</w:t>
      </w:r>
      <w:r w:rsidR="00DC0EA4" w:rsidRPr="00D401FD">
        <w:rPr>
          <w:lang w:val="en-US"/>
        </w:rPr>
        <w:t>,</w:t>
      </w:r>
      <w:r w:rsidR="00E26FEA" w:rsidRPr="00D401FD">
        <w:rPr>
          <w:lang w:val="en-US"/>
        </w:rPr>
        <w:t xml:space="preserve"> ducting, including sub-ducts, microtubes, etc., and their installation; </w:t>
      </w:r>
      <w:proofErr w:type="spellStart"/>
      <w:r w:rsidR="00E26FEA" w:rsidRPr="00D401FD">
        <w:rPr>
          <w:lang w:val="en-US"/>
        </w:rPr>
        <w:t>fibre</w:t>
      </w:r>
      <w:proofErr w:type="spellEnd"/>
      <w:r w:rsidR="00E26FEA" w:rsidRPr="00D401FD">
        <w:rPr>
          <w:lang w:val="en-US"/>
        </w:rPr>
        <w:t xml:space="preserve"> cables including inlets and splicing</w:t>
      </w:r>
      <w:r w:rsidR="00DC0EA4" w:rsidRPr="00D401FD">
        <w:rPr>
          <w:lang w:val="en-US"/>
        </w:rPr>
        <w:t>,</w:t>
      </w:r>
      <w:r w:rsidR="00E26FEA" w:rsidRPr="00D401FD">
        <w:rPr>
          <w:lang w:val="en-US"/>
        </w:rPr>
        <w:t xml:space="preserve"> </w:t>
      </w:r>
      <w:proofErr w:type="spellStart"/>
      <w:r w:rsidR="00E26FEA" w:rsidRPr="00D401FD">
        <w:rPr>
          <w:lang w:val="en-US"/>
        </w:rPr>
        <w:t>fibre</w:t>
      </w:r>
      <w:proofErr w:type="spellEnd"/>
      <w:r w:rsidR="00E26FEA" w:rsidRPr="00D401FD">
        <w:rPr>
          <w:lang w:val="en-US"/>
        </w:rPr>
        <w:t xml:space="preserve"> distribution panels, including their installation</w:t>
      </w:r>
      <w:r w:rsidR="00DC0EA4" w:rsidRPr="00D401FD">
        <w:rPr>
          <w:lang w:val="en-US"/>
        </w:rPr>
        <w:t>,</w:t>
      </w:r>
      <w:r w:rsidR="00E26FEA" w:rsidRPr="00D401FD">
        <w:rPr>
          <w:lang w:val="en-US"/>
        </w:rPr>
        <w:t xml:space="preserve"> passive equipment in distribution and local </w:t>
      </w:r>
      <w:r w:rsidR="00667F89" w:rsidRPr="00D401FD">
        <w:rPr>
          <w:lang w:val="en-US"/>
        </w:rPr>
        <w:t>centers</w:t>
      </w:r>
      <w:bookmarkEnd w:id="2"/>
      <w:r w:rsidR="00667F89" w:rsidRPr="00D401FD">
        <w:rPr>
          <w:lang w:val="en-US"/>
        </w:rPr>
        <w:t>.</w:t>
      </w:r>
    </w:p>
    <w:p w14:paraId="2EC844A1" w14:textId="0A7B1EF2" w:rsidR="00667F89" w:rsidRDefault="00667F89" w:rsidP="007D057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Eligible investment costs for Type B investments</w:t>
      </w:r>
      <w:r w:rsidR="008A26E9">
        <w:rPr>
          <w:lang w:val="en-US"/>
        </w:rPr>
        <w:t>: costs for deployment of 5G mobile networks. This can include:</w:t>
      </w:r>
    </w:p>
    <w:p w14:paraId="538C2188" w14:textId="11EE5FAD" w:rsidR="003267A5" w:rsidRDefault="00D762DD" w:rsidP="00866C0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F4446">
        <w:rPr>
          <w:lang w:val="en-US"/>
        </w:rPr>
        <w:t>Costs for deployment of passive infrastructure for 5G mobile networks</w:t>
      </w:r>
      <w:r w:rsidR="00047FB0" w:rsidRPr="000F4446">
        <w:rPr>
          <w:lang w:val="en-US"/>
        </w:rPr>
        <w:t>. This includes</w:t>
      </w:r>
      <w:r w:rsidRPr="000F4446">
        <w:rPr>
          <w:lang w:val="en-US"/>
        </w:rPr>
        <w:t xml:space="preserve"> </w:t>
      </w:r>
      <w:r w:rsidR="009E75D5" w:rsidRPr="000F4446">
        <w:rPr>
          <w:lang w:val="en-US"/>
        </w:rPr>
        <w:t>investment costs for the roll-out of passive infrastructure or its upgrade or adaptation when necessary for the use of an</w:t>
      </w:r>
      <w:r w:rsidR="00047FB0" w:rsidRPr="000F4446">
        <w:rPr>
          <w:lang w:val="en-US"/>
        </w:rPr>
        <w:t xml:space="preserve"> </w:t>
      </w:r>
      <w:r w:rsidR="009E75D5" w:rsidRPr="000F4446">
        <w:rPr>
          <w:lang w:val="en-US"/>
        </w:rPr>
        <w:t>existing infrastructure</w:t>
      </w:r>
      <w:r w:rsidR="00047FB0" w:rsidRPr="000F4446">
        <w:rPr>
          <w:lang w:val="en-US"/>
        </w:rPr>
        <w:t xml:space="preserve">: </w:t>
      </w:r>
      <w:r w:rsidR="00E73B03">
        <w:rPr>
          <w:lang w:val="en-US"/>
        </w:rPr>
        <w:t>costs for deployment of optical backhaul networks</w:t>
      </w:r>
      <w:r w:rsidR="0048521F">
        <w:rPr>
          <w:lang w:val="en-US"/>
        </w:rPr>
        <w:t xml:space="preserve"> up to the first distribution point</w:t>
      </w:r>
      <w:r w:rsidR="00260E09">
        <w:rPr>
          <w:lang w:val="en-US"/>
        </w:rPr>
        <w:t xml:space="preserve"> (macro-cells)</w:t>
      </w:r>
      <w:r w:rsidR="0048521F">
        <w:rPr>
          <w:lang w:val="en-US"/>
        </w:rPr>
        <w:t>;</w:t>
      </w:r>
      <w:r w:rsidR="00E73B03">
        <w:rPr>
          <w:lang w:val="en-US"/>
        </w:rPr>
        <w:t xml:space="preserve"> </w:t>
      </w:r>
      <w:r w:rsidR="001F140F" w:rsidRPr="000F4446">
        <w:rPr>
          <w:lang w:val="en-US"/>
        </w:rPr>
        <w:t xml:space="preserve">costs for design and construction of the </w:t>
      </w:r>
      <w:r w:rsidR="001D5B33">
        <w:rPr>
          <w:lang w:val="en-US"/>
        </w:rPr>
        <w:t xml:space="preserve">mobile </w:t>
      </w:r>
      <w:r w:rsidR="001F140F" w:rsidRPr="000F4446">
        <w:rPr>
          <w:lang w:val="en-US"/>
        </w:rPr>
        <w:t>access</w:t>
      </w:r>
      <w:r w:rsidR="00E73B03">
        <w:rPr>
          <w:lang w:val="en-US"/>
        </w:rPr>
        <w:t xml:space="preserve"> </w:t>
      </w:r>
      <w:r w:rsidR="0048521F">
        <w:rPr>
          <w:lang w:val="en-US"/>
        </w:rPr>
        <w:t>network</w:t>
      </w:r>
      <w:r w:rsidR="001F140F" w:rsidRPr="000F4446">
        <w:rPr>
          <w:lang w:val="en-US"/>
        </w:rPr>
        <w:t>,</w:t>
      </w:r>
      <w:r w:rsidR="001D5B33">
        <w:rPr>
          <w:lang w:val="en-US"/>
        </w:rPr>
        <w:t xml:space="preserve"> </w:t>
      </w:r>
      <w:r w:rsidR="007D4A56">
        <w:rPr>
          <w:lang w:val="en-US"/>
        </w:rPr>
        <w:t xml:space="preserve">deployment of new </w:t>
      </w:r>
      <w:r w:rsidR="006D2D91">
        <w:rPr>
          <w:lang w:val="en-US"/>
        </w:rPr>
        <w:t>small cells</w:t>
      </w:r>
      <w:r w:rsidR="007D4A56">
        <w:rPr>
          <w:lang w:val="en-US"/>
        </w:rPr>
        <w:t>, securing</w:t>
      </w:r>
      <w:r w:rsidR="001F140F" w:rsidRPr="000F4446">
        <w:rPr>
          <w:lang w:val="en-US"/>
        </w:rPr>
        <w:t xml:space="preserve"> power supply, foundations, masts or support structure, technical rooms and structural security measures</w:t>
      </w:r>
      <w:r w:rsidR="000F4446" w:rsidRPr="000F4446">
        <w:rPr>
          <w:lang w:val="en-US"/>
        </w:rPr>
        <w:t>; costs for connections between the passive access network and the backhaul networks</w:t>
      </w:r>
      <w:r w:rsidR="000F4446">
        <w:rPr>
          <w:lang w:val="en-US"/>
        </w:rPr>
        <w:t xml:space="preserve">, i.e., </w:t>
      </w:r>
      <w:r w:rsidR="00EB70D1">
        <w:rPr>
          <w:lang w:val="en-US"/>
        </w:rPr>
        <w:t>deployment of ducts, dark fiber</w:t>
      </w:r>
      <w:r w:rsidR="004B3DA5">
        <w:rPr>
          <w:lang w:val="en-US"/>
        </w:rPr>
        <w:t>.</w:t>
      </w:r>
    </w:p>
    <w:p w14:paraId="3581D47B" w14:textId="0BCBC402" w:rsidR="00284AD2" w:rsidRDefault="00284AD2" w:rsidP="00284AD2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Eligible investment costs for Type C investments: </w:t>
      </w:r>
      <w:r w:rsidR="0070278F">
        <w:rPr>
          <w:lang w:val="en-US"/>
        </w:rPr>
        <w:t xml:space="preserve">costs for configuration of </w:t>
      </w:r>
      <w:r w:rsidR="007E2448">
        <w:rPr>
          <w:lang w:val="en-US"/>
        </w:rPr>
        <w:t>existing access networks serving SED</w:t>
      </w:r>
      <w:r w:rsidR="00632188">
        <w:rPr>
          <w:lang w:val="en-US"/>
        </w:rPr>
        <w:t xml:space="preserve"> to ensure 1 Gbps symmetrical speeds </w:t>
      </w:r>
      <w:r w:rsidR="008A4AF4">
        <w:rPr>
          <w:lang w:val="en-US"/>
        </w:rPr>
        <w:t>can be reliably achieved under normal peak time conditions</w:t>
      </w:r>
      <w:r w:rsidR="00393401">
        <w:rPr>
          <w:lang w:val="en-US"/>
        </w:rPr>
        <w:t xml:space="preserve">. </w:t>
      </w:r>
      <w:r w:rsidR="00393401" w:rsidRPr="00393401">
        <w:rPr>
          <w:lang w:val="en-US"/>
        </w:rPr>
        <w:t>This configuration can be done either at the passive level (point-to-point) or at active level with the addition of appropriate terminal equipment (WDM-PON).</w:t>
      </w:r>
      <w:r w:rsidR="008B20ED">
        <w:rPr>
          <w:lang w:val="en-US"/>
        </w:rPr>
        <w:t xml:space="preserve"> Investments can </w:t>
      </w:r>
      <w:proofErr w:type="gramStart"/>
      <w:r w:rsidR="008B20ED">
        <w:rPr>
          <w:lang w:val="en-US"/>
        </w:rPr>
        <w:t>include:</w:t>
      </w:r>
      <w:proofErr w:type="gramEnd"/>
      <w:r w:rsidR="008B20ED">
        <w:rPr>
          <w:lang w:val="en-US"/>
        </w:rPr>
        <w:t xml:space="preserve"> </w:t>
      </w:r>
      <w:r w:rsidR="008B20ED" w:rsidRPr="008B20ED">
        <w:rPr>
          <w:lang w:val="en-US"/>
        </w:rPr>
        <w:t xml:space="preserve">civil engineering works; preparation of documentation to obtain the necessary permits; ducting, including sub-ducts, microtubes, etc., and their installation; </w:t>
      </w:r>
      <w:proofErr w:type="spellStart"/>
      <w:r w:rsidR="008B20ED" w:rsidRPr="008B20ED">
        <w:rPr>
          <w:lang w:val="en-US"/>
        </w:rPr>
        <w:t>fibre</w:t>
      </w:r>
      <w:proofErr w:type="spellEnd"/>
      <w:r w:rsidR="008B20ED" w:rsidRPr="008B20ED">
        <w:rPr>
          <w:lang w:val="en-US"/>
        </w:rPr>
        <w:t xml:space="preserve"> cables including inlets and splicing; </w:t>
      </w:r>
      <w:proofErr w:type="spellStart"/>
      <w:r w:rsidR="008B20ED" w:rsidRPr="008B20ED">
        <w:rPr>
          <w:lang w:val="en-US"/>
        </w:rPr>
        <w:t>fibre</w:t>
      </w:r>
      <w:proofErr w:type="spellEnd"/>
      <w:r w:rsidR="008B20ED" w:rsidRPr="008B20ED">
        <w:rPr>
          <w:lang w:val="en-US"/>
        </w:rPr>
        <w:t xml:space="preserve"> distribution panels, including their installation; passive equipment in distribution and local centers</w:t>
      </w:r>
      <w:r w:rsidR="008B20ED">
        <w:rPr>
          <w:lang w:val="en-US"/>
        </w:rPr>
        <w:t xml:space="preserve">. </w:t>
      </w:r>
    </w:p>
    <w:p w14:paraId="5E22E4AA" w14:textId="69FD3586" w:rsidR="00163DA2" w:rsidRDefault="00163DA2" w:rsidP="00284AD2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Other overall project costs</w:t>
      </w:r>
      <w:r w:rsidR="00FC7272">
        <w:rPr>
          <w:lang w:val="en-US"/>
        </w:rPr>
        <w:t xml:space="preserve"> (for all three types of investments):</w:t>
      </w:r>
    </w:p>
    <w:p w14:paraId="0081F0B5" w14:textId="77777777" w:rsidR="00FC7272" w:rsidRPr="00FC7272" w:rsidRDefault="00FC7272" w:rsidP="00FC7272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FC7272">
        <w:rPr>
          <w:lang w:val="en-US"/>
        </w:rPr>
        <w:t>Own-services costs directly related to the implementation of the investment- work and material used for the project, duly justified</w:t>
      </w:r>
    </w:p>
    <w:p w14:paraId="31FB428D" w14:textId="4A40361B" w:rsidR="00FC7272" w:rsidRPr="00FC7272" w:rsidRDefault="00FC7272" w:rsidP="00866C06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FC7272">
        <w:rPr>
          <w:lang w:val="en-US"/>
        </w:rPr>
        <w:t>Project planning and management related costs</w:t>
      </w:r>
      <w:r w:rsidR="000027F8">
        <w:rPr>
          <w:lang w:val="en-US"/>
        </w:rPr>
        <w:t xml:space="preserve"> </w:t>
      </w:r>
    </w:p>
    <w:p w14:paraId="4003F716" w14:textId="7396D734" w:rsidR="004E752E" w:rsidRPr="00367A96" w:rsidRDefault="0032692E" w:rsidP="004E752E">
      <w:pPr>
        <w:jc w:val="both"/>
        <w:rPr>
          <w:lang w:val="en-US"/>
        </w:rPr>
      </w:pPr>
      <w:r>
        <w:rPr>
          <w:lang w:val="en-US"/>
        </w:rPr>
        <w:t>The investment implementation period and the eligibility of costs</w:t>
      </w:r>
      <w:r w:rsidR="00507DAC">
        <w:rPr>
          <w:lang w:val="en-US"/>
        </w:rPr>
        <w:t xml:space="preserve"> cannot, under any circumstance, start before the submission of the project funding proposal to the </w:t>
      </w:r>
      <w:r w:rsidR="0054457A">
        <w:rPr>
          <w:lang w:val="en-US"/>
        </w:rPr>
        <w:t xml:space="preserve">granting authority. </w:t>
      </w:r>
      <w:r w:rsidR="002E2731">
        <w:rPr>
          <w:lang w:val="en-US"/>
        </w:rPr>
        <w:t xml:space="preserve">All works </w:t>
      </w:r>
      <w:proofErr w:type="gramStart"/>
      <w:r w:rsidR="002E2731">
        <w:rPr>
          <w:lang w:val="en-US"/>
        </w:rPr>
        <w:t>have to</w:t>
      </w:r>
      <w:proofErr w:type="gramEnd"/>
      <w:r w:rsidR="002E2731">
        <w:rPr>
          <w:lang w:val="en-US"/>
        </w:rPr>
        <w:t xml:space="preserve"> be finalized no later than </w:t>
      </w:r>
      <w:r w:rsidR="002E2731" w:rsidRPr="005C2CC8">
        <w:rPr>
          <w:highlight w:val="yellow"/>
          <w:lang w:val="en-US"/>
        </w:rPr>
        <w:t>XXX.</w:t>
      </w:r>
      <w:r w:rsidR="002E2731">
        <w:rPr>
          <w:lang w:val="en-US"/>
        </w:rPr>
        <w:t xml:space="preserve"> Failure to deliver by this timeline </w:t>
      </w:r>
      <w:r w:rsidR="002E2731">
        <w:rPr>
          <w:lang w:val="en-US"/>
        </w:rPr>
        <w:lastRenderedPageBreak/>
        <w:t xml:space="preserve">forfeits the right to the gap funding support. </w:t>
      </w:r>
      <w:r w:rsidR="00682E01">
        <w:rPr>
          <w:lang w:val="en-US"/>
        </w:rPr>
        <w:t xml:space="preserve"> </w:t>
      </w:r>
    </w:p>
    <w:p w14:paraId="02F35AF4" w14:textId="00B37482" w:rsidR="003A1CBC" w:rsidRPr="00914F28" w:rsidRDefault="00473488" w:rsidP="00072538">
      <w:pPr>
        <w:jc w:val="both"/>
        <w:rPr>
          <w:b/>
          <w:bCs/>
          <w:u w:val="single"/>
          <w:lang w:val="en-US"/>
        </w:rPr>
      </w:pPr>
      <w:r w:rsidRPr="00914F28">
        <w:rPr>
          <w:b/>
          <w:bCs/>
          <w:u w:val="single"/>
          <w:lang w:val="en-US"/>
        </w:rPr>
        <w:t>Aid amount and aid intensity</w:t>
      </w:r>
    </w:p>
    <w:p w14:paraId="7F895911" w14:textId="4EE72E49" w:rsidR="00914F28" w:rsidRDefault="00914F28" w:rsidP="00072538">
      <w:pPr>
        <w:jc w:val="both"/>
        <w:rPr>
          <w:lang w:val="en-US"/>
        </w:rPr>
      </w:pPr>
      <w:r>
        <w:rPr>
          <w:lang w:val="en-US"/>
        </w:rPr>
        <w:t xml:space="preserve">A maximum aid amount will be defined for each lot </w:t>
      </w:r>
      <w:r w:rsidR="00703E05">
        <w:rPr>
          <w:lang w:val="en-US"/>
        </w:rPr>
        <w:t xml:space="preserve">in the </w:t>
      </w:r>
      <w:r w:rsidR="003A5602">
        <w:rPr>
          <w:lang w:val="en-US"/>
        </w:rPr>
        <w:t>selection procedure.</w:t>
      </w:r>
    </w:p>
    <w:p w14:paraId="3B329C0F" w14:textId="606C700C" w:rsidR="000C6FC8" w:rsidRPr="00170191" w:rsidRDefault="000C6FC8" w:rsidP="00072538">
      <w:pPr>
        <w:jc w:val="both"/>
        <w:rPr>
          <w:b/>
          <w:bCs/>
          <w:u w:val="single"/>
          <w:lang w:val="en-US"/>
        </w:rPr>
      </w:pPr>
      <w:r w:rsidRPr="00170191">
        <w:rPr>
          <w:b/>
          <w:bCs/>
          <w:u w:val="single"/>
          <w:lang w:val="en-US"/>
        </w:rPr>
        <w:t>Selection process</w:t>
      </w:r>
      <w:r w:rsidR="00170191" w:rsidRPr="00170191">
        <w:rPr>
          <w:b/>
          <w:bCs/>
          <w:u w:val="single"/>
          <w:lang w:val="en-US"/>
        </w:rPr>
        <w:t xml:space="preserve"> and award criteria</w:t>
      </w:r>
      <w:r w:rsidRPr="00170191">
        <w:rPr>
          <w:b/>
          <w:bCs/>
          <w:u w:val="single"/>
          <w:lang w:val="en-US"/>
        </w:rPr>
        <w:t xml:space="preserve"> </w:t>
      </w:r>
    </w:p>
    <w:p w14:paraId="1226E76E" w14:textId="77777777" w:rsidR="00241E1B" w:rsidRDefault="007D23B7" w:rsidP="00072538">
      <w:pPr>
        <w:jc w:val="both"/>
        <w:rPr>
          <w:lang w:val="en-US"/>
        </w:rPr>
      </w:pPr>
      <w:r>
        <w:rPr>
          <w:lang w:val="en-US"/>
        </w:rPr>
        <w:t xml:space="preserve">The beneficiaries of the support scheme will be selected through an open, </w:t>
      </w:r>
      <w:proofErr w:type="gramStart"/>
      <w:r>
        <w:rPr>
          <w:lang w:val="en-US"/>
        </w:rPr>
        <w:t>competitive</w:t>
      </w:r>
      <w:proofErr w:type="gramEnd"/>
      <w:r>
        <w:rPr>
          <w:lang w:val="en-US"/>
        </w:rPr>
        <w:t xml:space="preserve"> and non-discriminatory selection process. </w:t>
      </w:r>
    </w:p>
    <w:p w14:paraId="1D6EBDDB" w14:textId="7BA3D26B" w:rsidR="00437395" w:rsidRDefault="007D1D38" w:rsidP="00072538">
      <w:pPr>
        <w:jc w:val="both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encourage competition, the </w:t>
      </w:r>
      <w:r w:rsidR="003029F7">
        <w:rPr>
          <w:lang w:val="en-US"/>
        </w:rPr>
        <w:t>territory of Cyprus will be divided into 3 lots</w:t>
      </w:r>
      <w:r w:rsidR="004F7C00">
        <w:rPr>
          <w:lang w:val="en-US"/>
        </w:rPr>
        <w:t xml:space="preserve">, described in </w:t>
      </w:r>
      <w:r w:rsidR="004F7C00" w:rsidRPr="004F7C00">
        <w:rPr>
          <w:highlight w:val="yellow"/>
          <w:lang w:val="en-US"/>
        </w:rPr>
        <w:t>Annex 1 of this document</w:t>
      </w:r>
      <w:r w:rsidR="004F7C00">
        <w:rPr>
          <w:lang w:val="en-US"/>
        </w:rPr>
        <w:t xml:space="preserve">. </w:t>
      </w:r>
      <w:r w:rsidR="00281121">
        <w:rPr>
          <w:lang w:val="en-US"/>
        </w:rPr>
        <w:t xml:space="preserve"> </w:t>
      </w:r>
    </w:p>
    <w:p w14:paraId="5CF9914A" w14:textId="355F3E99" w:rsidR="00082C61" w:rsidRPr="00D401FD" w:rsidRDefault="00082C61" w:rsidP="00072538">
      <w:pPr>
        <w:jc w:val="both"/>
        <w:rPr>
          <w:highlight w:val="green"/>
          <w:lang w:val="en-US"/>
        </w:rPr>
      </w:pPr>
      <w:r w:rsidRPr="00D401FD">
        <w:rPr>
          <w:highlight w:val="green"/>
          <w:lang w:val="en-US"/>
        </w:rPr>
        <w:t>Project proposals will need to ensure coverage of a</w:t>
      </w:r>
      <w:r w:rsidR="00DC0EA4" w:rsidRPr="00D401FD">
        <w:rPr>
          <w:highlight w:val="green"/>
          <w:lang w:val="en-US"/>
        </w:rPr>
        <w:t>t least 15.000</w:t>
      </w:r>
      <w:r w:rsidRPr="00D401FD">
        <w:rPr>
          <w:highlight w:val="green"/>
          <w:lang w:val="en-US"/>
        </w:rPr>
        <w:t xml:space="preserve"> premises</w:t>
      </w:r>
      <w:r w:rsidR="0048623F" w:rsidRPr="00D401FD">
        <w:rPr>
          <w:highlight w:val="green"/>
          <w:lang w:val="en-US"/>
        </w:rPr>
        <w:t xml:space="preserve"> included in each lot. </w:t>
      </w:r>
      <w:r w:rsidR="00DC0EA4" w:rsidRPr="00D401FD">
        <w:rPr>
          <w:highlight w:val="green"/>
          <w:lang w:val="en-US"/>
        </w:rPr>
        <w:t xml:space="preserve">Additional points in the selection procedure will be awarded to bidders offering a higher coverage. </w:t>
      </w:r>
    </w:p>
    <w:p w14:paraId="71F18035" w14:textId="58C01D27" w:rsidR="001E13E6" w:rsidRDefault="00281121" w:rsidP="00072538">
      <w:pPr>
        <w:jc w:val="both"/>
        <w:rPr>
          <w:lang w:val="en-US"/>
        </w:rPr>
      </w:pPr>
      <w:r w:rsidRPr="00D401FD">
        <w:rPr>
          <w:highlight w:val="green"/>
          <w:lang w:val="en-US"/>
        </w:rPr>
        <w:t>Each lot</w:t>
      </w:r>
      <w:r w:rsidR="00AB0CA0" w:rsidRPr="00D401FD">
        <w:rPr>
          <w:highlight w:val="green"/>
          <w:lang w:val="en-US"/>
        </w:rPr>
        <w:t xml:space="preserve"> will include all three types of investments described above and</w:t>
      </w:r>
      <w:r w:rsidRPr="00D401FD">
        <w:rPr>
          <w:highlight w:val="green"/>
          <w:lang w:val="en-US"/>
        </w:rPr>
        <w:t xml:space="preserve"> will be awarded to a bidde</w:t>
      </w:r>
      <w:r w:rsidR="00A447B8" w:rsidRPr="00D401FD">
        <w:rPr>
          <w:highlight w:val="green"/>
          <w:lang w:val="en-US"/>
        </w:rPr>
        <w:t xml:space="preserve">r, based on the most economically advantageous offer (please refer to the </w:t>
      </w:r>
      <w:r w:rsidR="00D42491" w:rsidRPr="00D401FD">
        <w:rPr>
          <w:highlight w:val="green"/>
          <w:lang w:val="en-US"/>
        </w:rPr>
        <w:t xml:space="preserve">award criteria below). </w:t>
      </w:r>
      <w:r w:rsidR="001D16C7" w:rsidRPr="00D401FD">
        <w:rPr>
          <w:highlight w:val="green"/>
          <w:lang w:val="en-US"/>
        </w:rPr>
        <w:t xml:space="preserve">Eligible undertakings have </w:t>
      </w:r>
      <w:r w:rsidR="00C96D02" w:rsidRPr="00D401FD">
        <w:rPr>
          <w:highlight w:val="green"/>
          <w:lang w:val="en-US"/>
        </w:rPr>
        <w:t xml:space="preserve">the </w:t>
      </w:r>
      <w:r w:rsidR="00B574E3" w:rsidRPr="00D401FD">
        <w:rPr>
          <w:highlight w:val="green"/>
          <w:lang w:val="en-US"/>
        </w:rPr>
        <w:t>possibility</w:t>
      </w:r>
      <w:r w:rsidR="00C96D02" w:rsidRPr="00D401FD">
        <w:rPr>
          <w:highlight w:val="green"/>
          <w:lang w:val="en-US"/>
        </w:rPr>
        <w:t xml:space="preserve"> to participate in the bid for all three lots. However</w:t>
      </w:r>
      <w:r w:rsidR="00C532AA" w:rsidRPr="00D401FD">
        <w:rPr>
          <w:highlight w:val="green"/>
          <w:lang w:val="en-US"/>
        </w:rPr>
        <w:t>,</w:t>
      </w:r>
      <w:r w:rsidR="003C2C8C" w:rsidRPr="00D401FD">
        <w:rPr>
          <w:highlight w:val="green"/>
          <w:lang w:val="en-US"/>
        </w:rPr>
        <w:t xml:space="preserve"> </w:t>
      </w:r>
      <w:proofErr w:type="gramStart"/>
      <w:r w:rsidR="003C2C8C" w:rsidRPr="00D401FD">
        <w:rPr>
          <w:highlight w:val="green"/>
          <w:lang w:val="en-US"/>
        </w:rPr>
        <w:t>as a general rule</w:t>
      </w:r>
      <w:proofErr w:type="gramEnd"/>
      <w:r w:rsidR="003C2C8C" w:rsidRPr="00D401FD">
        <w:rPr>
          <w:highlight w:val="green"/>
          <w:lang w:val="en-US"/>
        </w:rPr>
        <w:t>,</w:t>
      </w:r>
      <w:r w:rsidR="00C532AA" w:rsidRPr="00D401FD">
        <w:rPr>
          <w:highlight w:val="green"/>
          <w:lang w:val="en-US"/>
        </w:rPr>
        <w:t xml:space="preserve"> an undertaking can be successfully awarded the bid for only one lot</w:t>
      </w:r>
      <w:r w:rsidR="00B4154B" w:rsidRPr="00D401FD">
        <w:rPr>
          <w:highlight w:val="green"/>
          <w:lang w:val="en-US"/>
        </w:rPr>
        <w:t xml:space="preserve">. </w:t>
      </w:r>
      <w:r w:rsidR="006B4D1C" w:rsidRPr="00D401FD">
        <w:rPr>
          <w:highlight w:val="green"/>
          <w:lang w:val="en-US"/>
        </w:rPr>
        <w:t xml:space="preserve">Under exceptional circumstances, where no eligible projects </w:t>
      </w:r>
      <w:r w:rsidR="00170191" w:rsidRPr="00D401FD">
        <w:rPr>
          <w:highlight w:val="green"/>
          <w:lang w:val="en-US"/>
        </w:rPr>
        <w:t xml:space="preserve">are submitted for the other lots, the same bidder can be declared successful for </w:t>
      </w:r>
      <w:r w:rsidR="00DC0EA4" w:rsidRPr="00D401FD">
        <w:rPr>
          <w:highlight w:val="green"/>
          <w:lang w:val="en-US"/>
        </w:rPr>
        <w:t>several lots</w:t>
      </w:r>
      <w:r w:rsidR="00170191" w:rsidRPr="00D401FD">
        <w:rPr>
          <w:highlight w:val="green"/>
          <w:lang w:val="en-US"/>
        </w:rPr>
        <w:t xml:space="preserve">. </w:t>
      </w:r>
      <w:r w:rsidR="00DC0EA4" w:rsidRPr="00D401FD">
        <w:rPr>
          <w:highlight w:val="green"/>
          <w:lang w:val="en-US"/>
        </w:rPr>
        <w:t xml:space="preserve">In the case a single bidder is selected for all lots </w:t>
      </w:r>
      <w:r w:rsidR="00B8402B" w:rsidRPr="00D401FD">
        <w:rPr>
          <w:highlight w:val="green"/>
          <w:lang w:val="en-US"/>
        </w:rPr>
        <w:t xml:space="preserve">the selection committee will appoint </w:t>
      </w:r>
      <w:r w:rsidR="00B8402B" w:rsidRPr="00D401FD">
        <w:rPr>
          <w:highlight w:val="green"/>
        </w:rPr>
        <w:t xml:space="preserve">an independent auditor </w:t>
      </w:r>
      <w:r w:rsidR="00B8402B" w:rsidRPr="00D401FD">
        <w:rPr>
          <w:highlight w:val="green"/>
        </w:rPr>
        <w:t>for</w:t>
      </w:r>
      <w:r w:rsidR="00B8402B" w:rsidRPr="00D401FD">
        <w:rPr>
          <w:highlight w:val="green"/>
        </w:rPr>
        <w:t xml:space="preserve"> the assessment of the bid (including cost calculations) submitted by the winning bidder</w:t>
      </w:r>
      <w:r w:rsidR="00B8402B" w:rsidRPr="00D401FD">
        <w:rPr>
          <w:highlight w:val="green"/>
        </w:rPr>
        <w:t>.</w:t>
      </w:r>
    </w:p>
    <w:p w14:paraId="654A5819" w14:textId="335B8419" w:rsidR="00C57DDC" w:rsidRDefault="00EE0397" w:rsidP="00072538">
      <w:pPr>
        <w:jc w:val="both"/>
        <w:rPr>
          <w:lang w:val="en-US"/>
        </w:rPr>
      </w:pPr>
      <w:r w:rsidRPr="00AC5B36">
        <w:rPr>
          <w:highlight w:val="yellow"/>
          <w:lang w:val="en-US"/>
        </w:rPr>
        <w:t xml:space="preserve">For the evaluation of submitted offers, the following selection </w:t>
      </w:r>
      <w:r w:rsidR="00BB4743" w:rsidRPr="00AC5B36">
        <w:rPr>
          <w:highlight w:val="yellow"/>
          <w:lang w:val="en-US"/>
        </w:rPr>
        <w:t>and award criteria will be used:</w:t>
      </w:r>
    </w:p>
    <w:p w14:paraId="355CE13C" w14:textId="339A14CF" w:rsidR="00C8197E" w:rsidRDefault="00C8197E" w:rsidP="00C8197E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Amount of requested public support</w:t>
      </w:r>
      <w:r w:rsidR="00E93F6E">
        <w:rPr>
          <w:lang w:val="en-US"/>
        </w:rPr>
        <w:t xml:space="preserve">. The offer proposing the lowest amount of public support </w:t>
      </w:r>
      <w:r w:rsidR="00355EFA">
        <w:rPr>
          <w:lang w:val="en-US"/>
        </w:rPr>
        <w:t>will be awarded the maximum score</w:t>
      </w:r>
      <w:r w:rsidR="00E25BBF">
        <w:rPr>
          <w:lang w:val="en-US"/>
        </w:rPr>
        <w:t>; the remaining offers will be awarded scores in de</w:t>
      </w:r>
      <w:r w:rsidR="00864027">
        <w:rPr>
          <w:lang w:val="en-US"/>
        </w:rPr>
        <w:t>creasing</w:t>
      </w:r>
      <w:r w:rsidR="00E25BBF">
        <w:rPr>
          <w:lang w:val="en-US"/>
        </w:rPr>
        <w:t xml:space="preserve"> order. </w:t>
      </w:r>
    </w:p>
    <w:p w14:paraId="28C003FD" w14:textId="6665B3A1" w:rsidR="00E25BBF" w:rsidRPr="00D401FD" w:rsidRDefault="00667BB8" w:rsidP="00C8197E">
      <w:pPr>
        <w:pStyle w:val="ListParagraph"/>
        <w:numPr>
          <w:ilvl w:val="0"/>
          <w:numId w:val="10"/>
        </w:numPr>
        <w:jc w:val="both"/>
        <w:rPr>
          <w:highlight w:val="green"/>
          <w:lang w:val="en-US"/>
        </w:rPr>
      </w:pPr>
      <w:r w:rsidRPr="00D401FD">
        <w:rPr>
          <w:highlight w:val="green"/>
          <w:lang w:val="en-US"/>
        </w:rPr>
        <w:t>Price offered to end-users and to other retail operators</w:t>
      </w:r>
    </w:p>
    <w:p w14:paraId="66A90DD7" w14:textId="25148768" w:rsidR="00B8402B" w:rsidRPr="00D401FD" w:rsidRDefault="00B8402B" w:rsidP="00C8197E">
      <w:pPr>
        <w:pStyle w:val="ListParagraph"/>
        <w:numPr>
          <w:ilvl w:val="0"/>
          <w:numId w:val="10"/>
        </w:numPr>
        <w:jc w:val="both"/>
        <w:rPr>
          <w:highlight w:val="green"/>
          <w:lang w:val="en-US"/>
        </w:rPr>
      </w:pPr>
      <w:r w:rsidRPr="00D401FD">
        <w:rPr>
          <w:highlight w:val="green"/>
          <w:lang w:val="en-US"/>
        </w:rPr>
        <w:t xml:space="preserve">Additional points will be given for bidders going beyond the minimum coverage of 15.000 households per lot. </w:t>
      </w:r>
    </w:p>
    <w:p w14:paraId="2A8155A1" w14:textId="14670A60" w:rsidR="006D532A" w:rsidRDefault="006D532A" w:rsidP="00C8197E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Environment</w:t>
      </w:r>
      <w:r w:rsidR="00F844B6">
        <w:rPr>
          <w:lang w:val="en-US"/>
        </w:rPr>
        <w:t>al</w:t>
      </w:r>
      <w:r>
        <w:rPr>
          <w:lang w:val="en-US"/>
        </w:rPr>
        <w:t xml:space="preserve"> impact (expected CO2 emissions for the planned infrastructure over a </w:t>
      </w:r>
      <w:proofErr w:type="gramStart"/>
      <w:r>
        <w:rPr>
          <w:lang w:val="en-US"/>
        </w:rPr>
        <w:t>20 year</w:t>
      </w:r>
      <w:proofErr w:type="gramEnd"/>
      <w:r>
        <w:rPr>
          <w:lang w:val="en-US"/>
        </w:rPr>
        <w:t xml:space="preserve"> period)</w:t>
      </w:r>
    </w:p>
    <w:p w14:paraId="114B7174" w14:textId="6C5971AC" w:rsidR="006D532A" w:rsidRDefault="00FE26D6" w:rsidP="00C8197E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Timeline</w:t>
      </w:r>
      <w:r w:rsidR="006D532A">
        <w:rPr>
          <w:lang w:val="en-US"/>
        </w:rPr>
        <w:t xml:space="preserve"> for completion of the works (each month completed prior to </w:t>
      </w:r>
      <w:r w:rsidR="006D532A" w:rsidRPr="00FE26D6">
        <w:rPr>
          <w:highlight w:val="yellow"/>
          <w:lang w:val="en-US"/>
        </w:rPr>
        <w:t>XXX</w:t>
      </w:r>
      <w:r w:rsidR="006D532A">
        <w:rPr>
          <w:lang w:val="en-US"/>
        </w:rPr>
        <w:t xml:space="preserve"> will award additional points</w:t>
      </w:r>
      <w:r w:rsidR="00884371">
        <w:rPr>
          <w:lang w:val="en-US"/>
        </w:rPr>
        <w:t>)</w:t>
      </w:r>
      <w:r w:rsidR="006D532A">
        <w:rPr>
          <w:lang w:val="en-US"/>
        </w:rPr>
        <w:t xml:space="preserve"> (NB: penalties will be applied to any contractor in case of delay in delivery)</w:t>
      </w:r>
    </w:p>
    <w:p w14:paraId="2B045A11" w14:textId="37BD846A" w:rsidR="00884371" w:rsidRPr="00FE26D6" w:rsidRDefault="00884371" w:rsidP="00866C06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FE26D6">
        <w:rPr>
          <w:lang w:val="en-US"/>
        </w:rPr>
        <w:t>Compliance with the Cybersecurity Toolbox</w:t>
      </w:r>
    </w:p>
    <w:p w14:paraId="3B437452" w14:textId="32FD25C0" w:rsidR="008626DD" w:rsidRPr="008626DD" w:rsidRDefault="008626DD" w:rsidP="00072538">
      <w:pPr>
        <w:jc w:val="both"/>
        <w:rPr>
          <w:szCs w:val="22"/>
          <w:lang w:val="en-US"/>
        </w:rPr>
      </w:pPr>
      <w:r w:rsidRPr="008626DD">
        <w:rPr>
          <w:szCs w:val="22"/>
          <w:lang w:val="en-US"/>
        </w:rPr>
        <w:t>Should there be only one bidder for one of the</w:t>
      </w:r>
      <w:r w:rsidR="00943B11">
        <w:rPr>
          <w:szCs w:val="22"/>
          <w:lang w:val="en-US"/>
        </w:rPr>
        <w:t>/several</w:t>
      </w:r>
      <w:r w:rsidRPr="008626DD">
        <w:rPr>
          <w:szCs w:val="22"/>
          <w:lang w:val="en-US"/>
        </w:rPr>
        <w:t xml:space="preserve"> lots, an assessment of this winning bid by an </w:t>
      </w:r>
      <w:r w:rsidRPr="008626DD">
        <w:rPr>
          <w:szCs w:val="22"/>
        </w:rPr>
        <w:t xml:space="preserve">independent auditor (including cost calculations) </w:t>
      </w:r>
      <w:r w:rsidRPr="008626DD">
        <w:rPr>
          <w:szCs w:val="22"/>
          <w:lang w:val="en-US"/>
        </w:rPr>
        <w:t>will have to be carried out.</w:t>
      </w:r>
    </w:p>
    <w:p w14:paraId="75A9C97E" w14:textId="403BE884" w:rsidR="00B57551" w:rsidRPr="00DF3B3F" w:rsidRDefault="00B57551" w:rsidP="00072538">
      <w:pPr>
        <w:jc w:val="both"/>
        <w:rPr>
          <w:b/>
          <w:bCs/>
          <w:u w:val="single"/>
          <w:lang w:val="en-US"/>
        </w:rPr>
      </w:pPr>
      <w:r w:rsidRPr="00DF3B3F">
        <w:rPr>
          <w:b/>
          <w:bCs/>
          <w:u w:val="single"/>
          <w:lang w:val="en-US"/>
        </w:rPr>
        <w:t>Wholesale access conditions</w:t>
      </w:r>
      <w:r w:rsidR="00FE6DF5" w:rsidRPr="00DF3B3F">
        <w:rPr>
          <w:b/>
          <w:bCs/>
          <w:u w:val="single"/>
          <w:lang w:val="en-US"/>
        </w:rPr>
        <w:t xml:space="preserve"> </w:t>
      </w:r>
    </w:p>
    <w:p w14:paraId="256847B3" w14:textId="7C522980" w:rsidR="00DD1B5E" w:rsidRDefault="00DD1B5E" w:rsidP="00DD1B5E">
      <w:pPr>
        <w:jc w:val="both"/>
        <w:rPr>
          <w:lang w:val="en-US"/>
        </w:rPr>
      </w:pPr>
      <w:r w:rsidRPr="00DD1B5E">
        <w:rPr>
          <w:lang w:val="en-US"/>
        </w:rPr>
        <w:lastRenderedPageBreak/>
        <w:t>Effective and comprehensive wholesale</w:t>
      </w:r>
      <w:r>
        <w:rPr>
          <w:lang w:val="en-US"/>
        </w:rPr>
        <w:t xml:space="preserve"> </w:t>
      </w:r>
      <w:r w:rsidRPr="00DD1B5E">
        <w:rPr>
          <w:lang w:val="en-US"/>
        </w:rPr>
        <w:t>access to the</w:t>
      </w:r>
      <w:r w:rsidR="005B09AF">
        <w:rPr>
          <w:lang w:val="en-US"/>
        </w:rPr>
        <w:t xml:space="preserve"> subsidized</w:t>
      </w:r>
      <w:r w:rsidRPr="00DD1B5E">
        <w:rPr>
          <w:lang w:val="en-US"/>
        </w:rPr>
        <w:t xml:space="preserve"> passive infrastructure </w:t>
      </w:r>
      <w:r w:rsidR="00190E05">
        <w:rPr>
          <w:lang w:val="en-US"/>
        </w:rPr>
        <w:t>must</w:t>
      </w:r>
      <w:r w:rsidRPr="00DD1B5E">
        <w:rPr>
          <w:lang w:val="en-US"/>
        </w:rPr>
        <w:t xml:space="preserve"> be offered at both the passive and active layer</w:t>
      </w:r>
      <w:r w:rsidR="005B09AF">
        <w:rPr>
          <w:lang w:val="en-US"/>
        </w:rPr>
        <w:t xml:space="preserve">, </w:t>
      </w:r>
      <w:r w:rsidR="005B09AF" w:rsidRPr="005B09AF">
        <w:rPr>
          <w:lang w:val="en-US"/>
        </w:rPr>
        <w:t xml:space="preserve">under </w:t>
      </w:r>
      <w:r w:rsidR="00356AD3" w:rsidRPr="00356AD3">
        <w:rPr>
          <w:lang w:val="en-US"/>
        </w:rPr>
        <w:t xml:space="preserve">open, transparent, </w:t>
      </w:r>
      <w:proofErr w:type="gramStart"/>
      <w:r w:rsidR="00356AD3" w:rsidRPr="00356AD3">
        <w:rPr>
          <w:lang w:val="en-US"/>
        </w:rPr>
        <w:t>fair</w:t>
      </w:r>
      <w:proofErr w:type="gramEnd"/>
      <w:r w:rsidR="00356AD3" w:rsidRPr="00356AD3">
        <w:rPr>
          <w:lang w:val="en-US"/>
        </w:rPr>
        <w:t xml:space="preserve"> and non-discriminatory conditions</w:t>
      </w:r>
      <w:r w:rsidR="005B09AF">
        <w:rPr>
          <w:lang w:val="en-US"/>
        </w:rPr>
        <w:t>,</w:t>
      </w:r>
      <w:r w:rsidR="005B09AF" w:rsidRPr="005B09AF">
        <w:rPr>
          <w:lang w:val="en-US"/>
        </w:rPr>
        <w:t xml:space="preserve"> to all operators who request it</w:t>
      </w:r>
      <w:r w:rsidR="005B09AF">
        <w:rPr>
          <w:lang w:val="en-US"/>
        </w:rPr>
        <w:t xml:space="preserve">. </w:t>
      </w:r>
    </w:p>
    <w:p w14:paraId="13E81AC0" w14:textId="536C21DE" w:rsidR="00F42F1D" w:rsidRDefault="003257AE" w:rsidP="00DD1B5E">
      <w:pPr>
        <w:jc w:val="both"/>
        <w:rPr>
          <w:lang w:val="en-US"/>
        </w:rPr>
      </w:pPr>
      <w:r>
        <w:rPr>
          <w:lang w:val="en-US"/>
        </w:rPr>
        <w:t>For the fixed access networks subsidized</w:t>
      </w:r>
      <w:r w:rsidR="00E60B99">
        <w:rPr>
          <w:lang w:val="en-US"/>
        </w:rPr>
        <w:t xml:space="preserve"> (investment </w:t>
      </w:r>
      <w:r w:rsidR="00043F26">
        <w:rPr>
          <w:lang w:val="en-US"/>
        </w:rPr>
        <w:t>t</w:t>
      </w:r>
      <w:r w:rsidR="00E60B99">
        <w:rPr>
          <w:lang w:val="en-US"/>
        </w:rPr>
        <w:t>ypes A and C)</w:t>
      </w:r>
      <w:r>
        <w:rPr>
          <w:lang w:val="en-US"/>
        </w:rPr>
        <w:t xml:space="preserve">, at least the following products should be made available to access seekers: </w:t>
      </w:r>
      <w:r w:rsidR="00030CF3" w:rsidRPr="00030CF3">
        <w:rPr>
          <w:lang w:val="en-US"/>
        </w:rPr>
        <w:t xml:space="preserve">bit-stream access, virtual unbundled access ('VULA), access to street cabinets, poles/masts/towers, </w:t>
      </w:r>
      <w:proofErr w:type="gramStart"/>
      <w:r w:rsidR="00030CF3" w:rsidRPr="00030CF3">
        <w:rPr>
          <w:lang w:val="en-US"/>
        </w:rPr>
        <w:t>ducts</w:t>
      </w:r>
      <w:proofErr w:type="gramEnd"/>
      <w:r w:rsidR="00030CF3" w:rsidRPr="00030CF3">
        <w:rPr>
          <w:lang w:val="en-US"/>
        </w:rPr>
        <w:t xml:space="preserve"> and dark </w:t>
      </w:r>
      <w:proofErr w:type="spellStart"/>
      <w:r w:rsidR="00030CF3" w:rsidRPr="00030CF3">
        <w:rPr>
          <w:lang w:val="en-US"/>
        </w:rPr>
        <w:t>fibre</w:t>
      </w:r>
      <w:proofErr w:type="spellEnd"/>
      <w:r w:rsidR="00030CF3">
        <w:rPr>
          <w:lang w:val="en-US"/>
        </w:rPr>
        <w:t xml:space="preserve">. </w:t>
      </w:r>
      <w:r w:rsidR="002403E2">
        <w:rPr>
          <w:lang w:val="en-US"/>
        </w:rPr>
        <w:t xml:space="preserve">In addition, </w:t>
      </w:r>
      <w:r w:rsidR="006C1C33">
        <w:rPr>
          <w:lang w:val="en-US"/>
        </w:rPr>
        <w:t xml:space="preserve">for investment type C, </w:t>
      </w:r>
      <w:r w:rsidR="006C1C33" w:rsidRPr="006C1C33">
        <w:rPr>
          <w:lang w:val="en-US"/>
        </w:rPr>
        <w:t>full physical unbundling should be</w:t>
      </w:r>
      <w:r w:rsidR="006C1C33">
        <w:rPr>
          <w:lang w:val="en-US"/>
        </w:rPr>
        <w:t xml:space="preserve"> made available to access seekers. </w:t>
      </w:r>
    </w:p>
    <w:p w14:paraId="34ED2BE1" w14:textId="0EFFA881" w:rsidR="00E60B99" w:rsidRDefault="00E60B99" w:rsidP="00DD1B5E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="00043F26">
        <w:rPr>
          <w:lang w:val="en-US"/>
        </w:rPr>
        <w:t>mobile access networks subsidized (investment type B), at least the followin</w:t>
      </w:r>
      <w:r w:rsidR="00B730FC">
        <w:rPr>
          <w:lang w:val="en-US"/>
        </w:rPr>
        <w:t xml:space="preserve">g products should be made available to access seekers: </w:t>
      </w:r>
      <w:r w:rsidR="001F1863" w:rsidRPr="001F1863">
        <w:rPr>
          <w:lang w:val="en-US"/>
        </w:rPr>
        <w:t>bit-stream access, access to poles/masts/towers</w:t>
      </w:r>
      <w:r w:rsidR="001F1863">
        <w:rPr>
          <w:lang w:val="en-US"/>
        </w:rPr>
        <w:t xml:space="preserve">. </w:t>
      </w:r>
    </w:p>
    <w:p w14:paraId="00F01A9C" w14:textId="6F0A54F0" w:rsidR="00A44B9D" w:rsidRDefault="00A44B9D" w:rsidP="00DD1B5E">
      <w:pPr>
        <w:jc w:val="both"/>
        <w:rPr>
          <w:lang w:val="en-US"/>
        </w:rPr>
      </w:pPr>
      <w:r>
        <w:rPr>
          <w:lang w:val="en-US"/>
        </w:rPr>
        <w:t xml:space="preserve">Wholesale access for all active access products should be </w:t>
      </w:r>
      <w:r w:rsidR="008F212D">
        <w:rPr>
          <w:lang w:val="en-US"/>
        </w:rPr>
        <w:t>granted for at least 10 years. For VULA and passive infrastructure elements</w:t>
      </w:r>
      <w:r w:rsidR="00032CBB">
        <w:rPr>
          <w:lang w:val="en-US"/>
        </w:rPr>
        <w:t xml:space="preserve">, access should be granted for an unlimited duration, throughout the lifespan of the network element concerned. </w:t>
      </w:r>
    </w:p>
    <w:p w14:paraId="7A697B16" w14:textId="12808074" w:rsidR="00867A95" w:rsidRDefault="00867A95" w:rsidP="00CC07CF">
      <w:pPr>
        <w:jc w:val="both"/>
        <w:rPr>
          <w:lang w:val="en-US"/>
        </w:rPr>
      </w:pPr>
      <w:r>
        <w:rPr>
          <w:lang w:val="en-US"/>
        </w:rPr>
        <w:t xml:space="preserve">Project </w:t>
      </w:r>
      <w:r w:rsidRPr="00867A95">
        <w:rPr>
          <w:lang w:val="en-US"/>
        </w:rPr>
        <w:t>funding applications must contain all conditions for the provision of wholesale</w:t>
      </w:r>
      <w:r>
        <w:rPr>
          <w:lang w:val="en-US"/>
        </w:rPr>
        <w:t xml:space="preserve"> </w:t>
      </w:r>
      <w:r w:rsidRPr="00867A95">
        <w:rPr>
          <w:lang w:val="en-US"/>
        </w:rPr>
        <w:t>access, including the prices</w:t>
      </w:r>
      <w:r>
        <w:rPr>
          <w:lang w:val="en-US"/>
        </w:rPr>
        <w:t xml:space="preserve">. </w:t>
      </w:r>
      <w:r w:rsidR="00CC07CF">
        <w:rPr>
          <w:lang w:val="en-US"/>
        </w:rPr>
        <w:t>Moreover,</w:t>
      </w:r>
      <w:r w:rsidR="00666903">
        <w:rPr>
          <w:lang w:val="en-US"/>
        </w:rPr>
        <w:t xml:space="preserve"> following the award of the bid,</w:t>
      </w:r>
      <w:r w:rsidR="00CC07CF">
        <w:rPr>
          <w:lang w:val="en-US"/>
        </w:rPr>
        <w:t xml:space="preserve"> a</w:t>
      </w:r>
      <w:r w:rsidR="00CC07CF" w:rsidRPr="00CC07CF">
        <w:rPr>
          <w:lang w:val="en-US"/>
        </w:rPr>
        <w:t xml:space="preserve">ll beneficiaries </w:t>
      </w:r>
      <w:r w:rsidR="00CC07CF">
        <w:rPr>
          <w:lang w:val="en-US"/>
        </w:rPr>
        <w:t>will be</w:t>
      </w:r>
      <w:r w:rsidR="00CC07CF" w:rsidRPr="00CC07CF">
        <w:rPr>
          <w:lang w:val="en-US"/>
        </w:rPr>
        <w:t xml:space="preserve"> required to publish a reference wholesale offer describing all</w:t>
      </w:r>
      <w:r w:rsidR="00666903">
        <w:rPr>
          <w:lang w:val="en-US"/>
        </w:rPr>
        <w:t xml:space="preserve"> </w:t>
      </w:r>
      <w:r w:rsidR="00CC07CF" w:rsidRPr="00CC07CF">
        <w:rPr>
          <w:lang w:val="en-US"/>
        </w:rPr>
        <w:t xml:space="preserve">supported wholesale products, </w:t>
      </w:r>
      <w:proofErr w:type="gramStart"/>
      <w:r w:rsidR="00CC07CF" w:rsidRPr="00CC07CF">
        <w:rPr>
          <w:lang w:val="en-US"/>
        </w:rPr>
        <w:t>conditions</w:t>
      </w:r>
      <w:proofErr w:type="gramEnd"/>
      <w:r w:rsidR="00CC07CF" w:rsidRPr="00CC07CF">
        <w:rPr>
          <w:lang w:val="en-US"/>
        </w:rPr>
        <w:t xml:space="preserve"> and prices</w:t>
      </w:r>
      <w:r w:rsidR="00666903">
        <w:rPr>
          <w:lang w:val="en-US"/>
        </w:rPr>
        <w:t xml:space="preserve">. </w:t>
      </w:r>
    </w:p>
    <w:p w14:paraId="66CC97F0" w14:textId="52887795" w:rsidR="00326C13" w:rsidRDefault="00302539" w:rsidP="00CC07CF">
      <w:pPr>
        <w:jc w:val="both"/>
        <w:rPr>
          <w:lang w:val="en-US"/>
        </w:rPr>
      </w:pPr>
      <w:r w:rsidRPr="00302539">
        <w:rPr>
          <w:lang w:val="en-US"/>
        </w:rPr>
        <w:t xml:space="preserve">The wholesale service price for the </w:t>
      </w:r>
      <w:r>
        <w:rPr>
          <w:lang w:val="en-US"/>
        </w:rPr>
        <w:t>pro</w:t>
      </w:r>
      <w:r w:rsidR="00DA4A21">
        <w:rPr>
          <w:lang w:val="en-US"/>
        </w:rPr>
        <w:t>posed</w:t>
      </w:r>
      <w:r w:rsidRPr="00302539">
        <w:rPr>
          <w:lang w:val="en-US"/>
        </w:rPr>
        <w:t xml:space="preserve"> product</w:t>
      </w:r>
      <w:r w:rsidR="00DA4A21">
        <w:rPr>
          <w:lang w:val="en-US"/>
        </w:rPr>
        <w:t>s</w:t>
      </w:r>
      <w:r w:rsidRPr="00302539">
        <w:rPr>
          <w:lang w:val="en-US"/>
        </w:rPr>
        <w:t xml:space="preserve"> must be less than or equal to the </w:t>
      </w:r>
      <w:r w:rsidRPr="00D401FD">
        <w:rPr>
          <w:lang w:val="en-US"/>
        </w:rPr>
        <w:t>regulated wholesale prices approved by the Cypr</w:t>
      </w:r>
      <w:r w:rsidR="00675261" w:rsidRPr="00D401FD">
        <w:rPr>
          <w:lang w:val="en-US"/>
        </w:rPr>
        <w:t>us</w:t>
      </w:r>
      <w:r w:rsidRPr="00D401FD">
        <w:rPr>
          <w:lang w:val="en-US"/>
        </w:rPr>
        <w:t xml:space="preserve"> National Regulatory Authority (NRA), as applicable or can be determined through any existing commercial agreements</w:t>
      </w:r>
      <w:r w:rsidR="00157B4A" w:rsidRPr="00D401FD">
        <w:rPr>
          <w:lang w:val="en-US"/>
        </w:rPr>
        <w:t>.</w:t>
      </w:r>
      <w:r w:rsidR="00157B4A">
        <w:rPr>
          <w:lang w:val="en-US"/>
        </w:rPr>
        <w:t xml:space="preserve"> </w:t>
      </w:r>
    </w:p>
    <w:p w14:paraId="73BBDA94" w14:textId="2B98F128" w:rsidR="00832C06" w:rsidRDefault="00832C06" w:rsidP="00072538">
      <w:pPr>
        <w:jc w:val="both"/>
        <w:rPr>
          <w:lang w:val="en-US"/>
        </w:rPr>
      </w:pPr>
      <w:r w:rsidRPr="00832C06">
        <w:rPr>
          <w:lang w:val="en-US"/>
        </w:rPr>
        <w:t xml:space="preserve">The network that will be developed in each lot will concentrate the traffic from all the served locations to one (or more) central Points-of-Presence (POPs), where other retail operators can be interconnected, </w:t>
      </w:r>
      <w:proofErr w:type="gramStart"/>
      <w:r w:rsidRPr="00832C06">
        <w:rPr>
          <w:lang w:val="en-US"/>
        </w:rPr>
        <w:t>in order to</w:t>
      </w:r>
      <w:proofErr w:type="gramEnd"/>
      <w:r w:rsidRPr="00832C06">
        <w:rPr>
          <w:lang w:val="en-US"/>
        </w:rPr>
        <w:t xml:space="preserve"> provide services</w:t>
      </w:r>
      <w:r>
        <w:rPr>
          <w:lang w:val="en-US"/>
        </w:rPr>
        <w:t xml:space="preserve">. </w:t>
      </w:r>
    </w:p>
    <w:p w14:paraId="131F1326" w14:textId="6A906B2D" w:rsidR="00570B90" w:rsidRDefault="00340F30" w:rsidP="00570B90">
      <w:pPr>
        <w:jc w:val="both"/>
        <w:rPr>
          <w:lang w:val="en-US"/>
        </w:rPr>
      </w:pPr>
      <w:r>
        <w:rPr>
          <w:lang w:val="en-US"/>
        </w:rPr>
        <w:t>T</w:t>
      </w:r>
      <w:r w:rsidR="00570B90" w:rsidRPr="00570B90">
        <w:rPr>
          <w:lang w:val="en-US"/>
        </w:rPr>
        <w:t>he relevant elements of passive</w:t>
      </w:r>
      <w:r w:rsidR="00943ABB">
        <w:rPr>
          <w:lang w:val="en-US"/>
        </w:rPr>
        <w:t xml:space="preserve"> </w:t>
      </w:r>
      <w:r w:rsidR="00570B90" w:rsidRPr="00570B90">
        <w:rPr>
          <w:lang w:val="en-US"/>
        </w:rPr>
        <w:t xml:space="preserve">infrastructure financed under the measure </w:t>
      </w:r>
      <w:proofErr w:type="gramStart"/>
      <w:r w:rsidR="00570B90" w:rsidRPr="00570B90">
        <w:rPr>
          <w:lang w:val="en-US"/>
        </w:rPr>
        <w:t>have to</w:t>
      </w:r>
      <w:proofErr w:type="gramEnd"/>
      <w:r w:rsidR="00570B90" w:rsidRPr="00570B90">
        <w:rPr>
          <w:lang w:val="en-US"/>
        </w:rPr>
        <w:t xml:space="preserve"> be large enough to</w:t>
      </w:r>
      <w:r w:rsidR="00943ABB">
        <w:rPr>
          <w:lang w:val="en-US"/>
        </w:rPr>
        <w:t xml:space="preserve"> </w:t>
      </w:r>
      <w:r w:rsidR="00570B90" w:rsidRPr="00570B90">
        <w:rPr>
          <w:lang w:val="en-US"/>
        </w:rPr>
        <w:t>cater for at least three access seekers and to host point-to-multipoint as well as</w:t>
      </w:r>
      <w:r w:rsidR="00943ABB">
        <w:rPr>
          <w:lang w:val="en-US"/>
        </w:rPr>
        <w:t xml:space="preserve"> </w:t>
      </w:r>
      <w:r w:rsidR="00570B90" w:rsidRPr="00570B90">
        <w:rPr>
          <w:lang w:val="en-US"/>
        </w:rPr>
        <w:t xml:space="preserve">point-to-point solutions. </w:t>
      </w:r>
    </w:p>
    <w:p w14:paraId="2F3C0E21" w14:textId="5553E3B9" w:rsidR="00073BF4" w:rsidRDefault="00073BF4" w:rsidP="00073BF4">
      <w:pPr>
        <w:jc w:val="both"/>
        <w:rPr>
          <w:lang w:val="en-US"/>
        </w:rPr>
      </w:pPr>
      <w:r>
        <w:rPr>
          <w:lang w:val="en-US"/>
        </w:rPr>
        <w:t>In the case of mobile networks deployed, t</w:t>
      </w:r>
      <w:r w:rsidRPr="00073BF4">
        <w:rPr>
          <w:lang w:val="en-US"/>
        </w:rPr>
        <w:t>he</w:t>
      </w:r>
      <w:r>
        <w:rPr>
          <w:lang w:val="en-US"/>
        </w:rPr>
        <w:t xml:space="preserve"> </w:t>
      </w:r>
      <w:r w:rsidRPr="00073BF4">
        <w:rPr>
          <w:lang w:val="en-US"/>
        </w:rPr>
        <w:t>mobile site</w:t>
      </w:r>
      <w:r>
        <w:rPr>
          <w:lang w:val="en-US"/>
        </w:rPr>
        <w:t>s</w:t>
      </w:r>
      <w:r w:rsidRPr="00073BF4">
        <w:rPr>
          <w:lang w:val="en-US"/>
        </w:rPr>
        <w:t xml:space="preserve"> must be sized in such a way that </w:t>
      </w:r>
      <w:r>
        <w:rPr>
          <w:lang w:val="en-US"/>
        </w:rPr>
        <w:t>they</w:t>
      </w:r>
      <w:r w:rsidRPr="00073BF4">
        <w:rPr>
          <w:lang w:val="en-US"/>
        </w:rPr>
        <w:t xml:space="preserve"> can be used by at least </w:t>
      </w:r>
      <w:r w:rsidR="00986706">
        <w:rPr>
          <w:lang w:val="en-US"/>
        </w:rPr>
        <w:t>three</w:t>
      </w:r>
      <w:r w:rsidR="00986706" w:rsidRPr="00073BF4">
        <w:rPr>
          <w:lang w:val="en-US"/>
        </w:rPr>
        <w:t xml:space="preserve"> </w:t>
      </w:r>
      <w:r w:rsidRPr="00073BF4">
        <w:rPr>
          <w:lang w:val="en-US"/>
        </w:rPr>
        <w:t>MNOs</w:t>
      </w:r>
      <w:r>
        <w:rPr>
          <w:lang w:val="en-US"/>
        </w:rPr>
        <w:t xml:space="preserve"> </w:t>
      </w:r>
      <w:r w:rsidRPr="00073BF4">
        <w:rPr>
          <w:lang w:val="en-US"/>
        </w:rPr>
        <w:t>active in</w:t>
      </w:r>
      <w:r>
        <w:rPr>
          <w:lang w:val="en-US"/>
        </w:rPr>
        <w:t xml:space="preserve"> the Republic of Cyprus. </w:t>
      </w:r>
    </w:p>
    <w:p w14:paraId="7DEAE724" w14:textId="0C3792C2" w:rsidR="00192573" w:rsidRDefault="009114D7" w:rsidP="00192573">
      <w:pPr>
        <w:jc w:val="both"/>
        <w:rPr>
          <w:lang w:val="en-US"/>
        </w:rPr>
      </w:pPr>
      <w:r>
        <w:rPr>
          <w:lang w:val="en-US"/>
        </w:rPr>
        <w:t>Aid</w:t>
      </w:r>
      <w:r w:rsidR="00192573" w:rsidRPr="00192573">
        <w:rPr>
          <w:lang w:val="en-US"/>
        </w:rPr>
        <w:t xml:space="preserve"> </w:t>
      </w:r>
      <w:r w:rsidR="00192573">
        <w:rPr>
          <w:lang w:val="en-US"/>
        </w:rPr>
        <w:t>will</w:t>
      </w:r>
      <w:r w:rsidR="00192573" w:rsidRPr="00192573">
        <w:rPr>
          <w:lang w:val="en-US"/>
        </w:rPr>
        <w:t xml:space="preserve"> not be granted or</w:t>
      </w:r>
      <w:r w:rsidR="00192573">
        <w:rPr>
          <w:lang w:val="en-US"/>
        </w:rPr>
        <w:t xml:space="preserve"> </w:t>
      </w:r>
      <w:r w:rsidR="00192573" w:rsidRPr="00192573">
        <w:rPr>
          <w:lang w:val="en-US"/>
        </w:rPr>
        <w:t>used to meet legal obligations, such as coverage obligations attached to spectrum</w:t>
      </w:r>
      <w:r w:rsidR="00192573">
        <w:rPr>
          <w:lang w:val="en-US"/>
        </w:rPr>
        <w:t xml:space="preserve"> </w:t>
      </w:r>
      <w:r w:rsidR="00192573" w:rsidRPr="00192573">
        <w:rPr>
          <w:lang w:val="en-US"/>
        </w:rPr>
        <w:t xml:space="preserve">rights of use. Supported infrastructure will not be </w:t>
      </w:r>
      <w:r w:rsidR="00021739">
        <w:rPr>
          <w:lang w:val="en-US"/>
        </w:rPr>
        <w:t>considered</w:t>
      </w:r>
      <w:r w:rsidR="00192573" w:rsidRPr="00192573">
        <w:rPr>
          <w:lang w:val="en-US"/>
        </w:rPr>
        <w:t xml:space="preserve"> to meet any</w:t>
      </w:r>
      <w:r w:rsidR="00192573">
        <w:rPr>
          <w:lang w:val="en-US"/>
        </w:rPr>
        <w:t xml:space="preserve"> </w:t>
      </w:r>
      <w:r w:rsidR="00192573" w:rsidRPr="00192573">
        <w:rPr>
          <w:lang w:val="en-US"/>
        </w:rPr>
        <w:t>coverage obligations attached to the relevant spectrum rights of use</w:t>
      </w:r>
      <w:r w:rsidR="00192573">
        <w:rPr>
          <w:lang w:val="en-US"/>
        </w:rPr>
        <w:t xml:space="preserve">. </w:t>
      </w:r>
    </w:p>
    <w:p w14:paraId="57EC06FE" w14:textId="769B6080" w:rsidR="00855C0D" w:rsidRDefault="00934994" w:rsidP="00934994">
      <w:pPr>
        <w:jc w:val="both"/>
        <w:rPr>
          <w:lang w:val="en-US"/>
        </w:rPr>
      </w:pPr>
      <w:r w:rsidRPr="00934994">
        <w:rPr>
          <w:lang w:val="en-US"/>
        </w:rPr>
        <w:t>Beneficiaries will also have to offer effective and</w:t>
      </w:r>
      <w:r>
        <w:rPr>
          <w:lang w:val="en-US"/>
        </w:rPr>
        <w:t xml:space="preserve"> </w:t>
      </w:r>
      <w:r w:rsidRPr="00934994">
        <w:rPr>
          <w:lang w:val="en-US"/>
        </w:rPr>
        <w:t>comprehensive wholesale access to all existing and privately funded</w:t>
      </w:r>
      <w:r>
        <w:rPr>
          <w:lang w:val="en-US"/>
        </w:rPr>
        <w:t xml:space="preserve"> </w:t>
      </w:r>
      <w:r w:rsidRPr="00934994">
        <w:rPr>
          <w:lang w:val="en-US"/>
        </w:rPr>
        <w:t>infrastructure used for the deployment of the subsidized network in the target</w:t>
      </w:r>
      <w:r>
        <w:rPr>
          <w:lang w:val="en-US"/>
        </w:rPr>
        <w:t xml:space="preserve"> </w:t>
      </w:r>
      <w:r w:rsidRPr="00934994">
        <w:rPr>
          <w:lang w:val="en-US"/>
        </w:rPr>
        <w:t>areas. The same access conditions will apply on the entirety of the network</w:t>
      </w:r>
      <w:r>
        <w:rPr>
          <w:lang w:val="en-US"/>
        </w:rPr>
        <w:t xml:space="preserve"> </w:t>
      </w:r>
      <w:r w:rsidRPr="00934994">
        <w:rPr>
          <w:lang w:val="en-US"/>
        </w:rPr>
        <w:t>including on the part where existing infrastructure will be used</w:t>
      </w:r>
      <w:r>
        <w:rPr>
          <w:lang w:val="en-US"/>
        </w:rPr>
        <w:t>.</w:t>
      </w:r>
    </w:p>
    <w:p w14:paraId="41D216DF" w14:textId="577D1455" w:rsidR="00937D6D" w:rsidRDefault="00937D6D" w:rsidP="00934994">
      <w:pPr>
        <w:jc w:val="both"/>
        <w:rPr>
          <w:lang w:val="en-US"/>
        </w:rPr>
      </w:pPr>
    </w:p>
    <w:p w14:paraId="7481EEF2" w14:textId="1AE2B58B" w:rsidR="00937D6D" w:rsidRPr="00D401FD" w:rsidRDefault="00937D6D" w:rsidP="00934994">
      <w:pPr>
        <w:jc w:val="both"/>
        <w:rPr>
          <w:highlight w:val="green"/>
          <w:lang w:val="en-US"/>
        </w:rPr>
      </w:pPr>
      <w:r w:rsidRPr="00D401FD">
        <w:rPr>
          <w:b/>
          <w:bCs/>
          <w:highlight w:val="green"/>
          <w:u w:val="single"/>
          <w:lang w:val="en-US"/>
        </w:rPr>
        <w:lastRenderedPageBreak/>
        <w:t>P</w:t>
      </w:r>
      <w:r w:rsidRPr="00D401FD">
        <w:rPr>
          <w:b/>
          <w:bCs/>
          <w:highlight w:val="green"/>
          <w:u w:val="single"/>
          <w:lang w:val="en-US"/>
        </w:rPr>
        <w:t>rivate extensions to adjacent areas</w:t>
      </w:r>
    </w:p>
    <w:p w14:paraId="06C7CD35" w14:textId="15B80448" w:rsidR="00381290" w:rsidRPr="00275A62" w:rsidRDefault="000F026D" w:rsidP="00934994">
      <w:pPr>
        <w:jc w:val="both"/>
      </w:pPr>
      <w:r w:rsidRPr="00D401FD">
        <w:rPr>
          <w:highlight w:val="green"/>
        </w:rPr>
        <w:t xml:space="preserve">Using their own resources, the aid beneficiary or access seekers connecting to the State funded network may </w:t>
      </w:r>
      <w:r w:rsidR="00937D6D" w:rsidRPr="00D401FD">
        <w:rPr>
          <w:highlight w:val="green"/>
        </w:rPr>
        <w:t xml:space="preserve">wish to </w:t>
      </w:r>
      <w:r w:rsidRPr="00D401FD">
        <w:rPr>
          <w:highlight w:val="green"/>
        </w:rPr>
        <w:t xml:space="preserve">extend the network into adjacent areas. </w:t>
      </w:r>
      <w:r w:rsidRPr="00D401FD">
        <w:rPr>
          <w:highlight w:val="green"/>
          <w:lang w:val="en-US"/>
        </w:rPr>
        <w:t xml:space="preserve">Private extensions in adjacent areas </w:t>
      </w:r>
      <w:r w:rsidR="00E3300E" w:rsidRPr="00D401FD">
        <w:rPr>
          <w:highlight w:val="green"/>
          <w:lang w:val="en-US"/>
        </w:rPr>
        <w:t xml:space="preserve">may </w:t>
      </w:r>
      <w:r w:rsidRPr="00D401FD">
        <w:rPr>
          <w:highlight w:val="green"/>
          <w:lang w:val="en-US"/>
        </w:rPr>
        <w:t xml:space="preserve">be permitted </w:t>
      </w:r>
      <w:r w:rsidR="00937D6D" w:rsidRPr="00D401FD">
        <w:rPr>
          <w:highlight w:val="green"/>
          <w:lang w:val="en-US"/>
        </w:rPr>
        <w:t xml:space="preserve">two years after the awarding of the aid. This moratorium </w:t>
      </w:r>
      <w:proofErr w:type="gramStart"/>
      <w:r w:rsidR="00937D6D" w:rsidRPr="00D401FD">
        <w:rPr>
          <w:highlight w:val="green"/>
          <w:lang w:val="en-US"/>
        </w:rPr>
        <w:t>aim</w:t>
      </w:r>
      <w:proofErr w:type="gramEnd"/>
      <w:r w:rsidR="00937D6D" w:rsidRPr="00D401FD">
        <w:rPr>
          <w:highlight w:val="green"/>
          <w:lang w:val="en-US"/>
        </w:rPr>
        <w:t xml:space="preserve"> to protect existing operators in non-</w:t>
      </w:r>
      <w:r w:rsidR="00BA6AA1" w:rsidRPr="00D401FD">
        <w:rPr>
          <w:highlight w:val="green"/>
          <w:lang w:val="en-US"/>
        </w:rPr>
        <w:t>eligible</w:t>
      </w:r>
      <w:r w:rsidR="00937D6D" w:rsidRPr="00D401FD">
        <w:rPr>
          <w:highlight w:val="green"/>
          <w:lang w:val="en-US"/>
        </w:rPr>
        <w:t xml:space="preserve"> areas from </w:t>
      </w:r>
      <w:proofErr w:type="spellStart"/>
      <w:r w:rsidR="00937D6D" w:rsidRPr="00D401FD">
        <w:rPr>
          <w:highlight w:val="green"/>
          <w:lang w:val="en-US"/>
        </w:rPr>
        <w:t>competion</w:t>
      </w:r>
      <w:proofErr w:type="spellEnd"/>
      <w:r w:rsidR="00937D6D" w:rsidRPr="00D401FD">
        <w:rPr>
          <w:highlight w:val="green"/>
          <w:lang w:val="en-US"/>
        </w:rPr>
        <w:t xml:space="preserve"> stemming from subsidies backhaul. On the other hand in the </w:t>
      </w:r>
      <w:proofErr w:type="gramStart"/>
      <w:r w:rsidR="00937D6D" w:rsidRPr="00D401FD">
        <w:rPr>
          <w:highlight w:val="green"/>
          <w:lang w:val="en-US"/>
        </w:rPr>
        <w:t>mid-term</w:t>
      </w:r>
      <w:proofErr w:type="gramEnd"/>
      <w:r w:rsidR="00937D6D" w:rsidRPr="00D401FD">
        <w:rPr>
          <w:highlight w:val="green"/>
          <w:lang w:val="en-US"/>
        </w:rPr>
        <w:t xml:space="preserve"> it will be in the interest of the </w:t>
      </w:r>
      <w:r w:rsidR="00BA6AA1" w:rsidRPr="00D401FD">
        <w:rPr>
          <w:highlight w:val="green"/>
          <w:lang w:val="en-US"/>
        </w:rPr>
        <w:t>Cyprus</w:t>
      </w:r>
      <w:r w:rsidR="00937D6D" w:rsidRPr="00D401FD">
        <w:rPr>
          <w:highlight w:val="green"/>
          <w:lang w:val="en-US"/>
        </w:rPr>
        <w:t xml:space="preserve"> telecommunication market to have a network that is integrated, and where the </w:t>
      </w:r>
      <w:r w:rsidR="00BA6AA1" w:rsidRPr="00D401FD">
        <w:rPr>
          <w:highlight w:val="green"/>
          <w:lang w:val="en-US"/>
        </w:rPr>
        <w:t>subsidies</w:t>
      </w:r>
      <w:r w:rsidR="00937D6D" w:rsidRPr="00D401FD">
        <w:rPr>
          <w:highlight w:val="green"/>
          <w:lang w:val="en-US"/>
        </w:rPr>
        <w:t xml:space="preserve"> areas do not become “islands”.</w:t>
      </w:r>
      <w:r w:rsidR="00937D6D">
        <w:rPr>
          <w:lang w:val="en-US"/>
        </w:rPr>
        <w:t xml:space="preserve"> </w:t>
      </w:r>
    </w:p>
    <w:p w14:paraId="49B8E670" w14:textId="4C1BD7C2" w:rsidR="002936F0" w:rsidRPr="00721ED5" w:rsidRDefault="002936F0" w:rsidP="00072538">
      <w:pPr>
        <w:jc w:val="both"/>
        <w:rPr>
          <w:b/>
          <w:bCs/>
          <w:u w:val="single"/>
          <w:lang w:val="en-US"/>
        </w:rPr>
      </w:pPr>
      <w:r w:rsidRPr="00721ED5">
        <w:rPr>
          <w:b/>
          <w:bCs/>
          <w:u w:val="single"/>
          <w:lang w:val="en-US"/>
        </w:rPr>
        <w:t>Use of existing infrastructure</w:t>
      </w:r>
    </w:p>
    <w:p w14:paraId="63310FEE" w14:textId="357BA810" w:rsidR="008205CA" w:rsidRDefault="00194198" w:rsidP="00072538">
      <w:pPr>
        <w:jc w:val="both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reduce dep</w:t>
      </w:r>
      <w:r w:rsidR="00721ED5">
        <w:rPr>
          <w:lang w:val="en-US"/>
        </w:rPr>
        <w:t>loyment costs</w:t>
      </w:r>
      <w:r w:rsidR="00613284">
        <w:rPr>
          <w:lang w:val="en-US"/>
        </w:rPr>
        <w:t xml:space="preserve"> and limit the negative environmental effects of </w:t>
      </w:r>
      <w:r w:rsidR="00CA4CA4">
        <w:rPr>
          <w:lang w:val="en-US"/>
        </w:rPr>
        <w:t xml:space="preserve">network deployment, the granting authority encourages </w:t>
      </w:r>
      <w:r w:rsidR="00A42069">
        <w:rPr>
          <w:lang w:val="en-US"/>
        </w:rPr>
        <w:t xml:space="preserve">potential participants to the scheme to make use </w:t>
      </w:r>
      <w:r w:rsidR="003805B5">
        <w:rPr>
          <w:lang w:val="en-US"/>
        </w:rPr>
        <w:t xml:space="preserve">of existing public and private infrastructures </w:t>
      </w:r>
      <w:r w:rsidR="00435C5C">
        <w:rPr>
          <w:lang w:val="en-US"/>
        </w:rPr>
        <w:t xml:space="preserve">that could be re-used for deployment of subsidized networks. </w:t>
      </w:r>
    </w:p>
    <w:p w14:paraId="735CB2B9" w14:textId="26AD676A" w:rsidR="00413203" w:rsidRDefault="00413203" w:rsidP="00413203">
      <w:pPr>
        <w:jc w:val="both"/>
        <w:rPr>
          <w:lang w:val="en-US"/>
        </w:rPr>
      </w:pPr>
      <w:r w:rsidRPr="00D401FD">
        <w:rPr>
          <w:highlight w:val="green"/>
          <w:lang w:val="en-US"/>
        </w:rPr>
        <w:t xml:space="preserve">A database with information on the availability of such infrastructures throughout the territory of the Republic of Cyprus is </w:t>
      </w:r>
      <w:r w:rsidR="00BA6AA1" w:rsidRPr="00D401FD">
        <w:rPr>
          <w:highlight w:val="green"/>
          <w:lang w:val="en-US"/>
        </w:rPr>
        <w:t xml:space="preserve">made </w:t>
      </w:r>
      <w:r w:rsidRPr="00D401FD">
        <w:rPr>
          <w:highlight w:val="green"/>
          <w:lang w:val="en-US"/>
        </w:rPr>
        <w:t xml:space="preserve">available by the NRA. </w:t>
      </w:r>
      <w:r w:rsidR="00BA6AA1" w:rsidRPr="00D401FD">
        <w:rPr>
          <w:highlight w:val="green"/>
          <w:lang w:val="en-US"/>
        </w:rPr>
        <w:t xml:space="preserve">The </w:t>
      </w:r>
      <w:r w:rsidRPr="00D401FD">
        <w:rPr>
          <w:highlight w:val="green"/>
          <w:lang w:val="en-US"/>
        </w:rPr>
        <w:t>NRA will further assess the availability of information regarding existing physical infrastructure and will ensure that it will be integrated into a single portal.</w:t>
      </w:r>
    </w:p>
    <w:p w14:paraId="081B7E6A" w14:textId="466C69F3" w:rsidR="00FD3DB4" w:rsidRDefault="00E17F20" w:rsidP="00072538">
      <w:pPr>
        <w:jc w:val="both"/>
        <w:rPr>
          <w:lang w:val="en-US"/>
        </w:rPr>
      </w:pPr>
      <w:r>
        <w:rPr>
          <w:lang w:val="en-US"/>
        </w:rPr>
        <w:t xml:space="preserve">Any operator that </w:t>
      </w:r>
      <w:r w:rsidR="00CC04E6">
        <w:rPr>
          <w:lang w:val="en-US"/>
        </w:rPr>
        <w:t>own</w:t>
      </w:r>
      <w:r w:rsidR="00B92FD4">
        <w:rPr>
          <w:lang w:val="en-US"/>
        </w:rPr>
        <w:t>s</w:t>
      </w:r>
      <w:r w:rsidR="00CC04E6">
        <w:rPr>
          <w:lang w:val="en-US"/>
        </w:rPr>
        <w:t xml:space="preserve"> or controls infrastructure in the eligible intervention areas identified above </w:t>
      </w:r>
      <w:r w:rsidR="00B92FD4">
        <w:rPr>
          <w:lang w:val="en-US"/>
        </w:rPr>
        <w:t>and that wishes to participate in the selection procedure must:</w:t>
      </w:r>
    </w:p>
    <w:p w14:paraId="48296F7C" w14:textId="09108971" w:rsidR="00B92FD4" w:rsidRDefault="00936761" w:rsidP="00B92FD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Inform DEC and the NRA about this infrastructure through this public consultation exercise</w:t>
      </w:r>
      <w:r w:rsidR="000B36FF">
        <w:rPr>
          <w:lang w:val="en-US"/>
        </w:rPr>
        <w:t xml:space="preserve"> </w:t>
      </w:r>
    </w:p>
    <w:p w14:paraId="3B81C94B" w14:textId="77777777" w:rsidR="00FA4068" w:rsidRDefault="00D6575C" w:rsidP="00B92FD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Undertake to make this infrastructure available for use </w:t>
      </w:r>
      <w:r w:rsidR="006F150B">
        <w:rPr>
          <w:lang w:val="en-US"/>
        </w:rPr>
        <w:t>by other operators participating to the selection process</w:t>
      </w:r>
      <w:r w:rsidR="007A189A">
        <w:rPr>
          <w:lang w:val="en-US"/>
        </w:rPr>
        <w:t xml:space="preserve">. </w:t>
      </w:r>
    </w:p>
    <w:p w14:paraId="050E3B43" w14:textId="27AC5BB2" w:rsidR="00D6575C" w:rsidRPr="00B92FD4" w:rsidRDefault="007A189A" w:rsidP="00B92FD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Information regarding the use of the respective infrastructure </w:t>
      </w:r>
      <w:r w:rsidR="002B7B55">
        <w:rPr>
          <w:lang w:val="en-US"/>
        </w:rPr>
        <w:t xml:space="preserve">(terms, conditions, pricing) </w:t>
      </w:r>
      <w:r w:rsidR="00FA4068">
        <w:rPr>
          <w:lang w:val="en-US"/>
        </w:rPr>
        <w:t xml:space="preserve">should be provided </w:t>
      </w:r>
      <w:r w:rsidR="002B7B55">
        <w:rPr>
          <w:lang w:val="en-US"/>
        </w:rPr>
        <w:t>to any operators requesting it at least 2 months before the deadline</w:t>
      </w:r>
      <w:r w:rsidR="00A108BC">
        <w:rPr>
          <w:lang w:val="en-US"/>
        </w:rPr>
        <w:t xml:space="preserve"> for submission of </w:t>
      </w:r>
      <w:r w:rsidR="00350050">
        <w:rPr>
          <w:lang w:val="en-US"/>
        </w:rPr>
        <w:t>bids in the competitive selec</w:t>
      </w:r>
      <w:r w:rsidR="00AA282F">
        <w:rPr>
          <w:lang w:val="en-US"/>
        </w:rPr>
        <w:t xml:space="preserve">tion procedure. </w:t>
      </w:r>
      <w:r w:rsidR="002B7B55">
        <w:rPr>
          <w:lang w:val="en-US"/>
        </w:rPr>
        <w:t xml:space="preserve"> </w:t>
      </w:r>
      <w:r w:rsidR="006F150B">
        <w:rPr>
          <w:lang w:val="en-US"/>
        </w:rPr>
        <w:t xml:space="preserve"> </w:t>
      </w:r>
    </w:p>
    <w:p w14:paraId="043DA6BD" w14:textId="48A68DD2" w:rsidR="00B57551" w:rsidRPr="00901699" w:rsidRDefault="00901699" w:rsidP="00072538">
      <w:pPr>
        <w:jc w:val="both"/>
        <w:rPr>
          <w:b/>
          <w:bCs/>
          <w:u w:val="single"/>
          <w:lang w:val="en-US"/>
        </w:rPr>
      </w:pPr>
      <w:r w:rsidRPr="00901699">
        <w:rPr>
          <w:b/>
          <w:bCs/>
          <w:u w:val="single"/>
          <w:lang w:val="en-US"/>
        </w:rPr>
        <w:t>C</w:t>
      </w:r>
      <w:r w:rsidR="00B57551" w:rsidRPr="00901699">
        <w:rPr>
          <w:b/>
          <w:bCs/>
          <w:u w:val="single"/>
          <w:lang w:val="en-US"/>
        </w:rPr>
        <w:t>law back mechanism</w:t>
      </w:r>
    </w:p>
    <w:p w14:paraId="6C4E5798" w14:textId="78A4FD07" w:rsidR="005B59AD" w:rsidRDefault="00901699" w:rsidP="00072538">
      <w:pPr>
        <w:jc w:val="both"/>
        <w:rPr>
          <w:lang w:val="en-US"/>
        </w:rPr>
      </w:pPr>
      <w:r>
        <w:rPr>
          <w:lang w:val="en-US"/>
        </w:rPr>
        <w:t xml:space="preserve">A claw back mechanism will be set-up for all projects </w:t>
      </w:r>
      <w:r w:rsidR="00B02EB7">
        <w:rPr>
          <w:lang w:val="en-US"/>
        </w:rPr>
        <w:t xml:space="preserve">for which eligible costs exceed 5,000,000 EUR </w:t>
      </w:r>
      <w:r w:rsidR="0022331B">
        <w:rPr>
          <w:lang w:val="en-US"/>
        </w:rPr>
        <w:t>at the time of final account.</w:t>
      </w:r>
      <w:r w:rsidR="009950B9">
        <w:rPr>
          <w:lang w:val="en-US"/>
        </w:rPr>
        <w:t xml:space="preserve"> The mechanism will be operational throughout the lifespan of the subsidized network.</w:t>
      </w:r>
    </w:p>
    <w:p w14:paraId="6C8BFCC9" w14:textId="711C756C" w:rsidR="009950B9" w:rsidRDefault="009950B9" w:rsidP="009950B9">
      <w:pPr>
        <w:jc w:val="both"/>
        <w:rPr>
          <w:lang w:val="en-US"/>
        </w:rPr>
      </w:pPr>
      <w:r>
        <w:rPr>
          <w:lang w:val="en-US"/>
        </w:rPr>
        <w:t xml:space="preserve">Under the mechanism, </w:t>
      </w:r>
      <w:r w:rsidR="00756AC8">
        <w:rPr>
          <w:lang w:val="en-US"/>
        </w:rPr>
        <w:t>aid beneficiaries will</w:t>
      </w:r>
      <w:r w:rsidRPr="009950B9">
        <w:rPr>
          <w:lang w:val="en-US"/>
        </w:rPr>
        <w:t xml:space="preserve"> have to refund those unexpected gains which exceed an</w:t>
      </w:r>
      <w:r>
        <w:rPr>
          <w:lang w:val="en-US"/>
        </w:rPr>
        <w:t xml:space="preserve"> </w:t>
      </w:r>
      <w:r w:rsidRPr="009950B9">
        <w:rPr>
          <w:lang w:val="en-US"/>
        </w:rPr>
        <w:t>increase of 30% as compared to the gains calculated for the funding gap</w:t>
      </w:r>
      <w:r w:rsidR="001D1F6A">
        <w:rPr>
          <w:lang w:val="en-US"/>
        </w:rPr>
        <w:t xml:space="preserve"> in the project proposal phase. </w:t>
      </w:r>
    </w:p>
    <w:p w14:paraId="74054A21" w14:textId="69FEA549" w:rsidR="002D2847" w:rsidRDefault="00531AE3" w:rsidP="009950B9">
      <w:pPr>
        <w:jc w:val="both"/>
        <w:rPr>
          <w:lang w:val="en-US"/>
        </w:rPr>
      </w:pPr>
      <w:r>
        <w:rPr>
          <w:lang w:val="en-US"/>
        </w:rPr>
        <w:t>Please note that t</w:t>
      </w:r>
      <w:r w:rsidRPr="00531AE3">
        <w:rPr>
          <w:lang w:val="en-US"/>
        </w:rPr>
        <w:t>o ensure that aid remains proportional and does not lead to overcompensation or cross-</w:t>
      </w:r>
      <w:proofErr w:type="spellStart"/>
      <w:r w:rsidRPr="00531AE3">
        <w:rPr>
          <w:lang w:val="en-US"/>
        </w:rPr>
        <w:t>subsidisation</w:t>
      </w:r>
      <w:proofErr w:type="spellEnd"/>
      <w:r w:rsidRPr="00531AE3">
        <w:rPr>
          <w:lang w:val="en-US"/>
        </w:rPr>
        <w:t xml:space="preserve"> of non-aided activities, the aid beneficiary must ensure accounting separation between the funds used for the construction and the operation of the network and other funds at its disposal.</w:t>
      </w:r>
    </w:p>
    <w:p w14:paraId="598E8146" w14:textId="5547DD47" w:rsidR="005A1EC6" w:rsidRPr="00AD3EF1" w:rsidRDefault="005A1EC6" w:rsidP="00072538">
      <w:pPr>
        <w:jc w:val="both"/>
        <w:rPr>
          <w:b/>
          <w:bCs/>
          <w:u w:val="single"/>
          <w:lang w:val="en-US"/>
        </w:rPr>
      </w:pPr>
      <w:r w:rsidRPr="00AD3EF1">
        <w:rPr>
          <w:b/>
          <w:bCs/>
          <w:u w:val="single"/>
          <w:lang w:val="en-US"/>
        </w:rPr>
        <w:t>Checks and audits</w:t>
      </w:r>
    </w:p>
    <w:p w14:paraId="2ED0E55B" w14:textId="11C5A811" w:rsidR="00AD3EF1" w:rsidRPr="00AD3EF1" w:rsidRDefault="00AD3EF1" w:rsidP="00AD3EF1">
      <w:pPr>
        <w:jc w:val="both"/>
        <w:rPr>
          <w:lang w:val="en-US"/>
        </w:rPr>
      </w:pPr>
      <w:r w:rsidRPr="00AD3EF1">
        <w:rPr>
          <w:lang w:val="en-US"/>
        </w:rPr>
        <w:lastRenderedPageBreak/>
        <w:t xml:space="preserve">The Government of Cyprus, notably DEC and the Audit Office of Cyprus will be entitled to carry out spot checks to verify the correct implementation of the </w:t>
      </w:r>
      <w:r w:rsidR="00231292">
        <w:rPr>
          <w:lang w:val="en-US"/>
        </w:rPr>
        <w:t>measure</w:t>
      </w:r>
      <w:r w:rsidRPr="00AD3EF1">
        <w:rPr>
          <w:lang w:val="en-US"/>
        </w:rPr>
        <w:t xml:space="preserve">. </w:t>
      </w:r>
    </w:p>
    <w:p w14:paraId="1EFBB1B9" w14:textId="640F6F01" w:rsidR="00AD3EF1" w:rsidRPr="00AD3EF1" w:rsidRDefault="00AD3EF1" w:rsidP="00AD3EF1">
      <w:pPr>
        <w:jc w:val="both"/>
        <w:rPr>
          <w:lang w:val="en-US"/>
        </w:rPr>
      </w:pPr>
      <w:r w:rsidRPr="00AD3EF1">
        <w:rPr>
          <w:lang w:val="en-US"/>
        </w:rPr>
        <w:t xml:space="preserve">As such, upon request, any </w:t>
      </w:r>
      <w:r w:rsidR="00D57E69">
        <w:rPr>
          <w:lang w:val="en-US"/>
        </w:rPr>
        <w:t>operator</w:t>
      </w:r>
      <w:r w:rsidRPr="00AD3EF1">
        <w:rPr>
          <w:lang w:val="en-US"/>
        </w:rPr>
        <w:t xml:space="preserve"> </w:t>
      </w:r>
      <w:r w:rsidR="00115A01">
        <w:rPr>
          <w:lang w:val="en-US"/>
        </w:rPr>
        <w:t>benefitting from the scheme</w:t>
      </w:r>
      <w:r w:rsidRPr="00AD3EF1">
        <w:rPr>
          <w:lang w:val="en-US"/>
        </w:rPr>
        <w:t xml:space="preserve"> will have to give access for the carrying out of </w:t>
      </w:r>
      <w:r w:rsidR="00115A01">
        <w:rPr>
          <w:lang w:val="en-US"/>
        </w:rPr>
        <w:t>performance</w:t>
      </w:r>
      <w:r w:rsidRPr="00AD3EF1">
        <w:rPr>
          <w:lang w:val="en-US"/>
        </w:rPr>
        <w:t xml:space="preserve"> checks of the new installation. </w:t>
      </w:r>
    </w:p>
    <w:p w14:paraId="4100DDDC" w14:textId="67544114" w:rsidR="00AD3EF1" w:rsidRDefault="00AD3EF1" w:rsidP="00AD3EF1">
      <w:pPr>
        <w:jc w:val="both"/>
        <w:rPr>
          <w:lang w:val="en-US"/>
        </w:rPr>
      </w:pPr>
      <w:r w:rsidRPr="00AD3EF1">
        <w:rPr>
          <w:lang w:val="en-US"/>
        </w:rPr>
        <w:t xml:space="preserve">By participating in the </w:t>
      </w:r>
      <w:r w:rsidR="007B6158">
        <w:rPr>
          <w:lang w:val="en-US"/>
        </w:rPr>
        <w:t>aid</w:t>
      </w:r>
      <w:r w:rsidRPr="00AD3EF1">
        <w:rPr>
          <w:lang w:val="en-US"/>
        </w:rPr>
        <w:t xml:space="preserve"> scheme, the operators agree that audits be carried out at their premises</w:t>
      </w:r>
      <w:r w:rsidR="009C6577">
        <w:rPr>
          <w:lang w:val="en-US"/>
        </w:rPr>
        <w:t xml:space="preserve"> and </w:t>
      </w:r>
      <w:r w:rsidR="00CD6371">
        <w:rPr>
          <w:lang w:val="en-US"/>
        </w:rPr>
        <w:t>at the installations’ technical sites</w:t>
      </w:r>
      <w:r w:rsidRPr="00AD3EF1">
        <w:rPr>
          <w:lang w:val="en-US"/>
        </w:rPr>
        <w:t xml:space="preserve">. This should notably allow the authorities to establish that </w:t>
      </w:r>
      <w:r w:rsidR="00287331">
        <w:rPr>
          <w:lang w:val="en-US"/>
        </w:rPr>
        <w:t>subsidized infrastructures</w:t>
      </w:r>
      <w:r w:rsidRPr="00AD3EF1">
        <w:rPr>
          <w:lang w:val="en-US"/>
        </w:rPr>
        <w:t xml:space="preserve"> were implemented according to the specification of the scheme.</w:t>
      </w:r>
    </w:p>
    <w:p w14:paraId="5C90E3D4" w14:textId="6CD03185" w:rsidR="005A1EC6" w:rsidRPr="007F3278" w:rsidRDefault="005A1EC6" w:rsidP="00072538">
      <w:pPr>
        <w:jc w:val="both"/>
        <w:rPr>
          <w:b/>
          <w:bCs/>
          <w:u w:val="single"/>
          <w:lang w:val="en-US"/>
        </w:rPr>
      </w:pPr>
      <w:r w:rsidRPr="007F3278">
        <w:rPr>
          <w:b/>
          <w:bCs/>
          <w:u w:val="single"/>
          <w:lang w:val="en-US"/>
        </w:rPr>
        <w:t>Jurisdiction</w:t>
      </w:r>
    </w:p>
    <w:p w14:paraId="53FE4785" w14:textId="50126A3B" w:rsidR="007F3278" w:rsidRPr="007F3278" w:rsidRDefault="007F3278" w:rsidP="007F3278">
      <w:pPr>
        <w:jc w:val="both"/>
        <w:rPr>
          <w:lang w:val="en-US"/>
        </w:rPr>
      </w:pPr>
      <w:r w:rsidRPr="007F3278">
        <w:rPr>
          <w:lang w:val="en-US"/>
        </w:rPr>
        <w:t xml:space="preserve">Any party may contact the Department of Electronic Communications regarding issues in the implementation of the </w:t>
      </w:r>
      <w:r>
        <w:rPr>
          <w:lang w:val="en-US"/>
        </w:rPr>
        <w:t>subsidy</w:t>
      </w:r>
      <w:r w:rsidRPr="007F3278">
        <w:rPr>
          <w:lang w:val="en-US"/>
        </w:rPr>
        <w:t xml:space="preserve"> scheme. </w:t>
      </w:r>
    </w:p>
    <w:p w14:paraId="0A089B14" w14:textId="169E2AE2" w:rsidR="004F2F5E" w:rsidRDefault="007F3278" w:rsidP="007F3278">
      <w:pPr>
        <w:jc w:val="both"/>
        <w:rPr>
          <w:lang w:val="en-US"/>
        </w:rPr>
      </w:pPr>
      <w:r w:rsidRPr="007F3278">
        <w:rPr>
          <w:lang w:val="en-US"/>
        </w:rPr>
        <w:t>Any dispute or claim regarding the implementation of the scheme shall be subject to the jurisdiction of the competent Cypr</w:t>
      </w:r>
      <w:r w:rsidR="004D4AD0">
        <w:rPr>
          <w:lang w:val="en-US"/>
        </w:rPr>
        <w:t>us</w:t>
      </w:r>
      <w:r w:rsidRPr="007F3278">
        <w:rPr>
          <w:lang w:val="en-US"/>
        </w:rPr>
        <w:t xml:space="preserve"> courts</w:t>
      </w:r>
      <w:r>
        <w:rPr>
          <w:lang w:val="en-US"/>
        </w:rPr>
        <w:t xml:space="preserve">. </w:t>
      </w:r>
    </w:p>
    <w:p w14:paraId="63AD5E77" w14:textId="43D722D1" w:rsidR="005A1EC6" w:rsidRDefault="005A1EC6" w:rsidP="00072538">
      <w:pPr>
        <w:jc w:val="both"/>
        <w:rPr>
          <w:b/>
          <w:bCs/>
          <w:u w:val="single"/>
          <w:lang w:val="en-US"/>
        </w:rPr>
      </w:pPr>
      <w:r w:rsidRPr="00B125B8">
        <w:rPr>
          <w:b/>
          <w:bCs/>
          <w:u w:val="single"/>
          <w:lang w:val="en-US"/>
        </w:rPr>
        <w:t>Final remarks and questions to stakeholders</w:t>
      </w:r>
    </w:p>
    <w:p w14:paraId="2F5F7D86" w14:textId="393A5F4D" w:rsidR="00607744" w:rsidRPr="00607744" w:rsidRDefault="00607744" w:rsidP="00072538">
      <w:pPr>
        <w:jc w:val="both"/>
        <w:rPr>
          <w:lang w:val="en-US"/>
        </w:rPr>
      </w:pPr>
      <w:r w:rsidRPr="00607744">
        <w:rPr>
          <w:lang w:val="en-US"/>
        </w:rPr>
        <w:t xml:space="preserve">All interested stakeholders are invited to submit their comments (Greek or English) on the </w:t>
      </w:r>
      <w:r w:rsidR="00081440">
        <w:rPr>
          <w:lang w:val="en-US"/>
        </w:rPr>
        <w:t>aid</w:t>
      </w:r>
      <w:r w:rsidR="00081440" w:rsidRPr="00607744">
        <w:rPr>
          <w:lang w:val="en-US"/>
        </w:rPr>
        <w:t xml:space="preserve"> </w:t>
      </w:r>
      <w:r w:rsidRPr="00607744">
        <w:rPr>
          <w:lang w:val="en-US"/>
        </w:rPr>
        <w:t xml:space="preserve">scheme described above by </w:t>
      </w:r>
      <w:r w:rsidR="005E7F80">
        <w:rPr>
          <w:lang w:val="en-US"/>
        </w:rPr>
        <w:t xml:space="preserve">… </w:t>
      </w:r>
      <w:r w:rsidRPr="00607744">
        <w:rPr>
          <w:lang w:val="en-US"/>
        </w:rPr>
        <w:t xml:space="preserve">at the following e-mail </w:t>
      </w:r>
      <w:proofErr w:type="gramStart"/>
      <w:r w:rsidRPr="00607744">
        <w:rPr>
          <w:lang w:val="en-US"/>
        </w:rPr>
        <w:t>addresses:</w:t>
      </w:r>
      <w:r w:rsidR="005E7F80">
        <w:rPr>
          <w:lang w:val="en-US"/>
        </w:rPr>
        <w:t>…</w:t>
      </w:r>
      <w:proofErr w:type="gramEnd"/>
      <w:r w:rsidRPr="00607744">
        <w:rPr>
          <w:lang w:val="en-US"/>
        </w:rPr>
        <w:t xml:space="preserve">. In their answers, stakeholders are encouraged to address </w:t>
      </w:r>
      <w:proofErr w:type="gramStart"/>
      <w:r w:rsidRPr="00607744">
        <w:rPr>
          <w:lang w:val="en-US"/>
        </w:rPr>
        <w:t>in particular but</w:t>
      </w:r>
      <w:proofErr w:type="gramEnd"/>
      <w:r w:rsidRPr="00607744">
        <w:rPr>
          <w:lang w:val="en-US"/>
        </w:rPr>
        <w:t xml:space="preserve"> not limited to the following topics:</w:t>
      </w:r>
    </w:p>
    <w:p w14:paraId="3C6DCE41" w14:textId="66A2402E" w:rsidR="005E7F80" w:rsidRDefault="0008300E" w:rsidP="001E1CB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Are there any areas where operators </w:t>
      </w:r>
      <w:r w:rsidR="00422B71">
        <w:rPr>
          <w:lang w:val="en-US"/>
        </w:rPr>
        <w:t xml:space="preserve">plan investments with similar performance </w:t>
      </w:r>
      <w:r w:rsidR="00FF0B38">
        <w:rPr>
          <w:lang w:val="en-US"/>
        </w:rPr>
        <w:t xml:space="preserve">as the subsidized infrastructures for investment types A, B, and C respectively and that are currently identified as potentially eligible </w:t>
      </w:r>
      <w:r w:rsidR="00C06A74">
        <w:rPr>
          <w:lang w:val="en-US"/>
        </w:rPr>
        <w:t>target areas? If so, please provide further information on the respective investment plans</w:t>
      </w:r>
      <w:r w:rsidR="00AE20FB">
        <w:rPr>
          <w:lang w:val="en-US"/>
        </w:rPr>
        <w:t xml:space="preserve">: </w:t>
      </w:r>
      <w:r w:rsidR="00B76C8F">
        <w:rPr>
          <w:lang w:val="en-US"/>
        </w:rPr>
        <w:t>location of the investments, performance of planned networks</w:t>
      </w:r>
      <w:r w:rsidR="00097F1E">
        <w:rPr>
          <w:lang w:val="en-US"/>
        </w:rPr>
        <w:t xml:space="preserve">, timeline for finalization of investments. </w:t>
      </w:r>
    </w:p>
    <w:p w14:paraId="6E4EBDDD" w14:textId="77777777" w:rsidR="00BA6AA1" w:rsidRDefault="001E1CBF" w:rsidP="001E1CB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Please provide information on the existing infrastructure your organization </w:t>
      </w:r>
      <w:r w:rsidR="005276F5">
        <w:rPr>
          <w:lang w:val="en-US"/>
        </w:rPr>
        <w:t>owns or controls and that could be re-used for deployment of connectivity networks supported under this scheme</w:t>
      </w:r>
      <w:r w:rsidR="00BF704D">
        <w:rPr>
          <w:lang w:val="en-US"/>
        </w:rPr>
        <w:t xml:space="preserve">. </w:t>
      </w:r>
      <w:r w:rsidR="000B36FF">
        <w:rPr>
          <w:lang w:val="en-US"/>
        </w:rPr>
        <w:t>The information to be provided must include at least:</w:t>
      </w:r>
    </w:p>
    <w:p w14:paraId="37464717" w14:textId="77777777" w:rsidR="00BA6AA1" w:rsidRPr="00D401FD" w:rsidRDefault="00BA6AA1" w:rsidP="00BA6AA1">
      <w:pPr>
        <w:ind w:left="708"/>
        <w:jc w:val="both"/>
        <w:rPr>
          <w:highlight w:val="green"/>
          <w:lang w:val="fr-BE"/>
        </w:rPr>
      </w:pPr>
      <w:r w:rsidRPr="00D401FD">
        <w:rPr>
          <w:highlight w:val="green"/>
          <w:lang w:val="fr-BE"/>
        </w:rPr>
        <w:t>– type of infrastructure (</w:t>
      </w:r>
      <w:proofErr w:type="spellStart"/>
      <w:r w:rsidRPr="00D401FD">
        <w:rPr>
          <w:highlight w:val="green"/>
          <w:lang w:val="fr-BE"/>
        </w:rPr>
        <w:t>duct</w:t>
      </w:r>
      <w:proofErr w:type="spellEnd"/>
      <w:r w:rsidRPr="00D401FD">
        <w:rPr>
          <w:highlight w:val="green"/>
          <w:lang w:val="fr-BE"/>
        </w:rPr>
        <w:t xml:space="preserve">, pole, cabinet, </w:t>
      </w:r>
      <w:proofErr w:type="spellStart"/>
      <w:r w:rsidRPr="00D401FD">
        <w:rPr>
          <w:highlight w:val="green"/>
          <w:lang w:val="fr-BE"/>
        </w:rPr>
        <w:t>etc</w:t>
      </w:r>
      <w:proofErr w:type="spellEnd"/>
      <w:r w:rsidRPr="00D401FD">
        <w:rPr>
          <w:highlight w:val="green"/>
          <w:lang w:val="fr-BE"/>
        </w:rPr>
        <w:t>)</w:t>
      </w:r>
    </w:p>
    <w:p w14:paraId="57C1EB0C" w14:textId="3CD300C5" w:rsidR="00BA6AA1" w:rsidRPr="00D401FD" w:rsidRDefault="00BA6AA1" w:rsidP="00BA6AA1">
      <w:pPr>
        <w:pStyle w:val="ListParagraph"/>
        <w:numPr>
          <w:ilvl w:val="0"/>
          <w:numId w:val="11"/>
        </w:numPr>
        <w:jc w:val="both"/>
        <w:rPr>
          <w:highlight w:val="green"/>
          <w:lang w:val="fr-BE"/>
        </w:rPr>
      </w:pPr>
      <w:r w:rsidRPr="00D401FD">
        <w:rPr>
          <w:highlight w:val="green"/>
          <w:lang w:val="fr-BE"/>
        </w:rPr>
        <w:t>Location (GIS data)</w:t>
      </w:r>
    </w:p>
    <w:p w14:paraId="05D16567" w14:textId="3A21AB91" w:rsidR="00BA6AA1" w:rsidRPr="00D401FD" w:rsidRDefault="00BA6AA1" w:rsidP="00BA6AA1">
      <w:pPr>
        <w:pStyle w:val="ListParagraph"/>
        <w:numPr>
          <w:ilvl w:val="0"/>
          <w:numId w:val="11"/>
        </w:numPr>
        <w:jc w:val="both"/>
        <w:rPr>
          <w:highlight w:val="green"/>
          <w:lang w:val="fr-BE"/>
        </w:rPr>
      </w:pPr>
      <w:r w:rsidRPr="00D401FD">
        <w:rPr>
          <w:highlight w:val="green"/>
          <w:lang w:val="fr-BE"/>
        </w:rPr>
        <w:t>Access conditions</w:t>
      </w:r>
    </w:p>
    <w:p w14:paraId="38BFB923" w14:textId="5B55B171" w:rsidR="00BA6AA1" w:rsidRPr="00D401FD" w:rsidRDefault="00BA6AA1" w:rsidP="00D401FD">
      <w:pPr>
        <w:pStyle w:val="ListParagraph"/>
        <w:numPr>
          <w:ilvl w:val="0"/>
          <w:numId w:val="11"/>
        </w:numPr>
        <w:jc w:val="both"/>
        <w:rPr>
          <w:highlight w:val="green"/>
          <w:lang w:val="fr-BE"/>
        </w:rPr>
      </w:pPr>
      <w:r w:rsidRPr="00D401FD">
        <w:rPr>
          <w:highlight w:val="green"/>
          <w:lang w:val="fr-BE"/>
        </w:rPr>
        <w:t xml:space="preserve">Access </w:t>
      </w:r>
      <w:proofErr w:type="spellStart"/>
      <w:r w:rsidRPr="00D401FD">
        <w:rPr>
          <w:highlight w:val="green"/>
          <w:lang w:val="fr-BE"/>
        </w:rPr>
        <w:t>pricing</w:t>
      </w:r>
      <w:proofErr w:type="spellEnd"/>
    </w:p>
    <w:p w14:paraId="691E9644" w14:textId="5A85BD74" w:rsidR="001E1CBF" w:rsidRPr="00D401FD" w:rsidRDefault="000B36FF" w:rsidP="00D401FD">
      <w:pPr>
        <w:ind w:left="708"/>
        <w:jc w:val="both"/>
        <w:rPr>
          <w:lang w:val="fr-BE"/>
        </w:rPr>
      </w:pPr>
      <w:r w:rsidRPr="00D401FD">
        <w:rPr>
          <w:lang w:val="fr-BE"/>
        </w:rPr>
        <w:t xml:space="preserve"> </w:t>
      </w:r>
    </w:p>
    <w:p w14:paraId="2376ECE6" w14:textId="518B5E8C" w:rsidR="00CF713E" w:rsidRPr="001E1CBF" w:rsidRDefault="00CF713E" w:rsidP="001E1CBF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416D7">
        <w:rPr>
          <w:lang w:val="en-US"/>
        </w:rPr>
        <w:t>Interested parties</w:t>
      </w:r>
      <w:r w:rsidRPr="007416D7">
        <w:t xml:space="preserve"> in an adjacent area</w:t>
      </w:r>
      <w:r w:rsidRPr="007416D7">
        <w:rPr>
          <w:lang w:val="en-US"/>
        </w:rPr>
        <w:t xml:space="preserve"> should inform the authorities if they</w:t>
      </w:r>
      <w:r w:rsidRPr="007416D7">
        <w:t xml:space="preserve"> oppose extensions</w:t>
      </w:r>
      <w:r w:rsidR="005A3ACB">
        <w:t xml:space="preserve"> from the subsidised areas</w:t>
      </w:r>
      <w:r w:rsidRPr="007416D7">
        <w:rPr>
          <w:lang w:val="en-US"/>
        </w:rPr>
        <w:t>.</w:t>
      </w:r>
    </w:p>
    <w:p w14:paraId="04698DB0" w14:textId="76E0801D" w:rsidR="003C10F8" w:rsidRDefault="003C10F8" w:rsidP="00072538">
      <w:pPr>
        <w:jc w:val="both"/>
        <w:rPr>
          <w:lang w:val="en-US"/>
        </w:rPr>
      </w:pPr>
    </w:p>
    <w:p w14:paraId="6DA914A9" w14:textId="081B5E0B" w:rsidR="000C6FC8" w:rsidRDefault="000C6FC8" w:rsidP="00072538">
      <w:pPr>
        <w:jc w:val="both"/>
        <w:rPr>
          <w:lang w:val="en-US"/>
        </w:rPr>
      </w:pPr>
    </w:p>
    <w:p w14:paraId="1CF384DE" w14:textId="5B4728BF" w:rsidR="00D57D7D" w:rsidRPr="00072538" w:rsidRDefault="00D57D7D" w:rsidP="00072538">
      <w:pPr>
        <w:jc w:val="both"/>
        <w:rPr>
          <w:lang w:val="en-US"/>
        </w:rPr>
      </w:pPr>
      <w:r w:rsidRPr="00D57D7D">
        <w:rPr>
          <w:highlight w:val="yellow"/>
          <w:lang w:val="en-US"/>
        </w:rPr>
        <w:t>ANNEX 1: Description of lots</w:t>
      </w:r>
    </w:p>
    <w:p w14:paraId="327A5D00" w14:textId="1B4EA983" w:rsidR="00F050DA" w:rsidRDefault="00F050DA" w:rsidP="002D75CB">
      <w:pPr>
        <w:jc w:val="both"/>
        <w:rPr>
          <w:lang w:val="en-US"/>
        </w:rPr>
      </w:pPr>
    </w:p>
    <w:p w14:paraId="72B96CFC" w14:textId="7DB7AFC9" w:rsidR="00F050DA" w:rsidRDefault="00F050DA" w:rsidP="00F050DA">
      <w:pPr>
        <w:rPr>
          <w:rStyle w:val="Hyperlink"/>
          <w:lang w:val="en-US"/>
        </w:rPr>
      </w:pPr>
      <w:r>
        <w:rPr>
          <w:lang w:val="en-US"/>
        </w:rPr>
        <w:t xml:space="preserve"> </w:t>
      </w:r>
    </w:p>
    <w:p w14:paraId="33C9B845" w14:textId="77777777" w:rsidR="00F050DA" w:rsidRPr="00016639" w:rsidRDefault="00F050DA" w:rsidP="002D75CB">
      <w:pPr>
        <w:jc w:val="both"/>
        <w:rPr>
          <w:lang w:val="en-US"/>
        </w:rPr>
      </w:pPr>
    </w:p>
    <w:p w14:paraId="5F2261DF" w14:textId="77777777" w:rsidR="00B748BB" w:rsidRDefault="00B748BB" w:rsidP="00B748BB"/>
    <w:sectPr w:rsidR="00B748B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n droge" w:date="2022-05-25T11:37:00Z" w:initials="Jd">
    <w:p w14:paraId="70B0C8B3" w14:textId="3EA47B2D" w:rsidR="00F2140D" w:rsidRDefault="00F2140D">
      <w:pPr>
        <w:pStyle w:val="CommentText"/>
      </w:pPr>
      <w:r>
        <w:rPr>
          <w:rStyle w:val="CommentReference"/>
        </w:rPr>
        <w:annotationRef/>
      </w:r>
      <w:r>
        <w:t xml:space="preserve">We did not discuss this </w:t>
      </w:r>
      <w:proofErr w:type="gramStart"/>
      <w:r>
        <w:t>number,</w:t>
      </w:r>
      <w:proofErr w:type="gramEnd"/>
      <w:r>
        <w:t xml:space="preserve"> I propose this for the public consultation. Let’s see what the operators comment. The download speed is non-negotiable, as it is part of the RRF plan, but the up-load we can be more flexible.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B0C8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89395" w16cex:dateUtc="2022-05-25T0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B0C8B3" w16cid:durableId="26389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43199" w14:textId="77777777" w:rsidR="006D3FE2" w:rsidRDefault="006D3FE2" w:rsidP="001D43FB">
      <w:pPr>
        <w:spacing w:after="0" w:line="240" w:lineRule="auto"/>
      </w:pPr>
      <w:r>
        <w:separator/>
      </w:r>
    </w:p>
  </w:endnote>
  <w:endnote w:type="continuationSeparator" w:id="0">
    <w:p w14:paraId="56116BDF" w14:textId="77777777" w:rsidR="006D3FE2" w:rsidRDefault="006D3FE2" w:rsidP="001D43FB">
      <w:pPr>
        <w:spacing w:after="0" w:line="240" w:lineRule="auto"/>
      </w:pPr>
      <w:r>
        <w:continuationSeparator/>
      </w:r>
    </w:p>
  </w:endnote>
  <w:endnote w:type="continuationNotice" w:id="1">
    <w:p w14:paraId="2149AB22" w14:textId="77777777" w:rsidR="006D3FE2" w:rsidRDefault="006D3F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012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AFBD3" w14:textId="198DC3E5" w:rsidR="001D43FB" w:rsidRDefault="001D43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8F07B" w14:textId="77777777" w:rsidR="001D43FB" w:rsidRDefault="001D4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3913" w14:textId="77777777" w:rsidR="006D3FE2" w:rsidRDefault="006D3FE2" w:rsidP="001D43FB">
      <w:pPr>
        <w:spacing w:after="0" w:line="240" w:lineRule="auto"/>
      </w:pPr>
      <w:r>
        <w:separator/>
      </w:r>
    </w:p>
  </w:footnote>
  <w:footnote w:type="continuationSeparator" w:id="0">
    <w:p w14:paraId="3A762168" w14:textId="77777777" w:rsidR="006D3FE2" w:rsidRDefault="006D3FE2" w:rsidP="001D43FB">
      <w:pPr>
        <w:spacing w:after="0" w:line="240" w:lineRule="auto"/>
      </w:pPr>
      <w:r>
        <w:continuationSeparator/>
      </w:r>
    </w:p>
  </w:footnote>
  <w:footnote w:type="continuationNotice" w:id="1">
    <w:p w14:paraId="6AC4CDC6" w14:textId="77777777" w:rsidR="006D3FE2" w:rsidRDefault="006D3FE2">
      <w:pPr>
        <w:spacing w:after="0" w:line="240" w:lineRule="auto"/>
      </w:pPr>
    </w:p>
  </w:footnote>
  <w:footnote w:id="2">
    <w:p w14:paraId="082ACD4B" w14:textId="4F8B5C21" w:rsidR="00C73800" w:rsidRPr="003F1ABF" w:rsidRDefault="00C738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0D2A1C" w:rsidRPr="003F1ABF">
        <w:rPr>
          <w:lang w:val="en-US"/>
        </w:rPr>
        <w:t xml:space="preserve">The </w:t>
      </w:r>
      <w:r w:rsidR="00937FC7" w:rsidRPr="003F1ABF">
        <w:rPr>
          <w:lang w:val="en-US"/>
        </w:rPr>
        <w:t xml:space="preserve">present </w:t>
      </w:r>
      <w:r w:rsidR="00F23BD5" w:rsidRPr="003F1ABF">
        <w:rPr>
          <w:lang w:val="en-US"/>
        </w:rPr>
        <w:t>consultation</w:t>
      </w:r>
      <w:r w:rsidR="00937FC7" w:rsidRPr="003F1ABF">
        <w:rPr>
          <w:lang w:val="en-US"/>
        </w:rPr>
        <w:t xml:space="preserve"> </w:t>
      </w:r>
      <w:r w:rsidR="00F23BD5" w:rsidRPr="003F1ABF">
        <w:rPr>
          <w:lang w:val="en-US"/>
        </w:rPr>
        <w:t>is carried out in conformity with</w:t>
      </w:r>
      <w:r w:rsidR="000D2A1C" w:rsidRPr="003F1ABF">
        <w:rPr>
          <w:lang w:val="en-US"/>
        </w:rPr>
        <w:t xml:space="preserve"> the new Broadband Guide</w:t>
      </w:r>
      <w:r w:rsidR="000865E4" w:rsidRPr="003F1ABF">
        <w:rPr>
          <w:lang w:val="en-US"/>
        </w:rPr>
        <w:t>lines</w:t>
      </w:r>
      <w:r w:rsidR="00F23BD5" w:rsidRPr="003F1ABF">
        <w:rPr>
          <w:lang w:val="en-US"/>
        </w:rPr>
        <w:t>, and in partic</w:t>
      </w:r>
      <w:r w:rsidR="007A3FA3" w:rsidRPr="003F1ABF">
        <w:rPr>
          <w:lang w:val="en-US"/>
        </w:rPr>
        <w:t>ular</w:t>
      </w:r>
      <w:r w:rsidR="000865E4" w:rsidRPr="003F1ABF">
        <w:rPr>
          <w:lang w:val="en-US"/>
        </w:rPr>
        <w:t xml:space="preserve"> </w:t>
      </w:r>
      <w:r w:rsidR="001A0A74" w:rsidRPr="003F1ABF">
        <w:rPr>
          <w:lang w:val="en-US"/>
        </w:rPr>
        <w:t>paragraphs 77 to 83.</w:t>
      </w:r>
    </w:p>
  </w:footnote>
  <w:footnote w:id="3">
    <w:p w14:paraId="3578AA8F" w14:textId="7C2E0E5B" w:rsidR="00644206" w:rsidRPr="00644206" w:rsidRDefault="00644206" w:rsidP="00BE658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BE6585">
        <w:t>Speed under usual peak time conditions is understood as the speed that end users are expected to achieve during the entire peak-hour period</w:t>
      </w:r>
    </w:p>
  </w:footnote>
  <w:footnote w:id="4">
    <w:p w14:paraId="746214CD" w14:textId="73522621" w:rsidR="00A17F51" w:rsidRPr="00A17F51" w:rsidRDefault="00A17F5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In line with the definition in the Guidelines on State aid for rescuing and restructuring non-financial undertakings in difficulty (OJ C 249, 31.7.2014, p. 1)</w:t>
      </w:r>
    </w:p>
  </w:footnote>
  <w:footnote w:id="5">
    <w:p w14:paraId="55995B46" w14:textId="201393E5" w:rsidR="00925389" w:rsidRPr="00D401FD" w:rsidRDefault="0092538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‘</w:t>
      </w:r>
      <w:r w:rsidRPr="002022CA">
        <w:rPr>
          <w:highlight w:val="green"/>
        </w:rPr>
        <w:t xml:space="preserve">Gap funding’ refers to the difference between investment costs and expected profits for private </w:t>
      </w:r>
      <w:proofErr w:type="gramStart"/>
      <w:r w:rsidRPr="002022CA">
        <w:rPr>
          <w:highlight w:val="green"/>
        </w:rPr>
        <w:t>investors.</w:t>
      </w:r>
      <w:r w:rsidRPr="002022CA">
        <w:rPr>
          <w:highlight w:val="green"/>
        </w:rPr>
        <w:t>(</w:t>
      </w:r>
      <w:proofErr w:type="gramEnd"/>
      <w:r w:rsidRPr="002022CA">
        <w:rPr>
          <w:highlight w:val="green"/>
        </w:rPr>
        <w:t>2013/C25/01 - annex 1)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AD6A" w14:textId="77777777" w:rsidR="00B1450E" w:rsidRDefault="00B14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C30"/>
    <w:multiLevelType w:val="hybridMultilevel"/>
    <w:tmpl w:val="78C47416"/>
    <w:lvl w:ilvl="0" w:tplc="BEBE2D9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F146C"/>
    <w:multiLevelType w:val="hybridMultilevel"/>
    <w:tmpl w:val="731EB884"/>
    <w:lvl w:ilvl="0" w:tplc="080C0017">
      <w:start w:val="1"/>
      <w:numFmt w:val="lowerLetter"/>
      <w:lvlText w:val="%1)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0281D"/>
    <w:multiLevelType w:val="hybridMultilevel"/>
    <w:tmpl w:val="4A6EC16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A28"/>
    <w:multiLevelType w:val="hybridMultilevel"/>
    <w:tmpl w:val="D1B0D93A"/>
    <w:lvl w:ilvl="0" w:tplc="BEBE2D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31B46"/>
    <w:multiLevelType w:val="hybridMultilevel"/>
    <w:tmpl w:val="38F68F6A"/>
    <w:lvl w:ilvl="0" w:tplc="6346D49E">
      <w:start w:val="2"/>
      <w:numFmt w:val="bullet"/>
      <w:lvlText w:val="-"/>
      <w:lvlJc w:val="left"/>
      <w:pPr>
        <w:ind w:left="1068" w:hanging="360"/>
      </w:pPr>
      <w:rPr>
        <w:rFonts w:ascii="Trebuchet MS" w:eastAsia="Times New Roman" w:hAnsi="Trebuchet M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624378"/>
    <w:multiLevelType w:val="hybridMultilevel"/>
    <w:tmpl w:val="324264A6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5664"/>
    <w:multiLevelType w:val="hybridMultilevel"/>
    <w:tmpl w:val="296C9B9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17DE3"/>
    <w:multiLevelType w:val="hybridMultilevel"/>
    <w:tmpl w:val="9C202188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F7BB4"/>
    <w:multiLevelType w:val="hybridMultilevel"/>
    <w:tmpl w:val="F1EC97D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072FC"/>
    <w:multiLevelType w:val="hybridMultilevel"/>
    <w:tmpl w:val="8690D254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365A2"/>
    <w:multiLevelType w:val="hybridMultilevel"/>
    <w:tmpl w:val="DCCAE672"/>
    <w:lvl w:ilvl="0" w:tplc="BEBE2D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357254">
    <w:abstractNumId w:val="2"/>
  </w:num>
  <w:num w:numId="2" w16cid:durableId="22023500">
    <w:abstractNumId w:val="6"/>
  </w:num>
  <w:num w:numId="3" w16cid:durableId="1303272115">
    <w:abstractNumId w:val="5"/>
  </w:num>
  <w:num w:numId="4" w16cid:durableId="730274653">
    <w:abstractNumId w:val="3"/>
  </w:num>
  <w:num w:numId="5" w16cid:durableId="1807817903">
    <w:abstractNumId w:val="10"/>
  </w:num>
  <w:num w:numId="6" w16cid:durableId="1730112784">
    <w:abstractNumId w:val="9"/>
  </w:num>
  <w:num w:numId="7" w16cid:durableId="1936277746">
    <w:abstractNumId w:val="7"/>
  </w:num>
  <w:num w:numId="8" w16cid:durableId="1154494917">
    <w:abstractNumId w:val="0"/>
  </w:num>
  <w:num w:numId="9" w16cid:durableId="243612872">
    <w:abstractNumId w:val="1"/>
  </w:num>
  <w:num w:numId="10" w16cid:durableId="2020232740">
    <w:abstractNumId w:val="8"/>
  </w:num>
  <w:num w:numId="11" w16cid:durableId="4591517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droge">
    <w15:presenceInfo w15:providerId="None" w15:userId="Jan dro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04"/>
    <w:rsid w:val="000023C8"/>
    <w:rsid w:val="000027F8"/>
    <w:rsid w:val="00002D4E"/>
    <w:rsid w:val="0000496F"/>
    <w:rsid w:val="00006363"/>
    <w:rsid w:val="000105D7"/>
    <w:rsid w:val="000107D6"/>
    <w:rsid w:val="000148E7"/>
    <w:rsid w:val="000154FE"/>
    <w:rsid w:val="00017DDD"/>
    <w:rsid w:val="00021739"/>
    <w:rsid w:val="0002313D"/>
    <w:rsid w:val="00024B6E"/>
    <w:rsid w:val="00024F95"/>
    <w:rsid w:val="0002553E"/>
    <w:rsid w:val="00027E4A"/>
    <w:rsid w:val="00030CF3"/>
    <w:rsid w:val="00032CBB"/>
    <w:rsid w:val="0003510E"/>
    <w:rsid w:val="0003790D"/>
    <w:rsid w:val="00041D63"/>
    <w:rsid w:val="0004389D"/>
    <w:rsid w:val="000438DC"/>
    <w:rsid w:val="00043F26"/>
    <w:rsid w:val="00045769"/>
    <w:rsid w:val="00045FDB"/>
    <w:rsid w:val="00046662"/>
    <w:rsid w:val="00047FB0"/>
    <w:rsid w:val="0005697F"/>
    <w:rsid w:val="00060A65"/>
    <w:rsid w:val="00063862"/>
    <w:rsid w:val="00065CDA"/>
    <w:rsid w:val="000666FB"/>
    <w:rsid w:val="00067E5B"/>
    <w:rsid w:val="000708DE"/>
    <w:rsid w:val="00071F14"/>
    <w:rsid w:val="00072538"/>
    <w:rsid w:val="000739B7"/>
    <w:rsid w:val="00073BF4"/>
    <w:rsid w:val="00074436"/>
    <w:rsid w:val="000746AA"/>
    <w:rsid w:val="00077731"/>
    <w:rsid w:val="00077FE1"/>
    <w:rsid w:val="00081440"/>
    <w:rsid w:val="00082C61"/>
    <w:rsid w:val="0008300E"/>
    <w:rsid w:val="00083A9A"/>
    <w:rsid w:val="000847D9"/>
    <w:rsid w:val="000865E4"/>
    <w:rsid w:val="000869F5"/>
    <w:rsid w:val="000870D4"/>
    <w:rsid w:val="000915C2"/>
    <w:rsid w:val="00092D9D"/>
    <w:rsid w:val="000970BA"/>
    <w:rsid w:val="00097F1E"/>
    <w:rsid w:val="000B1154"/>
    <w:rsid w:val="000B1604"/>
    <w:rsid w:val="000B18DA"/>
    <w:rsid w:val="000B18F0"/>
    <w:rsid w:val="000B36FF"/>
    <w:rsid w:val="000B3DA8"/>
    <w:rsid w:val="000C11ED"/>
    <w:rsid w:val="000C2042"/>
    <w:rsid w:val="000C3E24"/>
    <w:rsid w:val="000C4385"/>
    <w:rsid w:val="000C67BA"/>
    <w:rsid w:val="000C6E5E"/>
    <w:rsid w:val="000C6FC8"/>
    <w:rsid w:val="000C7EF8"/>
    <w:rsid w:val="000D2A1C"/>
    <w:rsid w:val="000D453B"/>
    <w:rsid w:val="000D7BBD"/>
    <w:rsid w:val="000E0D95"/>
    <w:rsid w:val="000E1EC1"/>
    <w:rsid w:val="000E1F83"/>
    <w:rsid w:val="000E4215"/>
    <w:rsid w:val="000E6C8F"/>
    <w:rsid w:val="000F026D"/>
    <w:rsid w:val="000F4446"/>
    <w:rsid w:val="00100E96"/>
    <w:rsid w:val="0010364C"/>
    <w:rsid w:val="00104AD7"/>
    <w:rsid w:val="0011037A"/>
    <w:rsid w:val="00110401"/>
    <w:rsid w:val="00110A94"/>
    <w:rsid w:val="0011117E"/>
    <w:rsid w:val="00111EE7"/>
    <w:rsid w:val="00112C51"/>
    <w:rsid w:val="00114FE2"/>
    <w:rsid w:val="00115A01"/>
    <w:rsid w:val="0012137F"/>
    <w:rsid w:val="00122651"/>
    <w:rsid w:val="00124C74"/>
    <w:rsid w:val="001266E2"/>
    <w:rsid w:val="00130069"/>
    <w:rsid w:val="00130E67"/>
    <w:rsid w:val="00133187"/>
    <w:rsid w:val="00133E98"/>
    <w:rsid w:val="00135CF8"/>
    <w:rsid w:val="00142908"/>
    <w:rsid w:val="00143719"/>
    <w:rsid w:val="00152EE9"/>
    <w:rsid w:val="001576E3"/>
    <w:rsid w:val="00157B4A"/>
    <w:rsid w:val="00160162"/>
    <w:rsid w:val="001613A1"/>
    <w:rsid w:val="00162F7A"/>
    <w:rsid w:val="00163DA2"/>
    <w:rsid w:val="00165774"/>
    <w:rsid w:val="00167F71"/>
    <w:rsid w:val="00170163"/>
    <w:rsid w:val="00170191"/>
    <w:rsid w:val="0017302D"/>
    <w:rsid w:val="001846AE"/>
    <w:rsid w:val="001870A7"/>
    <w:rsid w:val="00190E05"/>
    <w:rsid w:val="00192573"/>
    <w:rsid w:val="00193067"/>
    <w:rsid w:val="001936D5"/>
    <w:rsid w:val="001938CB"/>
    <w:rsid w:val="00194198"/>
    <w:rsid w:val="00194D8C"/>
    <w:rsid w:val="00194F2A"/>
    <w:rsid w:val="00195A10"/>
    <w:rsid w:val="00196A9F"/>
    <w:rsid w:val="001A0A74"/>
    <w:rsid w:val="001A42FD"/>
    <w:rsid w:val="001B260A"/>
    <w:rsid w:val="001B7F82"/>
    <w:rsid w:val="001C2E37"/>
    <w:rsid w:val="001C5191"/>
    <w:rsid w:val="001C6FDC"/>
    <w:rsid w:val="001D16C7"/>
    <w:rsid w:val="001D1F6A"/>
    <w:rsid w:val="001D43FB"/>
    <w:rsid w:val="001D4880"/>
    <w:rsid w:val="001D5B33"/>
    <w:rsid w:val="001D6547"/>
    <w:rsid w:val="001D74BB"/>
    <w:rsid w:val="001D74F8"/>
    <w:rsid w:val="001E0487"/>
    <w:rsid w:val="001E13E6"/>
    <w:rsid w:val="001E1CBF"/>
    <w:rsid w:val="001E7FA5"/>
    <w:rsid w:val="001F073F"/>
    <w:rsid w:val="001F0FEA"/>
    <w:rsid w:val="001F140F"/>
    <w:rsid w:val="001F1863"/>
    <w:rsid w:val="001F3758"/>
    <w:rsid w:val="001F37EF"/>
    <w:rsid w:val="001F52D0"/>
    <w:rsid w:val="002014C8"/>
    <w:rsid w:val="002022CA"/>
    <w:rsid w:val="00205D79"/>
    <w:rsid w:val="002067F1"/>
    <w:rsid w:val="00215173"/>
    <w:rsid w:val="0022331B"/>
    <w:rsid w:val="00227DEC"/>
    <w:rsid w:val="002308DC"/>
    <w:rsid w:val="002310A5"/>
    <w:rsid w:val="00231292"/>
    <w:rsid w:val="00232BAD"/>
    <w:rsid w:val="002403E2"/>
    <w:rsid w:val="0024041F"/>
    <w:rsid w:val="00240E84"/>
    <w:rsid w:val="00241E1B"/>
    <w:rsid w:val="002422D6"/>
    <w:rsid w:val="002451B3"/>
    <w:rsid w:val="0025240B"/>
    <w:rsid w:val="00252F8F"/>
    <w:rsid w:val="00255A05"/>
    <w:rsid w:val="002608BA"/>
    <w:rsid w:val="00260E09"/>
    <w:rsid w:val="002622C3"/>
    <w:rsid w:val="0026593E"/>
    <w:rsid w:val="00266039"/>
    <w:rsid w:val="0026621E"/>
    <w:rsid w:val="00267A97"/>
    <w:rsid w:val="00272CC1"/>
    <w:rsid w:val="00273207"/>
    <w:rsid w:val="00274E7C"/>
    <w:rsid w:val="00275A62"/>
    <w:rsid w:val="002762F7"/>
    <w:rsid w:val="00276F48"/>
    <w:rsid w:val="00281121"/>
    <w:rsid w:val="00284397"/>
    <w:rsid w:val="00284AD2"/>
    <w:rsid w:val="002867D6"/>
    <w:rsid w:val="00287331"/>
    <w:rsid w:val="0029016D"/>
    <w:rsid w:val="002936F0"/>
    <w:rsid w:val="00294087"/>
    <w:rsid w:val="0029490D"/>
    <w:rsid w:val="00294BF1"/>
    <w:rsid w:val="002950DC"/>
    <w:rsid w:val="002A1E00"/>
    <w:rsid w:val="002A3C0C"/>
    <w:rsid w:val="002A6E14"/>
    <w:rsid w:val="002A6E3C"/>
    <w:rsid w:val="002A7333"/>
    <w:rsid w:val="002A7464"/>
    <w:rsid w:val="002B2251"/>
    <w:rsid w:val="002B2D61"/>
    <w:rsid w:val="002B637D"/>
    <w:rsid w:val="002B6B71"/>
    <w:rsid w:val="002B775C"/>
    <w:rsid w:val="002B7B55"/>
    <w:rsid w:val="002B7E5A"/>
    <w:rsid w:val="002C119E"/>
    <w:rsid w:val="002C220A"/>
    <w:rsid w:val="002D06EE"/>
    <w:rsid w:val="002D0D89"/>
    <w:rsid w:val="002D1759"/>
    <w:rsid w:val="002D2847"/>
    <w:rsid w:val="002D305F"/>
    <w:rsid w:val="002D4B20"/>
    <w:rsid w:val="002D6A35"/>
    <w:rsid w:val="002D75CB"/>
    <w:rsid w:val="002D7F92"/>
    <w:rsid w:val="002E04A5"/>
    <w:rsid w:val="002E1E7A"/>
    <w:rsid w:val="002E2731"/>
    <w:rsid w:val="002E434A"/>
    <w:rsid w:val="002E7E54"/>
    <w:rsid w:val="002F1A36"/>
    <w:rsid w:val="002F30EB"/>
    <w:rsid w:val="002F53B9"/>
    <w:rsid w:val="002F566E"/>
    <w:rsid w:val="002F6398"/>
    <w:rsid w:val="002F7408"/>
    <w:rsid w:val="00302539"/>
    <w:rsid w:val="00302563"/>
    <w:rsid w:val="003029F7"/>
    <w:rsid w:val="00303923"/>
    <w:rsid w:val="00311719"/>
    <w:rsid w:val="003141F3"/>
    <w:rsid w:val="003153A4"/>
    <w:rsid w:val="003157EA"/>
    <w:rsid w:val="0031688C"/>
    <w:rsid w:val="0032156D"/>
    <w:rsid w:val="00321EE6"/>
    <w:rsid w:val="00322211"/>
    <w:rsid w:val="00323DAF"/>
    <w:rsid w:val="003257AE"/>
    <w:rsid w:val="003267A5"/>
    <w:rsid w:val="003267CA"/>
    <w:rsid w:val="0032692E"/>
    <w:rsid w:val="00326C13"/>
    <w:rsid w:val="00327FDA"/>
    <w:rsid w:val="00330023"/>
    <w:rsid w:val="003333C6"/>
    <w:rsid w:val="00333559"/>
    <w:rsid w:val="00333F9D"/>
    <w:rsid w:val="00334F66"/>
    <w:rsid w:val="00337DBE"/>
    <w:rsid w:val="00340F30"/>
    <w:rsid w:val="00347319"/>
    <w:rsid w:val="0035004F"/>
    <w:rsid w:val="00350050"/>
    <w:rsid w:val="00352968"/>
    <w:rsid w:val="003533E7"/>
    <w:rsid w:val="00355EFA"/>
    <w:rsid w:val="00356A01"/>
    <w:rsid w:val="00356AD3"/>
    <w:rsid w:val="003625E9"/>
    <w:rsid w:val="00363070"/>
    <w:rsid w:val="003651A9"/>
    <w:rsid w:val="00367A96"/>
    <w:rsid w:val="003703E6"/>
    <w:rsid w:val="003725B7"/>
    <w:rsid w:val="0037423D"/>
    <w:rsid w:val="003805B5"/>
    <w:rsid w:val="00381124"/>
    <w:rsid w:val="00381290"/>
    <w:rsid w:val="00381454"/>
    <w:rsid w:val="003825D0"/>
    <w:rsid w:val="00382A9D"/>
    <w:rsid w:val="0038365D"/>
    <w:rsid w:val="00383C8D"/>
    <w:rsid w:val="00387174"/>
    <w:rsid w:val="0039048B"/>
    <w:rsid w:val="00393401"/>
    <w:rsid w:val="0039380D"/>
    <w:rsid w:val="003A017E"/>
    <w:rsid w:val="003A1CBC"/>
    <w:rsid w:val="003A4B1C"/>
    <w:rsid w:val="003A5602"/>
    <w:rsid w:val="003A58F3"/>
    <w:rsid w:val="003A7A81"/>
    <w:rsid w:val="003B3AF1"/>
    <w:rsid w:val="003B540F"/>
    <w:rsid w:val="003C10F8"/>
    <w:rsid w:val="003C1E15"/>
    <w:rsid w:val="003C2C8C"/>
    <w:rsid w:val="003C503A"/>
    <w:rsid w:val="003E07E5"/>
    <w:rsid w:val="003E092C"/>
    <w:rsid w:val="003E153E"/>
    <w:rsid w:val="003E46A5"/>
    <w:rsid w:val="003E7FF0"/>
    <w:rsid w:val="003F1ABF"/>
    <w:rsid w:val="00400C5A"/>
    <w:rsid w:val="00404DE5"/>
    <w:rsid w:val="00405682"/>
    <w:rsid w:val="00412C7C"/>
    <w:rsid w:val="00413203"/>
    <w:rsid w:val="00414616"/>
    <w:rsid w:val="00416201"/>
    <w:rsid w:val="00420FF8"/>
    <w:rsid w:val="00421080"/>
    <w:rsid w:val="00422B71"/>
    <w:rsid w:val="00427CF0"/>
    <w:rsid w:val="00433977"/>
    <w:rsid w:val="004357AF"/>
    <w:rsid w:val="00435C5C"/>
    <w:rsid w:val="00437395"/>
    <w:rsid w:val="004374DB"/>
    <w:rsid w:val="00443097"/>
    <w:rsid w:val="00443FBD"/>
    <w:rsid w:val="004446DC"/>
    <w:rsid w:val="0044658D"/>
    <w:rsid w:val="0045475B"/>
    <w:rsid w:val="00454D5E"/>
    <w:rsid w:val="00456FBD"/>
    <w:rsid w:val="0046354A"/>
    <w:rsid w:val="00464A9A"/>
    <w:rsid w:val="00464C50"/>
    <w:rsid w:val="0046512D"/>
    <w:rsid w:val="00470E71"/>
    <w:rsid w:val="00473488"/>
    <w:rsid w:val="0047456D"/>
    <w:rsid w:val="0047763B"/>
    <w:rsid w:val="0047782E"/>
    <w:rsid w:val="00477BB0"/>
    <w:rsid w:val="00477F4F"/>
    <w:rsid w:val="0048008B"/>
    <w:rsid w:val="0048521F"/>
    <w:rsid w:val="0048623F"/>
    <w:rsid w:val="00487782"/>
    <w:rsid w:val="00491AE3"/>
    <w:rsid w:val="00491BF0"/>
    <w:rsid w:val="004961CF"/>
    <w:rsid w:val="004979D4"/>
    <w:rsid w:val="004A00D6"/>
    <w:rsid w:val="004A16B7"/>
    <w:rsid w:val="004A4C03"/>
    <w:rsid w:val="004A736E"/>
    <w:rsid w:val="004A79CB"/>
    <w:rsid w:val="004B1111"/>
    <w:rsid w:val="004B1C0C"/>
    <w:rsid w:val="004B27A7"/>
    <w:rsid w:val="004B2A9A"/>
    <w:rsid w:val="004B3DA5"/>
    <w:rsid w:val="004B4520"/>
    <w:rsid w:val="004B67A4"/>
    <w:rsid w:val="004C305B"/>
    <w:rsid w:val="004C3316"/>
    <w:rsid w:val="004C5209"/>
    <w:rsid w:val="004D1556"/>
    <w:rsid w:val="004D2624"/>
    <w:rsid w:val="004D270C"/>
    <w:rsid w:val="004D4AD0"/>
    <w:rsid w:val="004E752E"/>
    <w:rsid w:val="004F09F5"/>
    <w:rsid w:val="004F2F5E"/>
    <w:rsid w:val="004F590B"/>
    <w:rsid w:val="004F5BDF"/>
    <w:rsid w:val="004F7B5A"/>
    <w:rsid w:val="004F7C00"/>
    <w:rsid w:val="004F7DE5"/>
    <w:rsid w:val="004F7F03"/>
    <w:rsid w:val="00500058"/>
    <w:rsid w:val="00501AB6"/>
    <w:rsid w:val="0050791D"/>
    <w:rsid w:val="00507974"/>
    <w:rsid w:val="00507DAC"/>
    <w:rsid w:val="00512243"/>
    <w:rsid w:val="00512F10"/>
    <w:rsid w:val="00514C3F"/>
    <w:rsid w:val="005152BF"/>
    <w:rsid w:val="0051731E"/>
    <w:rsid w:val="00521120"/>
    <w:rsid w:val="005231CA"/>
    <w:rsid w:val="005267B2"/>
    <w:rsid w:val="005276F5"/>
    <w:rsid w:val="00531AE3"/>
    <w:rsid w:val="00532A4F"/>
    <w:rsid w:val="00532B9A"/>
    <w:rsid w:val="0053408B"/>
    <w:rsid w:val="0054457A"/>
    <w:rsid w:val="00550D08"/>
    <w:rsid w:val="00551A9A"/>
    <w:rsid w:val="00552950"/>
    <w:rsid w:val="005568ED"/>
    <w:rsid w:val="005601ED"/>
    <w:rsid w:val="0056280C"/>
    <w:rsid w:val="00567482"/>
    <w:rsid w:val="00570B90"/>
    <w:rsid w:val="00571CC8"/>
    <w:rsid w:val="005807C0"/>
    <w:rsid w:val="00583CCA"/>
    <w:rsid w:val="00593694"/>
    <w:rsid w:val="005950BC"/>
    <w:rsid w:val="005A1EC6"/>
    <w:rsid w:val="005A371E"/>
    <w:rsid w:val="005A3ACB"/>
    <w:rsid w:val="005A3FBE"/>
    <w:rsid w:val="005A4B46"/>
    <w:rsid w:val="005A5740"/>
    <w:rsid w:val="005A5BA9"/>
    <w:rsid w:val="005A772E"/>
    <w:rsid w:val="005B08E8"/>
    <w:rsid w:val="005B09AF"/>
    <w:rsid w:val="005B0D31"/>
    <w:rsid w:val="005B4E5D"/>
    <w:rsid w:val="005B59AD"/>
    <w:rsid w:val="005B60C7"/>
    <w:rsid w:val="005C28FC"/>
    <w:rsid w:val="005C2CC8"/>
    <w:rsid w:val="005C60ED"/>
    <w:rsid w:val="005C71A4"/>
    <w:rsid w:val="005D330F"/>
    <w:rsid w:val="005D6376"/>
    <w:rsid w:val="005D6B9B"/>
    <w:rsid w:val="005D7F0C"/>
    <w:rsid w:val="005E47DC"/>
    <w:rsid w:val="005E7E36"/>
    <w:rsid w:val="005E7F80"/>
    <w:rsid w:val="005F13F3"/>
    <w:rsid w:val="005F68F2"/>
    <w:rsid w:val="005F6D61"/>
    <w:rsid w:val="00600C1D"/>
    <w:rsid w:val="0060393E"/>
    <w:rsid w:val="00603EE5"/>
    <w:rsid w:val="006045E7"/>
    <w:rsid w:val="00605ECD"/>
    <w:rsid w:val="0060757A"/>
    <w:rsid w:val="00607744"/>
    <w:rsid w:val="00610FCF"/>
    <w:rsid w:val="0061174D"/>
    <w:rsid w:val="00613284"/>
    <w:rsid w:val="006150B3"/>
    <w:rsid w:val="006223C5"/>
    <w:rsid w:val="006228FE"/>
    <w:rsid w:val="00623E8E"/>
    <w:rsid w:val="006258A0"/>
    <w:rsid w:val="00626CA9"/>
    <w:rsid w:val="00630984"/>
    <w:rsid w:val="00632188"/>
    <w:rsid w:val="00632E21"/>
    <w:rsid w:val="006339B7"/>
    <w:rsid w:val="00634609"/>
    <w:rsid w:val="00635DD9"/>
    <w:rsid w:val="00640561"/>
    <w:rsid w:val="00641F88"/>
    <w:rsid w:val="00643580"/>
    <w:rsid w:val="00644206"/>
    <w:rsid w:val="00645599"/>
    <w:rsid w:val="00650FF8"/>
    <w:rsid w:val="00660A88"/>
    <w:rsid w:val="00660EEB"/>
    <w:rsid w:val="006639E5"/>
    <w:rsid w:val="00665417"/>
    <w:rsid w:val="006661B7"/>
    <w:rsid w:val="00666530"/>
    <w:rsid w:val="00666903"/>
    <w:rsid w:val="00667BB8"/>
    <w:rsid w:val="00667F89"/>
    <w:rsid w:val="00670BF7"/>
    <w:rsid w:val="00674F02"/>
    <w:rsid w:val="00675261"/>
    <w:rsid w:val="00681D80"/>
    <w:rsid w:val="00682E01"/>
    <w:rsid w:val="0068355B"/>
    <w:rsid w:val="00684FAF"/>
    <w:rsid w:val="00685361"/>
    <w:rsid w:val="00685D3A"/>
    <w:rsid w:val="00686448"/>
    <w:rsid w:val="0069152C"/>
    <w:rsid w:val="00691566"/>
    <w:rsid w:val="00693F41"/>
    <w:rsid w:val="006A1D3B"/>
    <w:rsid w:val="006A50F5"/>
    <w:rsid w:val="006B4D1C"/>
    <w:rsid w:val="006B5C32"/>
    <w:rsid w:val="006B68EB"/>
    <w:rsid w:val="006B7DBA"/>
    <w:rsid w:val="006C0062"/>
    <w:rsid w:val="006C1C33"/>
    <w:rsid w:val="006C2F7F"/>
    <w:rsid w:val="006C33B4"/>
    <w:rsid w:val="006C358A"/>
    <w:rsid w:val="006C3BB2"/>
    <w:rsid w:val="006C54D6"/>
    <w:rsid w:val="006C5AEA"/>
    <w:rsid w:val="006D2D91"/>
    <w:rsid w:val="006D3708"/>
    <w:rsid w:val="006D3FE2"/>
    <w:rsid w:val="006D3FFD"/>
    <w:rsid w:val="006D4076"/>
    <w:rsid w:val="006D532A"/>
    <w:rsid w:val="006D61FD"/>
    <w:rsid w:val="006D6C05"/>
    <w:rsid w:val="006E494C"/>
    <w:rsid w:val="006E502E"/>
    <w:rsid w:val="006E712F"/>
    <w:rsid w:val="006F150B"/>
    <w:rsid w:val="006F1E5F"/>
    <w:rsid w:val="006F5C82"/>
    <w:rsid w:val="006F6C1F"/>
    <w:rsid w:val="006F7085"/>
    <w:rsid w:val="006F7272"/>
    <w:rsid w:val="006F7F3B"/>
    <w:rsid w:val="0070278F"/>
    <w:rsid w:val="00703E05"/>
    <w:rsid w:val="00705F1A"/>
    <w:rsid w:val="00712D53"/>
    <w:rsid w:val="0071367B"/>
    <w:rsid w:val="0071543A"/>
    <w:rsid w:val="007162D6"/>
    <w:rsid w:val="00717BD9"/>
    <w:rsid w:val="00721ED5"/>
    <w:rsid w:val="007253D3"/>
    <w:rsid w:val="00726688"/>
    <w:rsid w:val="007271D2"/>
    <w:rsid w:val="00733BE2"/>
    <w:rsid w:val="00736045"/>
    <w:rsid w:val="0073621B"/>
    <w:rsid w:val="007402CE"/>
    <w:rsid w:val="00742AA2"/>
    <w:rsid w:val="00746915"/>
    <w:rsid w:val="00747150"/>
    <w:rsid w:val="0074734A"/>
    <w:rsid w:val="00752677"/>
    <w:rsid w:val="007544A0"/>
    <w:rsid w:val="007560DA"/>
    <w:rsid w:val="00756AC8"/>
    <w:rsid w:val="007609A4"/>
    <w:rsid w:val="00761314"/>
    <w:rsid w:val="007631D0"/>
    <w:rsid w:val="007643FB"/>
    <w:rsid w:val="00766271"/>
    <w:rsid w:val="00773A4E"/>
    <w:rsid w:val="00774B89"/>
    <w:rsid w:val="00775D09"/>
    <w:rsid w:val="00776ED0"/>
    <w:rsid w:val="007802A7"/>
    <w:rsid w:val="00782A1C"/>
    <w:rsid w:val="00784ABD"/>
    <w:rsid w:val="007930B8"/>
    <w:rsid w:val="00794F4D"/>
    <w:rsid w:val="00795292"/>
    <w:rsid w:val="00796D4F"/>
    <w:rsid w:val="007A152B"/>
    <w:rsid w:val="007A189A"/>
    <w:rsid w:val="007A1DA9"/>
    <w:rsid w:val="007A2597"/>
    <w:rsid w:val="007A3ADC"/>
    <w:rsid w:val="007A3FA3"/>
    <w:rsid w:val="007A4304"/>
    <w:rsid w:val="007A4A48"/>
    <w:rsid w:val="007A6919"/>
    <w:rsid w:val="007B6158"/>
    <w:rsid w:val="007B657B"/>
    <w:rsid w:val="007B74BC"/>
    <w:rsid w:val="007B7E64"/>
    <w:rsid w:val="007C2EC4"/>
    <w:rsid w:val="007C3B76"/>
    <w:rsid w:val="007C7785"/>
    <w:rsid w:val="007D0571"/>
    <w:rsid w:val="007D0C0D"/>
    <w:rsid w:val="007D1D38"/>
    <w:rsid w:val="007D23B7"/>
    <w:rsid w:val="007D4A56"/>
    <w:rsid w:val="007D6EE0"/>
    <w:rsid w:val="007E00C3"/>
    <w:rsid w:val="007E1904"/>
    <w:rsid w:val="007E2448"/>
    <w:rsid w:val="007E59AC"/>
    <w:rsid w:val="007E5F38"/>
    <w:rsid w:val="007F17CC"/>
    <w:rsid w:val="007F1B2E"/>
    <w:rsid w:val="007F3168"/>
    <w:rsid w:val="007F3278"/>
    <w:rsid w:val="007F5031"/>
    <w:rsid w:val="00800F41"/>
    <w:rsid w:val="0080151F"/>
    <w:rsid w:val="00802D29"/>
    <w:rsid w:val="00806966"/>
    <w:rsid w:val="00806EF4"/>
    <w:rsid w:val="00811200"/>
    <w:rsid w:val="00812CB8"/>
    <w:rsid w:val="00816AEE"/>
    <w:rsid w:val="008205CA"/>
    <w:rsid w:val="0082307C"/>
    <w:rsid w:val="00823860"/>
    <w:rsid w:val="00823F40"/>
    <w:rsid w:val="00824BCC"/>
    <w:rsid w:val="00827E98"/>
    <w:rsid w:val="00832C06"/>
    <w:rsid w:val="008330C7"/>
    <w:rsid w:val="00834A9F"/>
    <w:rsid w:val="008370C1"/>
    <w:rsid w:val="00847238"/>
    <w:rsid w:val="008472DB"/>
    <w:rsid w:val="008556ED"/>
    <w:rsid w:val="00855C0D"/>
    <w:rsid w:val="008567C1"/>
    <w:rsid w:val="008568A0"/>
    <w:rsid w:val="008626DD"/>
    <w:rsid w:val="008634E0"/>
    <w:rsid w:val="00864027"/>
    <w:rsid w:val="00864EAE"/>
    <w:rsid w:val="00865C4C"/>
    <w:rsid w:val="0086687E"/>
    <w:rsid w:val="00866C06"/>
    <w:rsid w:val="008671F1"/>
    <w:rsid w:val="00867A95"/>
    <w:rsid w:val="00867CBC"/>
    <w:rsid w:val="008723C1"/>
    <w:rsid w:val="00873427"/>
    <w:rsid w:val="0087385D"/>
    <w:rsid w:val="00873D5D"/>
    <w:rsid w:val="00874F59"/>
    <w:rsid w:val="008778F0"/>
    <w:rsid w:val="00880875"/>
    <w:rsid w:val="00881988"/>
    <w:rsid w:val="00882F92"/>
    <w:rsid w:val="00883588"/>
    <w:rsid w:val="00884371"/>
    <w:rsid w:val="00885994"/>
    <w:rsid w:val="0089157C"/>
    <w:rsid w:val="008924AC"/>
    <w:rsid w:val="008A26E9"/>
    <w:rsid w:val="008A44E4"/>
    <w:rsid w:val="008A4AF4"/>
    <w:rsid w:val="008A63EF"/>
    <w:rsid w:val="008B0BC1"/>
    <w:rsid w:val="008B0D11"/>
    <w:rsid w:val="008B20ED"/>
    <w:rsid w:val="008B7421"/>
    <w:rsid w:val="008C0B7A"/>
    <w:rsid w:val="008C333D"/>
    <w:rsid w:val="008C3BA5"/>
    <w:rsid w:val="008C5635"/>
    <w:rsid w:val="008D2E01"/>
    <w:rsid w:val="008E0D43"/>
    <w:rsid w:val="008E2582"/>
    <w:rsid w:val="008E5034"/>
    <w:rsid w:val="008F0CB1"/>
    <w:rsid w:val="008F212D"/>
    <w:rsid w:val="008F26C5"/>
    <w:rsid w:val="008F4B0D"/>
    <w:rsid w:val="008F5488"/>
    <w:rsid w:val="008F570B"/>
    <w:rsid w:val="008F693C"/>
    <w:rsid w:val="00901699"/>
    <w:rsid w:val="00901D57"/>
    <w:rsid w:val="00903A97"/>
    <w:rsid w:val="00903F0B"/>
    <w:rsid w:val="00903F81"/>
    <w:rsid w:val="00905CA2"/>
    <w:rsid w:val="0091139C"/>
    <w:rsid w:val="009114D7"/>
    <w:rsid w:val="0091450D"/>
    <w:rsid w:val="00914F28"/>
    <w:rsid w:val="00917D33"/>
    <w:rsid w:val="009202BE"/>
    <w:rsid w:val="00921F9A"/>
    <w:rsid w:val="00925389"/>
    <w:rsid w:val="00926D61"/>
    <w:rsid w:val="00931963"/>
    <w:rsid w:val="00934994"/>
    <w:rsid w:val="00936761"/>
    <w:rsid w:val="00937D6D"/>
    <w:rsid w:val="00937FC7"/>
    <w:rsid w:val="009407A3"/>
    <w:rsid w:val="0094155A"/>
    <w:rsid w:val="0094240D"/>
    <w:rsid w:val="00942540"/>
    <w:rsid w:val="0094312D"/>
    <w:rsid w:val="00943368"/>
    <w:rsid w:val="00943ABB"/>
    <w:rsid w:val="00943B11"/>
    <w:rsid w:val="009447A1"/>
    <w:rsid w:val="00960DF2"/>
    <w:rsid w:val="0096551F"/>
    <w:rsid w:val="00966076"/>
    <w:rsid w:val="00966535"/>
    <w:rsid w:val="0096689E"/>
    <w:rsid w:val="009710C5"/>
    <w:rsid w:val="009715FA"/>
    <w:rsid w:val="00973E40"/>
    <w:rsid w:val="00974B66"/>
    <w:rsid w:val="0097532A"/>
    <w:rsid w:val="00980108"/>
    <w:rsid w:val="00984FF6"/>
    <w:rsid w:val="00985197"/>
    <w:rsid w:val="00985377"/>
    <w:rsid w:val="00986706"/>
    <w:rsid w:val="00986C58"/>
    <w:rsid w:val="009870DC"/>
    <w:rsid w:val="00990F49"/>
    <w:rsid w:val="00991474"/>
    <w:rsid w:val="009939DA"/>
    <w:rsid w:val="00994C05"/>
    <w:rsid w:val="009950B9"/>
    <w:rsid w:val="009960E9"/>
    <w:rsid w:val="00996E2D"/>
    <w:rsid w:val="009976BA"/>
    <w:rsid w:val="009A3576"/>
    <w:rsid w:val="009A52CE"/>
    <w:rsid w:val="009A5308"/>
    <w:rsid w:val="009A5E7C"/>
    <w:rsid w:val="009A7524"/>
    <w:rsid w:val="009B572B"/>
    <w:rsid w:val="009B63BC"/>
    <w:rsid w:val="009C0278"/>
    <w:rsid w:val="009C0CDB"/>
    <w:rsid w:val="009C41A7"/>
    <w:rsid w:val="009C427D"/>
    <w:rsid w:val="009C439C"/>
    <w:rsid w:val="009C6577"/>
    <w:rsid w:val="009C68CC"/>
    <w:rsid w:val="009C77C9"/>
    <w:rsid w:val="009C7E69"/>
    <w:rsid w:val="009D0987"/>
    <w:rsid w:val="009D2159"/>
    <w:rsid w:val="009D2D60"/>
    <w:rsid w:val="009E3520"/>
    <w:rsid w:val="009E3537"/>
    <w:rsid w:val="009E3DC9"/>
    <w:rsid w:val="009E4E55"/>
    <w:rsid w:val="009E75D5"/>
    <w:rsid w:val="009F0656"/>
    <w:rsid w:val="009F11F2"/>
    <w:rsid w:val="009F14EA"/>
    <w:rsid w:val="009F2027"/>
    <w:rsid w:val="009F3F43"/>
    <w:rsid w:val="009F6013"/>
    <w:rsid w:val="009F70E6"/>
    <w:rsid w:val="00A040A0"/>
    <w:rsid w:val="00A0492F"/>
    <w:rsid w:val="00A05966"/>
    <w:rsid w:val="00A108BC"/>
    <w:rsid w:val="00A1165B"/>
    <w:rsid w:val="00A11943"/>
    <w:rsid w:val="00A12317"/>
    <w:rsid w:val="00A15A80"/>
    <w:rsid w:val="00A16F4B"/>
    <w:rsid w:val="00A17237"/>
    <w:rsid w:val="00A1739F"/>
    <w:rsid w:val="00A17F51"/>
    <w:rsid w:val="00A22CDD"/>
    <w:rsid w:val="00A23B6C"/>
    <w:rsid w:val="00A2558C"/>
    <w:rsid w:val="00A3072B"/>
    <w:rsid w:val="00A31055"/>
    <w:rsid w:val="00A31BF5"/>
    <w:rsid w:val="00A3432D"/>
    <w:rsid w:val="00A35F85"/>
    <w:rsid w:val="00A42069"/>
    <w:rsid w:val="00A447B8"/>
    <w:rsid w:val="00A44B9D"/>
    <w:rsid w:val="00A46AC8"/>
    <w:rsid w:val="00A46C23"/>
    <w:rsid w:val="00A46EF4"/>
    <w:rsid w:val="00A47733"/>
    <w:rsid w:val="00A50FBA"/>
    <w:rsid w:val="00A56B46"/>
    <w:rsid w:val="00A574C8"/>
    <w:rsid w:val="00A6092B"/>
    <w:rsid w:val="00A63BC0"/>
    <w:rsid w:val="00A64F97"/>
    <w:rsid w:val="00A700AD"/>
    <w:rsid w:val="00A70E65"/>
    <w:rsid w:val="00A72913"/>
    <w:rsid w:val="00A73D96"/>
    <w:rsid w:val="00A748E7"/>
    <w:rsid w:val="00A77389"/>
    <w:rsid w:val="00A812E7"/>
    <w:rsid w:val="00A81AEC"/>
    <w:rsid w:val="00A832FA"/>
    <w:rsid w:val="00A83AD5"/>
    <w:rsid w:val="00A8467D"/>
    <w:rsid w:val="00A8560E"/>
    <w:rsid w:val="00A878B3"/>
    <w:rsid w:val="00A96790"/>
    <w:rsid w:val="00A96AF0"/>
    <w:rsid w:val="00A97A26"/>
    <w:rsid w:val="00AA03D6"/>
    <w:rsid w:val="00AA282F"/>
    <w:rsid w:val="00AB0CA0"/>
    <w:rsid w:val="00AB1DE4"/>
    <w:rsid w:val="00AB26DF"/>
    <w:rsid w:val="00AB3C35"/>
    <w:rsid w:val="00AB4D69"/>
    <w:rsid w:val="00AB6054"/>
    <w:rsid w:val="00AB67D1"/>
    <w:rsid w:val="00AB6AF5"/>
    <w:rsid w:val="00AC129C"/>
    <w:rsid w:val="00AC2097"/>
    <w:rsid w:val="00AC427B"/>
    <w:rsid w:val="00AC5B36"/>
    <w:rsid w:val="00AC6DD3"/>
    <w:rsid w:val="00AD3EF1"/>
    <w:rsid w:val="00AD713D"/>
    <w:rsid w:val="00AE0EC5"/>
    <w:rsid w:val="00AE11E4"/>
    <w:rsid w:val="00AE20FB"/>
    <w:rsid w:val="00AE4A07"/>
    <w:rsid w:val="00AE64C5"/>
    <w:rsid w:val="00AE6E79"/>
    <w:rsid w:val="00AE7139"/>
    <w:rsid w:val="00AE75BB"/>
    <w:rsid w:val="00AF475C"/>
    <w:rsid w:val="00AF52C5"/>
    <w:rsid w:val="00AF5E35"/>
    <w:rsid w:val="00AF67F6"/>
    <w:rsid w:val="00AF6FAC"/>
    <w:rsid w:val="00B008D8"/>
    <w:rsid w:val="00B02EB7"/>
    <w:rsid w:val="00B125B8"/>
    <w:rsid w:val="00B1450E"/>
    <w:rsid w:val="00B14D15"/>
    <w:rsid w:val="00B15448"/>
    <w:rsid w:val="00B2076B"/>
    <w:rsid w:val="00B21ACE"/>
    <w:rsid w:val="00B23677"/>
    <w:rsid w:val="00B26000"/>
    <w:rsid w:val="00B313C8"/>
    <w:rsid w:val="00B31C62"/>
    <w:rsid w:val="00B32423"/>
    <w:rsid w:val="00B34F5D"/>
    <w:rsid w:val="00B4154B"/>
    <w:rsid w:val="00B4327A"/>
    <w:rsid w:val="00B479A1"/>
    <w:rsid w:val="00B51AA5"/>
    <w:rsid w:val="00B53722"/>
    <w:rsid w:val="00B5471D"/>
    <w:rsid w:val="00B5546C"/>
    <w:rsid w:val="00B56EE2"/>
    <w:rsid w:val="00B574E3"/>
    <w:rsid w:val="00B57551"/>
    <w:rsid w:val="00B618AE"/>
    <w:rsid w:val="00B61B7C"/>
    <w:rsid w:val="00B626EB"/>
    <w:rsid w:val="00B65476"/>
    <w:rsid w:val="00B66C5E"/>
    <w:rsid w:val="00B66E80"/>
    <w:rsid w:val="00B70051"/>
    <w:rsid w:val="00B71A5E"/>
    <w:rsid w:val="00B71CE8"/>
    <w:rsid w:val="00B730FC"/>
    <w:rsid w:val="00B748BB"/>
    <w:rsid w:val="00B75CBE"/>
    <w:rsid w:val="00B76C8F"/>
    <w:rsid w:val="00B77EE8"/>
    <w:rsid w:val="00B8402B"/>
    <w:rsid w:val="00B84578"/>
    <w:rsid w:val="00B8494D"/>
    <w:rsid w:val="00B850C4"/>
    <w:rsid w:val="00B8672F"/>
    <w:rsid w:val="00B87331"/>
    <w:rsid w:val="00B92C89"/>
    <w:rsid w:val="00B92FD4"/>
    <w:rsid w:val="00B961AE"/>
    <w:rsid w:val="00BA071A"/>
    <w:rsid w:val="00BA0F59"/>
    <w:rsid w:val="00BA3205"/>
    <w:rsid w:val="00BA4D7F"/>
    <w:rsid w:val="00BA66A2"/>
    <w:rsid w:val="00BA6AA1"/>
    <w:rsid w:val="00BB0E7D"/>
    <w:rsid w:val="00BB2BD9"/>
    <w:rsid w:val="00BB4743"/>
    <w:rsid w:val="00BB7BB2"/>
    <w:rsid w:val="00BC3215"/>
    <w:rsid w:val="00BC434F"/>
    <w:rsid w:val="00BC4AA2"/>
    <w:rsid w:val="00BC5563"/>
    <w:rsid w:val="00BC60CA"/>
    <w:rsid w:val="00BD024D"/>
    <w:rsid w:val="00BD041E"/>
    <w:rsid w:val="00BD162C"/>
    <w:rsid w:val="00BD23D6"/>
    <w:rsid w:val="00BD3A0E"/>
    <w:rsid w:val="00BD7385"/>
    <w:rsid w:val="00BE200B"/>
    <w:rsid w:val="00BE21E3"/>
    <w:rsid w:val="00BE5227"/>
    <w:rsid w:val="00BE6585"/>
    <w:rsid w:val="00BE79F5"/>
    <w:rsid w:val="00BE7CBD"/>
    <w:rsid w:val="00BF08EB"/>
    <w:rsid w:val="00BF3051"/>
    <w:rsid w:val="00BF3338"/>
    <w:rsid w:val="00BF704D"/>
    <w:rsid w:val="00BF7B65"/>
    <w:rsid w:val="00C0286E"/>
    <w:rsid w:val="00C035EF"/>
    <w:rsid w:val="00C05984"/>
    <w:rsid w:val="00C06A74"/>
    <w:rsid w:val="00C1094A"/>
    <w:rsid w:val="00C16437"/>
    <w:rsid w:val="00C1796C"/>
    <w:rsid w:val="00C207BC"/>
    <w:rsid w:val="00C21DE4"/>
    <w:rsid w:val="00C230B5"/>
    <w:rsid w:val="00C23C5D"/>
    <w:rsid w:val="00C2654C"/>
    <w:rsid w:val="00C303D9"/>
    <w:rsid w:val="00C34131"/>
    <w:rsid w:val="00C34252"/>
    <w:rsid w:val="00C377B7"/>
    <w:rsid w:val="00C412E3"/>
    <w:rsid w:val="00C420E0"/>
    <w:rsid w:val="00C42939"/>
    <w:rsid w:val="00C502C5"/>
    <w:rsid w:val="00C532AA"/>
    <w:rsid w:val="00C54F21"/>
    <w:rsid w:val="00C55655"/>
    <w:rsid w:val="00C56494"/>
    <w:rsid w:val="00C56693"/>
    <w:rsid w:val="00C57DDC"/>
    <w:rsid w:val="00C57EF9"/>
    <w:rsid w:val="00C607C1"/>
    <w:rsid w:val="00C63442"/>
    <w:rsid w:val="00C64FAA"/>
    <w:rsid w:val="00C65744"/>
    <w:rsid w:val="00C67548"/>
    <w:rsid w:val="00C73800"/>
    <w:rsid w:val="00C7513E"/>
    <w:rsid w:val="00C7560E"/>
    <w:rsid w:val="00C760F9"/>
    <w:rsid w:val="00C810D6"/>
    <w:rsid w:val="00C8197E"/>
    <w:rsid w:val="00C8287F"/>
    <w:rsid w:val="00C840CE"/>
    <w:rsid w:val="00C84EB8"/>
    <w:rsid w:val="00C86219"/>
    <w:rsid w:val="00C8690E"/>
    <w:rsid w:val="00C86B46"/>
    <w:rsid w:val="00C872FA"/>
    <w:rsid w:val="00C873EE"/>
    <w:rsid w:val="00C91508"/>
    <w:rsid w:val="00C945AE"/>
    <w:rsid w:val="00C95507"/>
    <w:rsid w:val="00C95573"/>
    <w:rsid w:val="00C96A12"/>
    <w:rsid w:val="00C96D02"/>
    <w:rsid w:val="00CA1692"/>
    <w:rsid w:val="00CA17F8"/>
    <w:rsid w:val="00CA4CA4"/>
    <w:rsid w:val="00CA6C19"/>
    <w:rsid w:val="00CB2AAC"/>
    <w:rsid w:val="00CB3E8E"/>
    <w:rsid w:val="00CB6303"/>
    <w:rsid w:val="00CC04E6"/>
    <w:rsid w:val="00CC07CF"/>
    <w:rsid w:val="00CC296C"/>
    <w:rsid w:val="00CC3B2F"/>
    <w:rsid w:val="00CC3F97"/>
    <w:rsid w:val="00CC49DB"/>
    <w:rsid w:val="00CC6DE8"/>
    <w:rsid w:val="00CC7E95"/>
    <w:rsid w:val="00CD279B"/>
    <w:rsid w:val="00CD2BFD"/>
    <w:rsid w:val="00CD313C"/>
    <w:rsid w:val="00CD3BEC"/>
    <w:rsid w:val="00CD6371"/>
    <w:rsid w:val="00CD69E0"/>
    <w:rsid w:val="00CD7595"/>
    <w:rsid w:val="00CD7636"/>
    <w:rsid w:val="00CD7BF7"/>
    <w:rsid w:val="00CE1CBA"/>
    <w:rsid w:val="00CE29F4"/>
    <w:rsid w:val="00CE6B14"/>
    <w:rsid w:val="00CE7010"/>
    <w:rsid w:val="00CF3251"/>
    <w:rsid w:val="00CF4CD0"/>
    <w:rsid w:val="00CF713E"/>
    <w:rsid w:val="00D01CB1"/>
    <w:rsid w:val="00D02483"/>
    <w:rsid w:val="00D0441A"/>
    <w:rsid w:val="00D049FF"/>
    <w:rsid w:val="00D2040E"/>
    <w:rsid w:val="00D20FA4"/>
    <w:rsid w:val="00D21A90"/>
    <w:rsid w:val="00D247E5"/>
    <w:rsid w:val="00D24B62"/>
    <w:rsid w:val="00D2642D"/>
    <w:rsid w:val="00D27975"/>
    <w:rsid w:val="00D27DE8"/>
    <w:rsid w:val="00D33D20"/>
    <w:rsid w:val="00D349D0"/>
    <w:rsid w:val="00D3513E"/>
    <w:rsid w:val="00D36067"/>
    <w:rsid w:val="00D368DB"/>
    <w:rsid w:val="00D36B35"/>
    <w:rsid w:val="00D401FD"/>
    <w:rsid w:val="00D40340"/>
    <w:rsid w:val="00D42491"/>
    <w:rsid w:val="00D42C50"/>
    <w:rsid w:val="00D436FD"/>
    <w:rsid w:val="00D46B9B"/>
    <w:rsid w:val="00D5212B"/>
    <w:rsid w:val="00D52C5D"/>
    <w:rsid w:val="00D53E10"/>
    <w:rsid w:val="00D550C7"/>
    <w:rsid w:val="00D57D7D"/>
    <w:rsid w:val="00D57E69"/>
    <w:rsid w:val="00D62A3D"/>
    <w:rsid w:val="00D63005"/>
    <w:rsid w:val="00D6328B"/>
    <w:rsid w:val="00D63CDB"/>
    <w:rsid w:val="00D6575C"/>
    <w:rsid w:val="00D67248"/>
    <w:rsid w:val="00D67B5E"/>
    <w:rsid w:val="00D70AC3"/>
    <w:rsid w:val="00D7207E"/>
    <w:rsid w:val="00D72BE5"/>
    <w:rsid w:val="00D73129"/>
    <w:rsid w:val="00D73215"/>
    <w:rsid w:val="00D742E7"/>
    <w:rsid w:val="00D762DD"/>
    <w:rsid w:val="00D7654B"/>
    <w:rsid w:val="00D77C9E"/>
    <w:rsid w:val="00D833DD"/>
    <w:rsid w:val="00D837D0"/>
    <w:rsid w:val="00D906BA"/>
    <w:rsid w:val="00D91FD3"/>
    <w:rsid w:val="00D93028"/>
    <w:rsid w:val="00D93478"/>
    <w:rsid w:val="00D96604"/>
    <w:rsid w:val="00DA1B23"/>
    <w:rsid w:val="00DA2CF6"/>
    <w:rsid w:val="00DA4A21"/>
    <w:rsid w:val="00DA521A"/>
    <w:rsid w:val="00DA5A79"/>
    <w:rsid w:val="00DA6349"/>
    <w:rsid w:val="00DB209E"/>
    <w:rsid w:val="00DB3CF8"/>
    <w:rsid w:val="00DB3D24"/>
    <w:rsid w:val="00DB5684"/>
    <w:rsid w:val="00DB601C"/>
    <w:rsid w:val="00DB6612"/>
    <w:rsid w:val="00DB7111"/>
    <w:rsid w:val="00DC0EA4"/>
    <w:rsid w:val="00DC3237"/>
    <w:rsid w:val="00DC7675"/>
    <w:rsid w:val="00DD01FF"/>
    <w:rsid w:val="00DD1B5E"/>
    <w:rsid w:val="00DD298E"/>
    <w:rsid w:val="00DD3FF5"/>
    <w:rsid w:val="00DD4731"/>
    <w:rsid w:val="00DD5240"/>
    <w:rsid w:val="00DD5D5E"/>
    <w:rsid w:val="00DD6221"/>
    <w:rsid w:val="00DD77F5"/>
    <w:rsid w:val="00DD7D33"/>
    <w:rsid w:val="00DE0109"/>
    <w:rsid w:val="00DE761E"/>
    <w:rsid w:val="00DF21F5"/>
    <w:rsid w:val="00DF3B3F"/>
    <w:rsid w:val="00DF50C4"/>
    <w:rsid w:val="00E00456"/>
    <w:rsid w:val="00E04D25"/>
    <w:rsid w:val="00E1225A"/>
    <w:rsid w:val="00E134E9"/>
    <w:rsid w:val="00E14223"/>
    <w:rsid w:val="00E14828"/>
    <w:rsid w:val="00E161A3"/>
    <w:rsid w:val="00E17822"/>
    <w:rsid w:val="00E17F20"/>
    <w:rsid w:val="00E2486D"/>
    <w:rsid w:val="00E24874"/>
    <w:rsid w:val="00E24D08"/>
    <w:rsid w:val="00E25BBF"/>
    <w:rsid w:val="00E2630E"/>
    <w:rsid w:val="00E26FEA"/>
    <w:rsid w:val="00E315E2"/>
    <w:rsid w:val="00E318D4"/>
    <w:rsid w:val="00E3249E"/>
    <w:rsid w:val="00E3300E"/>
    <w:rsid w:val="00E35938"/>
    <w:rsid w:val="00E3660B"/>
    <w:rsid w:val="00E36CF7"/>
    <w:rsid w:val="00E4172F"/>
    <w:rsid w:val="00E42764"/>
    <w:rsid w:val="00E44607"/>
    <w:rsid w:val="00E51611"/>
    <w:rsid w:val="00E5268F"/>
    <w:rsid w:val="00E53C98"/>
    <w:rsid w:val="00E546A6"/>
    <w:rsid w:val="00E60B99"/>
    <w:rsid w:val="00E62CFD"/>
    <w:rsid w:val="00E631A3"/>
    <w:rsid w:val="00E63764"/>
    <w:rsid w:val="00E6442B"/>
    <w:rsid w:val="00E66565"/>
    <w:rsid w:val="00E72DDB"/>
    <w:rsid w:val="00E73B03"/>
    <w:rsid w:val="00E823B9"/>
    <w:rsid w:val="00E84B40"/>
    <w:rsid w:val="00E91204"/>
    <w:rsid w:val="00E91E11"/>
    <w:rsid w:val="00E93F6E"/>
    <w:rsid w:val="00E952B9"/>
    <w:rsid w:val="00E95C96"/>
    <w:rsid w:val="00E97D06"/>
    <w:rsid w:val="00EA5F0D"/>
    <w:rsid w:val="00EA7D8B"/>
    <w:rsid w:val="00EB214E"/>
    <w:rsid w:val="00EB377F"/>
    <w:rsid w:val="00EB58FD"/>
    <w:rsid w:val="00EB6EC8"/>
    <w:rsid w:val="00EB70D1"/>
    <w:rsid w:val="00EB74E4"/>
    <w:rsid w:val="00EC1B67"/>
    <w:rsid w:val="00EC2B8B"/>
    <w:rsid w:val="00EC3F0C"/>
    <w:rsid w:val="00EC5375"/>
    <w:rsid w:val="00EC5BD2"/>
    <w:rsid w:val="00EC650A"/>
    <w:rsid w:val="00ED2E84"/>
    <w:rsid w:val="00ED34F8"/>
    <w:rsid w:val="00ED4317"/>
    <w:rsid w:val="00ED4FB3"/>
    <w:rsid w:val="00ED5D26"/>
    <w:rsid w:val="00ED5ECE"/>
    <w:rsid w:val="00EE0397"/>
    <w:rsid w:val="00EE04C9"/>
    <w:rsid w:val="00EE0B18"/>
    <w:rsid w:val="00EE2FA2"/>
    <w:rsid w:val="00EE351A"/>
    <w:rsid w:val="00EE5EB1"/>
    <w:rsid w:val="00EE65ED"/>
    <w:rsid w:val="00F02556"/>
    <w:rsid w:val="00F031F5"/>
    <w:rsid w:val="00F033A9"/>
    <w:rsid w:val="00F04F98"/>
    <w:rsid w:val="00F050DA"/>
    <w:rsid w:val="00F07009"/>
    <w:rsid w:val="00F10369"/>
    <w:rsid w:val="00F10447"/>
    <w:rsid w:val="00F11E7E"/>
    <w:rsid w:val="00F12241"/>
    <w:rsid w:val="00F13125"/>
    <w:rsid w:val="00F154E4"/>
    <w:rsid w:val="00F1646C"/>
    <w:rsid w:val="00F2140D"/>
    <w:rsid w:val="00F22B31"/>
    <w:rsid w:val="00F22E67"/>
    <w:rsid w:val="00F23208"/>
    <w:rsid w:val="00F23BD5"/>
    <w:rsid w:val="00F24250"/>
    <w:rsid w:val="00F27B47"/>
    <w:rsid w:val="00F33F37"/>
    <w:rsid w:val="00F34DC6"/>
    <w:rsid w:val="00F35336"/>
    <w:rsid w:val="00F42F1D"/>
    <w:rsid w:val="00F458E7"/>
    <w:rsid w:val="00F45D4B"/>
    <w:rsid w:val="00F4640C"/>
    <w:rsid w:val="00F46B83"/>
    <w:rsid w:val="00F50177"/>
    <w:rsid w:val="00F515A7"/>
    <w:rsid w:val="00F53A7C"/>
    <w:rsid w:val="00F60E4A"/>
    <w:rsid w:val="00F6240A"/>
    <w:rsid w:val="00F66216"/>
    <w:rsid w:val="00F66E7C"/>
    <w:rsid w:val="00F67460"/>
    <w:rsid w:val="00F67AFB"/>
    <w:rsid w:val="00F71CDC"/>
    <w:rsid w:val="00F72BC5"/>
    <w:rsid w:val="00F8228D"/>
    <w:rsid w:val="00F844B6"/>
    <w:rsid w:val="00F92236"/>
    <w:rsid w:val="00F96233"/>
    <w:rsid w:val="00F971E8"/>
    <w:rsid w:val="00FA0522"/>
    <w:rsid w:val="00FA07E6"/>
    <w:rsid w:val="00FA4068"/>
    <w:rsid w:val="00FA4489"/>
    <w:rsid w:val="00FA668B"/>
    <w:rsid w:val="00FB0ACB"/>
    <w:rsid w:val="00FB29D7"/>
    <w:rsid w:val="00FB52E4"/>
    <w:rsid w:val="00FB5349"/>
    <w:rsid w:val="00FC05D7"/>
    <w:rsid w:val="00FC1E57"/>
    <w:rsid w:val="00FC20B2"/>
    <w:rsid w:val="00FC43FE"/>
    <w:rsid w:val="00FC45C3"/>
    <w:rsid w:val="00FC7272"/>
    <w:rsid w:val="00FD1639"/>
    <w:rsid w:val="00FD3DB4"/>
    <w:rsid w:val="00FE08D5"/>
    <w:rsid w:val="00FE26D6"/>
    <w:rsid w:val="00FE4D2E"/>
    <w:rsid w:val="00FE6DF5"/>
    <w:rsid w:val="00FF0B38"/>
    <w:rsid w:val="00FF1078"/>
    <w:rsid w:val="00FF1404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060"/>
  <w15:chartTrackingRefBased/>
  <w15:docId w15:val="{358FEF05-4827-4F99-B12F-68FA7091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75CB"/>
    <w:pPr>
      <w:widowControl w:val="0"/>
      <w:spacing w:after="240" w:line="276" w:lineRule="auto"/>
    </w:pPr>
    <w:rPr>
      <w:rFonts w:ascii="Trebuchet MS" w:eastAsia="Times New Roman" w:hAnsi="Trebuchet MS" w:cs="Times New Roman"/>
      <w:color w:val="00000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0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A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2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8FE"/>
    <w:rPr>
      <w:rFonts w:ascii="Trebuchet MS" w:eastAsia="Times New Roman" w:hAnsi="Trebuchet MS" w:cs="Times New Roman"/>
      <w:color w:val="000000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8FE"/>
    <w:rPr>
      <w:rFonts w:ascii="Trebuchet MS" w:eastAsia="Times New Roman" w:hAnsi="Trebuchet MS" w:cs="Times New Roman"/>
      <w:b/>
      <w:bCs/>
      <w:color w:val="000000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D4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3FB"/>
    <w:rPr>
      <w:rFonts w:ascii="Trebuchet MS" w:eastAsia="Times New Roman" w:hAnsi="Trebuchet MS" w:cs="Times New Roman"/>
      <w:color w:val="000000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D4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3FB"/>
    <w:rPr>
      <w:rFonts w:ascii="Trebuchet MS" w:eastAsia="Times New Roman" w:hAnsi="Trebuchet MS" w:cs="Times New Roman"/>
      <w:color w:val="000000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42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4206"/>
    <w:rPr>
      <w:rFonts w:ascii="Trebuchet MS" w:eastAsia="Times New Roman" w:hAnsi="Trebuchet MS" w:cs="Times New Roman"/>
      <w:color w:val="000000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44206"/>
    <w:rPr>
      <w:vertAlign w:val="superscript"/>
    </w:rPr>
  </w:style>
  <w:style w:type="paragraph" w:customStyle="1" w:styleId="Default">
    <w:name w:val="Default"/>
    <w:rsid w:val="002A6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otnotereference0">
    <w:name w:val="footnotereference"/>
    <w:basedOn w:val="DefaultParagraphFont"/>
    <w:rsid w:val="00CE29F4"/>
  </w:style>
  <w:style w:type="character" w:styleId="UnresolvedMention">
    <w:name w:val="Unresolved Mention"/>
    <w:basedOn w:val="DefaultParagraphFont"/>
    <w:uiPriority w:val="99"/>
    <w:semiHidden/>
    <w:unhideWhenUsed/>
    <w:rsid w:val="00980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C5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374DB"/>
    <w:pPr>
      <w:spacing w:after="0" w:line="240" w:lineRule="auto"/>
    </w:pPr>
    <w:rPr>
      <w:rFonts w:ascii="Trebuchet MS" w:eastAsia="Times New Roman" w:hAnsi="Trebuchet MS" w:cs="Times New Roman"/>
      <w:color w:val="00000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ce91ab5-f4f8-4f5c-be2c-6e939cf56b4e">3NNXZP44VJMY-144017572-273194</_dlc_DocId>
    <_dlc_DocIdUrl xmlns="dce91ab5-f4f8-4f5c-be2c-6e939cf56b4e">
      <Url>https://schuman365.sharepoint.com/sites/SchumanDocuments/_layouts/15/DocIdRedir.aspx?ID=3NNXZP44VJMY-144017572-273194</Url>
      <Description>3NNXZP44VJMY-144017572-273194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6236A78094D4CA850A88219E38A51" ma:contentTypeVersion="12" ma:contentTypeDescription="Create a new document." ma:contentTypeScope="" ma:versionID="9aca56d6058819ccde39ecd937821aef">
  <xsd:schema xmlns:xsd="http://www.w3.org/2001/XMLSchema" xmlns:xs="http://www.w3.org/2001/XMLSchema" xmlns:p="http://schemas.microsoft.com/office/2006/metadata/properties" xmlns:ns2="dce91ab5-f4f8-4f5c-be2c-6e939cf56b4e" xmlns:ns3="80727dee-c108-46a0-a6db-6e847fee1a81" targetNamespace="http://schemas.microsoft.com/office/2006/metadata/properties" ma:root="true" ma:fieldsID="384fa08362f504cd194ab15e6b130f33" ns2:_="" ns3:_="">
    <xsd:import namespace="dce91ab5-f4f8-4f5c-be2c-6e939cf56b4e"/>
    <xsd:import namespace="80727dee-c108-46a0-a6db-6e847fee1a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1ab5-f4f8-4f5c-be2c-6e939cf56b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7dee-c108-46a0-a6db-6e847fee1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C649D-0AC4-490A-A495-88BDD50094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3A4C45-4518-4001-92CB-67A4D48F7BF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FA2BD33-2425-4A3E-883D-03891F89BBB7}">
  <ds:schemaRefs>
    <ds:schemaRef ds:uri="http://schemas.microsoft.com/office/2006/metadata/properties"/>
    <ds:schemaRef ds:uri="http://schemas.microsoft.com/office/infopath/2007/PartnerControls"/>
    <ds:schemaRef ds:uri="dce91ab5-f4f8-4f5c-be2c-6e939cf56b4e"/>
  </ds:schemaRefs>
</ds:datastoreItem>
</file>

<file path=customXml/itemProps4.xml><?xml version="1.0" encoding="utf-8"?>
<ds:datastoreItem xmlns:ds="http://schemas.openxmlformats.org/officeDocument/2006/customXml" ds:itemID="{7EAD651E-D91A-4F56-B932-D9B22F95E3F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BE04FD-2ED6-4ADA-974A-F239467C1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1ab5-f4f8-4f5c-be2c-6e939cf56b4e"/>
    <ds:schemaRef ds:uri="80727dee-c108-46a0-a6db-6e847fee1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3566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Papuc</dc:creator>
  <cp:keywords/>
  <dc:description/>
  <cp:lastModifiedBy>Jan droge</cp:lastModifiedBy>
  <cp:revision>2</cp:revision>
  <dcterms:created xsi:type="dcterms:W3CDTF">2022-05-25T14:57:00Z</dcterms:created>
  <dcterms:modified xsi:type="dcterms:W3CDTF">2022-05-25T14:57:00Z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0x0101002886236A78094D4CA850A88219E38A51</vt:lpwstr>
  </property>
  <property fmtid="{D5CDD505-2E9C-101B-9397-08002B2CF9AE}" pid="3" name="_dlc_DocIdItemGuid">
    <vt:lpwstr>71fe629d-3d5c-442a-ac92-d01d9a36dd36</vt:lpwstr>
  </property>
</Properties>
</file>