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EFFB" w14:textId="05A92CB7" w:rsidR="00BA7426" w:rsidRDefault="00BA7426">
      <w:r>
        <w:t>Monopoly vs monopoly price: the auction solution</w:t>
      </w:r>
    </w:p>
    <w:p w14:paraId="462513A4" w14:textId="176F4609" w:rsidR="00BA7426" w:rsidRDefault="00BA7426"/>
    <w:p w14:paraId="22DE7760" w14:textId="77777777" w:rsidR="00BA7426" w:rsidRDefault="00BA7426"/>
    <w:sectPr w:rsidR="00BA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4A"/>
    <w:rsid w:val="008E184D"/>
    <w:rsid w:val="00965C4A"/>
    <w:rsid w:val="00BA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52EF"/>
  <w15:chartTrackingRefBased/>
  <w15:docId w15:val="{82B31FAC-287D-46D1-90E1-E80EE46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Diomides Mavroyiannis</dc:creator>
  <cp:keywords/>
  <dc:description/>
  <cp:lastModifiedBy>Diomides Mavroyiannis</cp:lastModifiedBy>
  <cp:revision>2</cp:revision>
  <dcterms:created xsi:type="dcterms:W3CDTF">2022-06-02T20:24:00Z</dcterms:created>
  <dcterms:modified xsi:type="dcterms:W3CDTF">2022-06-03T05:45:00Z</dcterms:modified>
</cp:coreProperties>
</file>