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A27" w:rsidRPr="00427683" w:rsidRDefault="00427683">
      <w:pPr>
        <w:pStyle w:val="P68B1DB1-Heading11"/>
        <w:jc w:val="center"/>
        <w:rPr>
          <w:lang w:val="en-US"/>
        </w:rPr>
      </w:pPr>
      <w:r>
        <w:rPr>
          <w:lang w:val="en-US"/>
        </w:rPr>
        <w:t>E</w:t>
      </w:r>
      <w:r w:rsidR="003A1867" w:rsidRPr="00427683">
        <w:rPr>
          <w:lang w:val="en-US"/>
        </w:rPr>
        <w:t xml:space="preserve">valuation </w:t>
      </w:r>
      <w:r>
        <w:rPr>
          <w:lang w:val="en-US"/>
        </w:rPr>
        <w:t xml:space="preserve">report </w:t>
      </w:r>
      <w:r w:rsidR="003A1867" w:rsidRPr="00427683">
        <w:rPr>
          <w:lang w:val="en-US"/>
        </w:rPr>
        <w:t>o</w:t>
      </w:r>
      <w:r w:rsidR="003A1867">
        <w:rPr>
          <w:lang w:val="en-US"/>
        </w:rPr>
        <w:t xml:space="preserve">f the pilot voucher </w:t>
      </w:r>
      <w:r w:rsidR="003A1867" w:rsidRPr="00427683">
        <w:rPr>
          <w:lang w:val="en-US"/>
        </w:rPr>
        <w:t>scheme project</w:t>
      </w:r>
    </w:p>
    <w:p w:rsidR="005F7A27" w:rsidRPr="00427683" w:rsidRDefault="003A1867">
      <w:pPr>
        <w:pStyle w:val="Heading2"/>
        <w:rPr>
          <w:lang w:val="en-US"/>
        </w:rPr>
      </w:pPr>
      <w:r w:rsidRPr="00427683">
        <w:rPr>
          <w:lang w:val="en-US"/>
        </w:rPr>
        <w:t>Project description</w:t>
      </w:r>
    </w:p>
    <w:p w:rsidR="005F7A27" w:rsidRDefault="003A1867">
      <w:pPr>
        <w:jc w:val="both"/>
        <w:rPr>
          <w:rFonts w:ascii="Calibri" w:hAnsi="Calibri"/>
        </w:rPr>
      </w:pPr>
      <w:r w:rsidRPr="00427683">
        <w:rPr>
          <w:lang w:val="en-US"/>
        </w:rPr>
        <w:t xml:space="preserve">The Department of </w:t>
      </w:r>
      <w:r w:rsidRPr="00427683">
        <w:rPr>
          <w:rFonts w:ascii="Calibri" w:hAnsi="Calibri"/>
          <w:lang w:val="en-US"/>
        </w:rPr>
        <w:t>Electronic Communications piloted in 2019 the implem</w:t>
      </w:r>
      <w:r>
        <w:rPr>
          <w:rFonts w:ascii="Calibri" w:hAnsi="Calibri"/>
          <w:lang w:val="en-US"/>
        </w:rPr>
        <w:t xml:space="preserve">entation of a voucher </w:t>
      </w:r>
      <w:r w:rsidRPr="00427683">
        <w:rPr>
          <w:rFonts w:ascii="Calibri" w:hAnsi="Calibri"/>
          <w:lang w:val="en-US"/>
        </w:rPr>
        <w:t>scheme</w:t>
      </w:r>
      <w:r w:rsidRPr="00427683">
        <w:rPr>
          <w:rFonts w:ascii="Calibri" w:hAnsi="Calibri"/>
          <w:lang w:val="en-US"/>
        </w:rPr>
        <w:t xml:space="preserve"> aimed at accelerating broadband penetration. The implementation started in April 2019 and was completed at the end of 2020. </w:t>
      </w:r>
      <w:r>
        <w:rPr>
          <w:rFonts w:ascii="Calibri" w:hAnsi="Calibri"/>
        </w:rPr>
        <w:t xml:space="preserve">The </w:t>
      </w:r>
      <w:proofErr w:type="spellStart"/>
      <w:r>
        <w:rPr>
          <w:rFonts w:ascii="Calibri" w:hAnsi="Calibri"/>
        </w:rPr>
        <w:t>main</w:t>
      </w:r>
      <w:proofErr w:type="spellEnd"/>
      <w:r>
        <w:rPr>
          <w:rFonts w:ascii="Calibri" w:hAnsi="Calibri"/>
        </w:rPr>
        <w:t xml:space="preserve"> </w:t>
      </w:r>
      <w:proofErr w:type="spellStart"/>
      <w:r>
        <w:rPr>
          <w:rFonts w:ascii="Calibri" w:hAnsi="Calibri"/>
        </w:rPr>
        <w:t>features</w:t>
      </w:r>
      <w:proofErr w:type="spellEnd"/>
      <w:r>
        <w:rPr>
          <w:rFonts w:ascii="Calibri" w:hAnsi="Calibri"/>
        </w:rPr>
        <w:t xml:space="preserve"> of the project were the</w:t>
      </w:r>
      <w:r>
        <w:rPr>
          <w:rFonts w:ascii="Calibri" w:hAnsi="Calibri"/>
        </w:rPr>
        <w:t xml:space="preserve"> following:</w:t>
      </w:r>
    </w:p>
    <w:p w:rsidR="005F7A27" w:rsidRPr="00427683" w:rsidRDefault="003A1867">
      <w:pPr>
        <w:pStyle w:val="ListParagraph"/>
        <w:numPr>
          <w:ilvl w:val="0"/>
          <w:numId w:val="1"/>
        </w:numPr>
        <w:jc w:val="both"/>
        <w:rPr>
          <w:lang w:val="en-US"/>
        </w:rPr>
      </w:pPr>
      <w:r w:rsidRPr="00427683">
        <w:rPr>
          <w:lang w:val="en-US"/>
        </w:rPr>
        <w:t>A subsidy of 30 % of the cost of the connection for a period of up to 12 months subject to a monthly limit of EUR 30.</w:t>
      </w:r>
    </w:p>
    <w:p w:rsidR="005F7A27" w:rsidRPr="00427683" w:rsidRDefault="003A1867">
      <w:pPr>
        <w:pStyle w:val="ListParagraph"/>
        <w:numPr>
          <w:ilvl w:val="0"/>
          <w:numId w:val="1"/>
        </w:numPr>
        <w:jc w:val="both"/>
        <w:rPr>
          <w:lang w:val="en-US"/>
        </w:rPr>
      </w:pPr>
      <w:r>
        <w:rPr>
          <w:lang w:val="en-US"/>
        </w:rPr>
        <w:t xml:space="preserve">Minimum </w:t>
      </w:r>
      <w:r w:rsidRPr="00427683">
        <w:rPr>
          <w:lang w:val="en-US"/>
        </w:rPr>
        <w:t>speed of the connection of 100Mbps.</w:t>
      </w:r>
    </w:p>
    <w:p w:rsidR="005F7A27" w:rsidRPr="00427683" w:rsidRDefault="003A1867">
      <w:pPr>
        <w:pStyle w:val="ListParagraph"/>
        <w:numPr>
          <w:ilvl w:val="0"/>
          <w:numId w:val="1"/>
        </w:numPr>
        <w:jc w:val="both"/>
        <w:rPr>
          <w:lang w:val="en-US"/>
        </w:rPr>
      </w:pPr>
      <w:r w:rsidRPr="00427683">
        <w:rPr>
          <w:lang w:val="en-US"/>
        </w:rPr>
        <w:t>The connections were eligible irrespective of any accompanying services su</w:t>
      </w:r>
      <w:r w:rsidRPr="00427683">
        <w:rPr>
          <w:lang w:val="en-US"/>
        </w:rPr>
        <w:t>ch as telephony, pay TV or mobile telephony (1/2/3/4 play bundles).</w:t>
      </w:r>
    </w:p>
    <w:p w:rsidR="005F7A27" w:rsidRPr="00427683" w:rsidRDefault="003A1867">
      <w:pPr>
        <w:pStyle w:val="ListParagraph"/>
        <w:numPr>
          <w:ilvl w:val="0"/>
          <w:numId w:val="1"/>
        </w:numPr>
        <w:jc w:val="both"/>
        <w:rPr>
          <w:lang w:val="en-US"/>
        </w:rPr>
      </w:pPr>
      <w:r w:rsidRPr="00427683">
        <w:rPr>
          <w:lang w:val="en-US"/>
        </w:rPr>
        <w:t xml:space="preserve">The maximum amount that each provider could absorb was EUR 200 000 for the entire duration of the project </w:t>
      </w:r>
      <w:r w:rsidRPr="00427683">
        <w:rPr>
          <w:rFonts w:ascii="Calibri" w:hAnsi="Calibri"/>
          <w:lang w:val="en-US"/>
        </w:rPr>
        <w:t>(De Minimis Regulation, 1407/2013/EC)</w:t>
      </w:r>
      <w:r w:rsidRPr="00427683">
        <w:rPr>
          <w:lang w:val="en-US"/>
        </w:rPr>
        <w:t xml:space="preserve">. </w:t>
      </w:r>
    </w:p>
    <w:p w:rsidR="005F7A27" w:rsidRPr="00427683" w:rsidRDefault="003A1867">
      <w:pPr>
        <w:jc w:val="both"/>
        <w:rPr>
          <w:lang w:val="en-US"/>
        </w:rPr>
      </w:pPr>
      <w:r w:rsidRPr="00427683">
        <w:rPr>
          <w:lang w:val="en-US"/>
        </w:rPr>
        <w:t>All 4 providers (CYTA, CABLENET, PRIMETEL,</w:t>
      </w:r>
      <w:r w:rsidRPr="00427683">
        <w:rPr>
          <w:lang w:val="en-US"/>
        </w:rPr>
        <w:t xml:space="preserve"> </w:t>
      </w:r>
      <w:proofErr w:type="gramStart"/>
      <w:r w:rsidRPr="00427683">
        <w:rPr>
          <w:lang w:val="en-US"/>
        </w:rPr>
        <w:t>EPIC</w:t>
      </w:r>
      <w:proofErr w:type="gramEnd"/>
      <w:r w:rsidRPr="00427683">
        <w:rPr>
          <w:lang w:val="en-US"/>
        </w:rPr>
        <w:t>) active in Cyprus</w:t>
      </w:r>
      <w:r>
        <w:rPr>
          <w:lang w:val="en-US"/>
        </w:rPr>
        <w:t>,</w:t>
      </w:r>
      <w:r w:rsidRPr="00427683">
        <w:rPr>
          <w:lang w:val="en-US"/>
        </w:rPr>
        <w:t xml:space="preserve"> with 29 co</w:t>
      </w:r>
      <w:r w:rsidR="00427683">
        <w:rPr>
          <w:lang w:val="en-US"/>
        </w:rPr>
        <w:t>mmercial products approved by D</w:t>
      </w:r>
      <w:r w:rsidRPr="00427683">
        <w:rPr>
          <w:lang w:val="en-US"/>
        </w:rPr>
        <w:t>E</w:t>
      </w:r>
      <w:r w:rsidR="00427683">
        <w:rPr>
          <w:lang w:val="en-US"/>
        </w:rPr>
        <w:t>C</w:t>
      </w:r>
      <w:r>
        <w:rPr>
          <w:lang w:val="en-US"/>
        </w:rPr>
        <w:t>, participated in the voucher</w:t>
      </w:r>
      <w:r w:rsidRPr="00427683">
        <w:rPr>
          <w:lang w:val="en-US"/>
        </w:rPr>
        <w:t xml:space="preserve"> scheme. The total budget of the project was EUR 800 000.</w:t>
      </w:r>
    </w:p>
    <w:p w:rsidR="005F7A27" w:rsidRPr="00427683" w:rsidRDefault="003A1867">
      <w:pPr>
        <w:pStyle w:val="Heading2"/>
        <w:rPr>
          <w:lang w:val="en-US"/>
        </w:rPr>
      </w:pPr>
      <w:r w:rsidRPr="00427683">
        <w:rPr>
          <w:lang w:val="en-US"/>
        </w:rPr>
        <w:t>Results, conclusions and proposals</w:t>
      </w:r>
    </w:p>
    <w:p w:rsidR="005F7A27" w:rsidRPr="00427683" w:rsidRDefault="003A1867">
      <w:pPr>
        <w:jc w:val="both"/>
        <w:rPr>
          <w:lang w:val="en-US"/>
        </w:rPr>
      </w:pPr>
      <w:r w:rsidRPr="00427683">
        <w:rPr>
          <w:lang w:val="en-US"/>
        </w:rPr>
        <w:t xml:space="preserve">The first grant voucher was for a contract starting on 13 April </w:t>
      </w:r>
      <w:r w:rsidRPr="00427683">
        <w:rPr>
          <w:lang w:val="en-US"/>
        </w:rPr>
        <w:t>2019 and the last voucher was for a contract dated 10/12/2020, so the actual useful duration of the project was around 20 months.</w:t>
      </w:r>
    </w:p>
    <w:p w:rsidR="005F7A27" w:rsidRPr="00427683" w:rsidRDefault="003A1867">
      <w:pPr>
        <w:jc w:val="both"/>
        <w:rPr>
          <w:lang w:val="en-US"/>
        </w:rPr>
      </w:pPr>
      <w:r>
        <w:rPr>
          <w:noProof/>
        </w:rPr>
        <mc:AlternateContent>
          <mc:Choice Requires="wps">
            <w:drawing>
              <wp:anchor distT="91440" distB="91440" distL="137160" distR="137160" simplePos="0" relativeHeight="251659264" behindDoc="0" locked="0" layoutInCell="0" allowOverlap="1">
                <wp:simplePos x="0" y="0"/>
                <wp:positionH relativeFrom="margin">
                  <wp:posOffset>1939290</wp:posOffset>
                </wp:positionH>
                <wp:positionV relativeFrom="margin">
                  <wp:posOffset>5727700</wp:posOffset>
                </wp:positionV>
                <wp:extent cx="1390015" cy="5441315"/>
                <wp:effectExtent l="0" t="6350" r="0" b="0"/>
                <wp:wrapSquare wrapText="bothSides"/>
                <wp:docPr id="30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390015" cy="5441315"/>
                        </a:xfrm>
                        <a:prstGeom prst="roundRect">
                          <a:avLst>
                            <a:gd name="adj" fmla="val 13032"/>
                          </a:avLst>
                        </a:prstGeom>
                        <a:solidFill>
                          <a:schemeClr val="accent1"/>
                        </a:solidFill>
                        <a:extLst/>
                      </wps:spPr>
                      <wps:txbx>
                        <w:txbxContent>
                          <w:p w:rsidR="005F7A27" w:rsidRPr="00427683" w:rsidRDefault="003A1867">
                            <w:pPr>
                              <w:pStyle w:val="P68B1DB1-Normal2"/>
                              <w:jc w:val="center"/>
                              <w:rPr>
                                <w:rFonts w:asciiTheme="majorHAnsi" w:eastAsiaTheme="majorEastAsia" w:hAnsiTheme="majorHAnsi" w:cstheme="majorBidi"/>
                                <w:i/>
                                <w:color w:val="FFFFFF" w:themeColor="background1"/>
                                <w:sz w:val="28"/>
                                <w:highlight w:val="none"/>
                                <w:lang w:val="en-US"/>
                              </w:rPr>
                            </w:pPr>
                            <w:r w:rsidRPr="00427683">
                              <w:rPr>
                                <w:highlight w:val="none"/>
                                <w:lang w:val="en-US"/>
                              </w:rPr>
                              <w:t xml:space="preserve">Since 3144 vouchers were issued during this period, it is concluded that around </w:t>
                            </w:r>
                            <w:r w:rsidRPr="00427683">
                              <w:rPr>
                                <w:highlight w:val="none"/>
                                <w:u w:val="single"/>
                                <w:lang w:val="en-US"/>
                              </w:rPr>
                              <w:t>3 out of 4 subscribers who activated new co</w:t>
                            </w:r>
                            <w:r w:rsidRPr="00427683">
                              <w:rPr>
                                <w:highlight w:val="none"/>
                                <w:u w:val="single"/>
                                <w:lang w:val="en-US"/>
                              </w:rPr>
                              <w:t>nnections at speeds of at least 100M</w:t>
                            </w:r>
                            <w:r>
                              <w:rPr>
                                <w:highlight w:val="none"/>
                                <w:u w:val="single"/>
                                <w:lang w:val="en-US"/>
                              </w:rPr>
                              <w:t xml:space="preserve">bps did so using the </w:t>
                            </w:r>
                            <w:proofErr w:type="spellStart"/>
                            <w:r>
                              <w:rPr>
                                <w:highlight w:val="none"/>
                                <w:u w:val="single"/>
                                <w:lang w:val="en-US"/>
                              </w:rPr>
                              <w:t>voucer</w:t>
                            </w:r>
                            <w:proofErr w:type="spellEnd"/>
                            <w:r w:rsidRPr="00427683">
                              <w:rPr>
                                <w:highlight w:val="none"/>
                                <w:u w:val="single"/>
                                <w:lang w:val="en-US"/>
                              </w:rPr>
                              <w:t xml:space="preserve"> scheme.</w:t>
                            </w:r>
                            <w:r w:rsidRPr="00427683">
                              <w:rPr>
                                <w:highlight w:val="none"/>
                                <w:lang w:val="en-US"/>
                              </w:rPr>
                              <w:t xml:space="preserve"> In addition, those subscribers accounted for approximately</w:t>
                            </w:r>
                            <w:r w:rsidRPr="00427683">
                              <w:rPr>
                                <w:highlight w:val="none"/>
                                <w:u w:val="single"/>
                                <w:lang w:val="en-US"/>
                              </w:rPr>
                              <w:t xml:space="preserve"> one third of all subscribers</w:t>
                            </w:r>
                            <w:r w:rsidRPr="00427683">
                              <w:rPr>
                                <w:highlight w:val="none"/>
                                <w:lang w:val="en-US"/>
                              </w:rPr>
                              <w:t xml:space="preserve"> with connections of at least 100Mbps over that period. The outcome of the pilot project cou</w:t>
                            </w:r>
                            <w:r w:rsidRPr="00427683">
                              <w:rPr>
                                <w:highlight w:val="none"/>
                                <w:lang w:val="en-US"/>
                              </w:rPr>
                              <w:t>ld therefore be seen as totally positive.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2" o:spid="_x0000_s1026" style="position:absolute;left:0;text-align:left;margin-left:152.7pt;margin-top:451pt;width:109.45pt;height:428.45pt;rotation:90;z-index:251659264;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" o:allowincell="f" fillcolor="#5b9bd5 [3204]" stroked="f">
                <v:textbox>
                  <w:txbxContent>
                    <w:p w:rsidR="005F7A27" w:rsidRPr="00427683" w:rsidRDefault="003A1867">
                      <w:pPr>
                        <w:pStyle w:val="P68B1DB1-Normal2"/>
                        <w:jc w:val="center"/>
                        <w:rPr>
                          <w:rFonts w:asciiTheme="majorHAnsi" w:eastAsiaTheme="majorEastAsia" w:hAnsiTheme="majorHAnsi" w:cstheme="majorBidi"/>
                          <w:i/>
                          <w:color w:val="FFFFFF" w:themeColor="background1"/>
                          <w:sz w:val="28"/>
                          <w:highlight w:val="none"/>
                          <w:lang w:val="en-US"/>
                        </w:rPr>
                      </w:pPr>
                      <w:r w:rsidRPr="00427683">
                        <w:rPr>
                          <w:highlight w:val="none"/>
                          <w:lang w:val="en-US"/>
                        </w:rPr>
                        <w:t xml:space="preserve">Since 3144 vouchers were issued during this period, it is concluded that around </w:t>
                      </w:r>
                      <w:r w:rsidRPr="00427683">
                        <w:rPr>
                          <w:highlight w:val="none"/>
                          <w:u w:val="single"/>
                          <w:lang w:val="en-US"/>
                        </w:rPr>
                        <w:t>3 out of 4 subscribers who activated new co</w:t>
                      </w:r>
                      <w:r w:rsidRPr="00427683">
                        <w:rPr>
                          <w:highlight w:val="none"/>
                          <w:u w:val="single"/>
                          <w:lang w:val="en-US"/>
                        </w:rPr>
                        <w:t>nnections at speeds of at least 100M</w:t>
                      </w:r>
                      <w:r>
                        <w:rPr>
                          <w:highlight w:val="none"/>
                          <w:u w:val="single"/>
                          <w:lang w:val="en-US"/>
                        </w:rPr>
                        <w:t xml:space="preserve">bps did so using the </w:t>
                      </w:r>
                      <w:proofErr w:type="spellStart"/>
                      <w:r>
                        <w:rPr>
                          <w:highlight w:val="none"/>
                          <w:u w:val="single"/>
                          <w:lang w:val="en-US"/>
                        </w:rPr>
                        <w:t>voucer</w:t>
                      </w:r>
                      <w:proofErr w:type="spellEnd"/>
                      <w:r w:rsidRPr="00427683">
                        <w:rPr>
                          <w:highlight w:val="none"/>
                          <w:u w:val="single"/>
                          <w:lang w:val="en-US"/>
                        </w:rPr>
                        <w:t xml:space="preserve"> scheme.</w:t>
                      </w:r>
                      <w:r w:rsidRPr="00427683">
                        <w:rPr>
                          <w:highlight w:val="none"/>
                          <w:lang w:val="en-US"/>
                        </w:rPr>
                        <w:t xml:space="preserve"> In addition, those subscribers accounted for approximately</w:t>
                      </w:r>
                      <w:r w:rsidRPr="00427683">
                        <w:rPr>
                          <w:highlight w:val="none"/>
                          <w:u w:val="single"/>
                          <w:lang w:val="en-US"/>
                        </w:rPr>
                        <w:t xml:space="preserve"> one third of all subscribers</w:t>
                      </w:r>
                      <w:r w:rsidRPr="00427683">
                        <w:rPr>
                          <w:highlight w:val="none"/>
                          <w:lang w:val="en-US"/>
                        </w:rPr>
                        <w:t xml:space="preserve"> with connections of at least 100Mbps over that period. The outcome of the pilot project cou</w:t>
                      </w:r>
                      <w:r w:rsidRPr="00427683">
                        <w:rPr>
                          <w:highlight w:val="none"/>
                          <w:lang w:val="en-US"/>
                        </w:rPr>
                        <w:t>ld therefore be seen as totally positive.</w:t>
                      </w:r>
                    </w:p>
                  </w:txbxContent>
                </v:textbox>
                <w10:wrap type="square" anchorx="margin" anchory="margin"/>
              </v:roundrect>
            </w:pict>
          </mc:Fallback>
        </mc:AlternateContent>
      </w:r>
      <w:r w:rsidRPr="00427683">
        <w:rPr>
          <w:lang w:val="en-US"/>
        </w:rPr>
        <w:t xml:space="preserve">A total of 3134 vouchers were issued corresponding to an equal number of contracts. The </w:t>
      </w:r>
      <w:proofErr w:type="gramStart"/>
      <w:r w:rsidRPr="00427683">
        <w:rPr>
          <w:lang w:val="en-US"/>
        </w:rPr>
        <w:t>amount</w:t>
      </w:r>
      <w:proofErr w:type="gramEnd"/>
      <w:r w:rsidRPr="00427683">
        <w:rPr>
          <w:lang w:val="en-US"/>
        </w:rPr>
        <w:t xml:space="preserve"> corresponding to these vouchers is EUR 616 855. The summary data on the take-up of vouchers and amounts per provider is</w:t>
      </w:r>
      <w:r w:rsidRPr="00427683">
        <w:rPr>
          <w:lang w:val="en-US"/>
        </w:rPr>
        <w:t xml:space="preserve"> presented in the following Table:</w:t>
      </w:r>
    </w:p>
    <w:tbl>
      <w:tblPr>
        <w:tblStyle w:val="GridTable4-Accent2"/>
        <w:tblW w:w="8443" w:type="dxa"/>
        <w:tblInd w:w="-147" w:type="dxa"/>
        <w:tblLook w:val="04A0" w:firstRow="1" w:lastRow="0" w:firstColumn="1" w:lastColumn="0" w:noHBand="0" w:noVBand="1"/>
      </w:tblPr>
      <w:tblGrid>
        <w:gridCol w:w="1172"/>
        <w:gridCol w:w="1097"/>
        <w:gridCol w:w="1134"/>
        <w:gridCol w:w="1202"/>
        <w:gridCol w:w="1135"/>
        <w:gridCol w:w="1503"/>
        <w:gridCol w:w="1200"/>
      </w:tblGrid>
      <w:tr w:rsidR="005F7A27" w:rsidTr="004276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2" w:type="dxa"/>
            <w:tcBorders>
              <w:top w:val="single" w:sz="4" w:space="0" w:color="auto"/>
              <w:left w:val="single" w:sz="4" w:space="0" w:color="auto"/>
              <w:bottom w:val="single" w:sz="4" w:space="0" w:color="auto"/>
              <w:right w:val="single" w:sz="4" w:space="0" w:color="auto"/>
            </w:tcBorders>
            <w:noWrap/>
            <w:hideMark/>
          </w:tcPr>
          <w:p w:rsidR="005F7A27" w:rsidRPr="00427683" w:rsidRDefault="005F7A27">
            <w:pPr>
              <w:jc w:val="both"/>
              <w:rPr>
                <w:rFonts w:ascii="Times New Roman" w:eastAsia="Times New Roman" w:hAnsi="Times New Roman" w:cs="Times New Roman"/>
                <w:sz w:val="24"/>
                <w:lang w:val="en-US"/>
              </w:rPr>
            </w:pPr>
          </w:p>
        </w:tc>
        <w:tc>
          <w:tcPr>
            <w:tcW w:w="2231" w:type="dxa"/>
            <w:gridSpan w:val="2"/>
            <w:tcBorders>
              <w:top w:val="single" w:sz="4" w:space="0" w:color="auto"/>
              <w:left w:val="single" w:sz="4" w:space="0" w:color="auto"/>
              <w:bottom w:val="single" w:sz="4" w:space="0" w:color="auto"/>
              <w:right w:val="single" w:sz="4" w:space="0" w:color="auto"/>
            </w:tcBorders>
            <w:noWrap/>
            <w:hideMark/>
          </w:tcPr>
          <w:p w:rsidR="005F7A27" w:rsidRDefault="003A1867">
            <w:pPr>
              <w:pStyle w:val="P68B1DB1-Normal3"/>
              <w:jc w:val="both"/>
              <w:cnfStyle w:val="100000000000" w:firstRow="1" w:lastRow="0" w:firstColumn="0" w:lastColumn="0" w:oddVBand="0" w:evenVBand="0" w:oddHBand="0" w:evenHBand="0" w:firstRowFirstColumn="0" w:firstRowLastColumn="0" w:lastRowFirstColumn="0" w:lastRowLastColumn="0"/>
            </w:pPr>
            <w:r>
              <w:t>2019</w:t>
            </w:r>
          </w:p>
        </w:tc>
        <w:tc>
          <w:tcPr>
            <w:tcW w:w="2337" w:type="dxa"/>
            <w:gridSpan w:val="2"/>
            <w:tcBorders>
              <w:top w:val="single" w:sz="4" w:space="0" w:color="auto"/>
              <w:left w:val="single" w:sz="4" w:space="0" w:color="auto"/>
              <w:bottom w:val="single" w:sz="4" w:space="0" w:color="auto"/>
              <w:right w:val="single" w:sz="4" w:space="0" w:color="auto"/>
            </w:tcBorders>
            <w:noWrap/>
            <w:hideMark/>
          </w:tcPr>
          <w:p w:rsidR="005F7A27" w:rsidRDefault="003A1867">
            <w:pPr>
              <w:pStyle w:val="P68B1DB1-Normal3"/>
              <w:jc w:val="both"/>
              <w:cnfStyle w:val="100000000000" w:firstRow="1" w:lastRow="0" w:firstColumn="0" w:lastColumn="0" w:oddVBand="0" w:evenVBand="0" w:oddHBand="0" w:evenHBand="0" w:firstRowFirstColumn="0" w:firstRowLastColumn="0" w:lastRowFirstColumn="0" w:lastRowLastColumn="0"/>
            </w:pPr>
            <w:r>
              <w:t>2020</w:t>
            </w:r>
          </w:p>
        </w:tc>
        <w:tc>
          <w:tcPr>
            <w:tcW w:w="2703" w:type="dxa"/>
            <w:gridSpan w:val="2"/>
            <w:tcBorders>
              <w:top w:val="single" w:sz="4" w:space="0" w:color="auto"/>
              <w:left w:val="single" w:sz="4" w:space="0" w:color="auto"/>
              <w:bottom w:val="single" w:sz="4" w:space="0" w:color="auto"/>
              <w:right w:val="single" w:sz="4" w:space="0" w:color="auto"/>
            </w:tcBorders>
            <w:noWrap/>
            <w:hideMark/>
          </w:tcPr>
          <w:p w:rsidR="005F7A27" w:rsidRDefault="003A1867">
            <w:pPr>
              <w:pStyle w:val="P68B1DB1-Normal3"/>
              <w:jc w:val="both"/>
              <w:cnfStyle w:val="100000000000" w:firstRow="1" w:lastRow="0" w:firstColumn="0" w:lastColumn="0" w:oddVBand="0" w:evenVBand="0" w:oddHBand="0" w:evenHBand="0" w:firstRowFirstColumn="0" w:firstRowLastColumn="0" w:lastRowFirstColumn="0" w:lastRowLastColumn="0"/>
            </w:pPr>
            <w:r>
              <w:t>Total</w:t>
            </w:r>
          </w:p>
        </w:tc>
      </w:tr>
      <w:tr w:rsidR="005F7A27" w:rsidTr="004276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2" w:type="dxa"/>
            <w:tcBorders>
              <w:top w:val="single" w:sz="4" w:space="0" w:color="auto"/>
            </w:tcBorders>
            <w:noWrap/>
            <w:hideMark/>
          </w:tcPr>
          <w:p w:rsidR="005F7A27" w:rsidRDefault="005F7A27">
            <w:pPr>
              <w:jc w:val="both"/>
              <w:rPr>
                <w:rFonts w:ascii="Calibri" w:eastAsia="Times New Roman" w:hAnsi="Calibri" w:cs="Calibri"/>
                <w:color w:val="000000"/>
              </w:rPr>
            </w:pPr>
          </w:p>
        </w:tc>
        <w:tc>
          <w:tcPr>
            <w:tcW w:w="1097" w:type="dxa"/>
            <w:tcBorders>
              <w:top w:val="single" w:sz="4" w:space="0" w:color="auto"/>
            </w:tcBorders>
            <w:noWrap/>
            <w:hideMark/>
          </w:tcPr>
          <w:p w:rsidR="005F7A27" w:rsidRDefault="003A1867">
            <w:pPr>
              <w:pStyle w:val="P68B1DB1-Normal4"/>
              <w:jc w:val="both"/>
              <w:cnfStyle w:val="000000100000" w:firstRow="0" w:lastRow="0" w:firstColumn="0" w:lastColumn="0" w:oddVBand="0" w:evenVBand="0" w:oddHBand="1" w:evenHBand="0" w:firstRowFirstColumn="0" w:firstRowLastColumn="0" w:lastRowFirstColumn="0" w:lastRowLastColumn="0"/>
            </w:pPr>
            <w:r>
              <w:t>Amount</w:t>
            </w:r>
          </w:p>
        </w:tc>
        <w:tc>
          <w:tcPr>
            <w:tcW w:w="1134" w:type="dxa"/>
            <w:tcBorders>
              <w:top w:val="single" w:sz="4" w:space="0" w:color="auto"/>
            </w:tcBorders>
            <w:noWrap/>
            <w:hideMark/>
          </w:tcPr>
          <w:p w:rsidR="005F7A27" w:rsidRDefault="003A1867">
            <w:pPr>
              <w:pStyle w:val="P68B1DB1-Normal4"/>
              <w:jc w:val="both"/>
              <w:cnfStyle w:val="000000100000" w:firstRow="0" w:lastRow="0" w:firstColumn="0" w:lastColumn="0" w:oddVBand="0" w:evenVBand="0" w:oddHBand="1" w:evenHBand="0" w:firstRowFirstColumn="0" w:firstRowLastColumn="0" w:lastRowFirstColumn="0" w:lastRowLastColumn="0"/>
            </w:pPr>
            <w:r>
              <w:t>Vouchers</w:t>
            </w:r>
          </w:p>
        </w:tc>
        <w:tc>
          <w:tcPr>
            <w:tcW w:w="1202" w:type="dxa"/>
            <w:tcBorders>
              <w:top w:val="single" w:sz="4" w:space="0" w:color="auto"/>
            </w:tcBorders>
            <w:noWrap/>
            <w:hideMark/>
          </w:tcPr>
          <w:p w:rsidR="005F7A27" w:rsidRDefault="003A1867">
            <w:pPr>
              <w:pStyle w:val="P68B1DB1-Normal4"/>
              <w:jc w:val="both"/>
              <w:cnfStyle w:val="000000100000" w:firstRow="0" w:lastRow="0" w:firstColumn="0" w:lastColumn="0" w:oddVBand="0" w:evenVBand="0" w:oddHBand="1" w:evenHBand="0" w:firstRowFirstColumn="0" w:firstRowLastColumn="0" w:lastRowFirstColumn="0" w:lastRowLastColumn="0"/>
            </w:pPr>
            <w:r>
              <w:t>Amount</w:t>
            </w:r>
          </w:p>
        </w:tc>
        <w:tc>
          <w:tcPr>
            <w:tcW w:w="1135" w:type="dxa"/>
            <w:tcBorders>
              <w:top w:val="single" w:sz="4" w:space="0" w:color="auto"/>
            </w:tcBorders>
            <w:noWrap/>
            <w:hideMark/>
          </w:tcPr>
          <w:p w:rsidR="005F7A27" w:rsidRDefault="003A1867">
            <w:pPr>
              <w:pStyle w:val="P68B1DB1-Normal4"/>
              <w:jc w:val="both"/>
              <w:cnfStyle w:val="000000100000" w:firstRow="0" w:lastRow="0" w:firstColumn="0" w:lastColumn="0" w:oddVBand="0" w:evenVBand="0" w:oddHBand="1" w:evenHBand="0" w:firstRowFirstColumn="0" w:firstRowLastColumn="0" w:lastRowFirstColumn="0" w:lastRowLastColumn="0"/>
            </w:pPr>
            <w:r>
              <w:t>Vouchers</w:t>
            </w:r>
          </w:p>
        </w:tc>
        <w:tc>
          <w:tcPr>
            <w:tcW w:w="1503" w:type="dxa"/>
            <w:tcBorders>
              <w:top w:val="single" w:sz="4" w:space="0" w:color="auto"/>
            </w:tcBorders>
            <w:noWrap/>
            <w:hideMark/>
          </w:tcPr>
          <w:p w:rsidR="005F7A27" w:rsidRDefault="003A1867">
            <w:pPr>
              <w:pStyle w:val="P68B1DB1-Normal4"/>
              <w:jc w:val="both"/>
              <w:cnfStyle w:val="000000100000" w:firstRow="0" w:lastRow="0" w:firstColumn="0" w:lastColumn="0" w:oddVBand="0" w:evenVBand="0" w:oddHBand="1" w:evenHBand="0" w:firstRowFirstColumn="0" w:firstRowLastColumn="0" w:lastRowFirstColumn="0" w:lastRowLastColumn="0"/>
            </w:pPr>
            <w:r>
              <w:t>Amount</w:t>
            </w:r>
          </w:p>
        </w:tc>
        <w:tc>
          <w:tcPr>
            <w:tcW w:w="1200" w:type="dxa"/>
            <w:tcBorders>
              <w:top w:val="single" w:sz="4" w:space="0" w:color="auto"/>
            </w:tcBorders>
            <w:noWrap/>
            <w:hideMark/>
          </w:tcPr>
          <w:p w:rsidR="005F7A27" w:rsidRDefault="003A1867">
            <w:pPr>
              <w:pStyle w:val="P68B1DB1-Normal4"/>
              <w:jc w:val="both"/>
              <w:cnfStyle w:val="000000100000" w:firstRow="0" w:lastRow="0" w:firstColumn="0" w:lastColumn="0" w:oddVBand="0" w:evenVBand="0" w:oddHBand="1" w:evenHBand="0" w:firstRowFirstColumn="0" w:firstRowLastColumn="0" w:lastRowFirstColumn="0" w:lastRowLastColumn="0"/>
            </w:pPr>
            <w:r>
              <w:t>Vouchers</w:t>
            </w:r>
          </w:p>
        </w:tc>
      </w:tr>
      <w:tr w:rsidR="005F7A27" w:rsidTr="00427683">
        <w:trPr>
          <w:trHeight w:val="300"/>
        </w:trPr>
        <w:tc>
          <w:tcPr>
            <w:cnfStyle w:val="001000000000" w:firstRow="0" w:lastRow="0" w:firstColumn="1" w:lastColumn="0" w:oddVBand="0" w:evenVBand="0" w:oddHBand="0" w:evenHBand="0" w:firstRowFirstColumn="0" w:firstRowLastColumn="0" w:lastRowFirstColumn="0" w:lastRowLastColumn="0"/>
            <w:tcW w:w="1172" w:type="dxa"/>
            <w:noWrap/>
            <w:hideMark/>
          </w:tcPr>
          <w:p w:rsidR="005F7A27" w:rsidRDefault="003A1867">
            <w:pPr>
              <w:pStyle w:val="P68B1DB1-Normal3"/>
              <w:jc w:val="both"/>
            </w:pPr>
            <w:r>
              <w:t>CYTA</w:t>
            </w:r>
          </w:p>
        </w:tc>
        <w:tc>
          <w:tcPr>
            <w:tcW w:w="1097" w:type="dxa"/>
            <w:hideMark/>
          </w:tcPr>
          <w:p w:rsidR="005F7A27" w:rsidRDefault="003A1867">
            <w:pPr>
              <w:pStyle w:val="P68B1DB1-Normal3"/>
              <w:jc w:val="both"/>
              <w:cnfStyle w:val="000000000000" w:firstRow="0" w:lastRow="0" w:firstColumn="0" w:lastColumn="0" w:oddVBand="0" w:evenVBand="0" w:oddHBand="0" w:evenHBand="0" w:firstRowFirstColumn="0" w:firstRowLastColumn="0" w:lastRowFirstColumn="0" w:lastRowLastColumn="0"/>
            </w:pPr>
            <w:r>
              <w:t>EUR 182 196</w:t>
            </w:r>
          </w:p>
        </w:tc>
        <w:tc>
          <w:tcPr>
            <w:tcW w:w="1134" w:type="dxa"/>
            <w:hideMark/>
          </w:tcPr>
          <w:p w:rsidR="005F7A27" w:rsidRDefault="003A1867">
            <w:pPr>
              <w:pStyle w:val="P68B1DB1-Normal3"/>
              <w:jc w:val="both"/>
              <w:cnfStyle w:val="000000000000" w:firstRow="0" w:lastRow="0" w:firstColumn="0" w:lastColumn="0" w:oddVBand="0" w:evenVBand="0" w:oddHBand="0" w:evenHBand="0" w:firstRowFirstColumn="0" w:firstRowLastColumn="0" w:lastRowFirstColumn="0" w:lastRowLastColumn="0"/>
            </w:pPr>
            <w:r>
              <w:t>796</w:t>
            </w:r>
          </w:p>
        </w:tc>
        <w:tc>
          <w:tcPr>
            <w:tcW w:w="1202" w:type="dxa"/>
            <w:hideMark/>
          </w:tcPr>
          <w:p w:rsidR="005F7A27" w:rsidRDefault="003A1867">
            <w:pPr>
              <w:pStyle w:val="P68B1DB1-Normal5"/>
              <w:jc w:val="both"/>
              <w:cnfStyle w:val="000000000000" w:firstRow="0" w:lastRow="0" w:firstColumn="0" w:lastColumn="0" w:oddVBand="0" w:evenVBand="0" w:oddHBand="0" w:evenHBand="0" w:firstRowFirstColumn="0" w:firstRowLastColumn="0" w:lastRowFirstColumn="0" w:lastRowLastColumn="0"/>
            </w:pPr>
            <w:r>
              <w:t>EUR 0.00</w:t>
            </w:r>
          </w:p>
        </w:tc>
        <w:tc>
          <w:tcPr>
            <w:tcW w:w="1135" w:type="dxa"/>
            <w:hideMark/>
          </w:tcPr>
          <w:p w:rsidR="005F7A27" w:rsidRDefault="003A1867">
            <w:pPr>
              <w:pStyle w:val="P68B1DB1-Normal5"/>
              <w:jc w:val="both"/>
              <w:cnfStyle w:val="000000000000" w:firstRow="0" w:lastRow="0" w:firstColumn="0" w:lastColumn="0" w:oddVBand="0" w:evenVBand="0" w:oddHBand="0" w:evenHBand="0" w:firstRowFirstColumn="0" w:firstRowLastColumn="0" w:lastRowFirstColumn="0" w:lastRowLastColumn="0"/>
            </w:pPr>
            <w:r>
              <w:t>0</w:t>
            </w:r>
          </w:p>
        </w:tc>
        <w:tc>
          <w:tcPr>
            <w:tcW w:w="1503" w:type="dxa"/>
            <w:hideMark/>
          </w:tcPr>
          <w:p w:rsidR="005F7A27" w:rsidRDefault="003A1867">
            <w:pPr>
              <w:pStyle w:val="P68B1DB1-Normal3"/>
              <w:jc w:val="both"/>
              <w:cnfStyle w:val="000000000000" w:firstRow="0" w:lastRow="0" w:firstColumn="0" w:lastColumn="0" w:oddVBand="0" w:evenVBand="0" w:oddHBand="0" w:evenHBand="0" w:firstRowFirstColumn="0" w:firstRowLastColumn="0" w:lastRowFirstColumn="0" w:lastRowLastColumn="0"/>
            </w:pPr>
            <w:r>
              <w:t>EUR 182 196</w:t>
            </w:r>
          </w:p>
        </w:tc>
        <w:tc>
          <w:tcPr>
            <w:tcW w:w="1200" w:type="dxa"/>
            <w:hideMark/>
          </w:tcPr>
          <w:p w:rsidR="005F7A27" w:rsidRDefault="003A1867">
            <w:pPr>
              <w:pStyle w:val="P68B1DB1-Normal3"/>
              <w:jc w:val="both"/>
              <w:cnfStyle w:val="000000000000" w:firstRow="0" w:lastRow="0" w:firstColumn="0" w:lastColumn="0" w:oddVBand="0" w:evenVBand="0" w:oddHBand="0" w:evenHBand="0" w:firstRowFirstColumn="0" w:firstRowLastColumn="0" w:lastRowFirstColumn="0" w:lastRowLastColumn="0"/>
            </w:pPr>
            <w:r>
              <w:t>796</w:t>
            </w:r>
          </w:p>
        </w:tc>
      </w:tr>
      <w:tr w:rsidR="005F7A27" w:rsidTr="004276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2" w:type="dxa"/>
            <w:noWrap/>
            <w:hideMark/>
          </w:tcPr>
          <w:p w:rsidR="005F7A27" w:rsidRDefault="003A1867">
            <w:pPr>
              <w:pStyle w:val="P68B1DB1-Normal3"/>
              <w:jc w:val="both"/>
            </w:pPr>
            <w:r>
              <w:t>Cablenet</w:t>
            </w:r>
          </w:p>
        </w:tc>
        <w:tc>
          <w:tcPr>
            <w:tcW w:w="1097" w:type="dxa"/>
            <w:hideMark/>
          </w:tcPr>
          <w:p w:rsidR="005F7A27" w:rsidRDefault="003A1867">
            <w:pPr>
              <w:pStyle w:val="P68B1DB1-Normal3"/>
              <w:jc w:val="both"/>
              <w:cnfStyle w:val="000000100000" w:firstRow="0" w:lastRow="0" w:firstColumn="0" w:lastColumn="0" w:oddVBand="0" w:evenVBand="0" w:oddHBand="1" w:evenHBand="0" w:firstRowFirstColumn="0" w:firstRowLastColumn="0" w:lastRowFirstColumn="0" w:lastRowLastColumn="0"/>
            </w:pPr>
            <w:r>
              <w:t>EUR 123 937</w:t>
            </w:r>
          </w:p>
        </w:tc>
        <w:tc>
          <w:tcPr>
            <w:tcW w:w="1134" w:type="dxa"/>
            <w:hideMark/>
          </w:tcPr>
          <w:p w:rsidR="005F7A27" w:rsidRDefault="003A1867">
            <w:pPr>
              <w:pStyle w:val="P68B1DB1-Normal3"/>
              <w:jc w:val="both"/>
              <w:cnfStyle w:val="000000100000" w:firstRow="0" w:lastRow="0" w:firstColumn="0" w:lastColumn="0" w:oddVBand="0" w:evenVBand="0" w:oddHBand="1" w:evenHBand="0" w:firstRowFirstColumn="0" w:firstRowLastColumn="0" w:lastRowFirstColumn="0" w:lastRowLastColumn="0"/>
            </w:pPr>
            <w:r>
              <w:t>721</w:t>
            </w:r>
          </w:p>
        </w:tc>
        <w:tc>
          <w:tcPr>
            <w:tcW w:w="1202" w:type="dxa"/>
            <w:hideMark/>
          </w:tcPr>
          <w:p w:rsidR="005F7A27" w:rsidRDefault="003A1867">
            <w:pPr>
              <w:pStyle w:val="P68B1DB1-Normal5"/>
              <w:jc w:val="both"/>
              <w:cnfStyle w:val="000000100000" w:firstRow="0" w:lastRow="0" w:firstColumn="0" w:lastColumn="0" w:oddVBand="0" w:evenVBand="0" w:oddHBand="1" w:evenHBand="0" w:firstRowFirstColumn="0" w:firstRowLastColumn="0" w:lastRowFirstColumn="0" w:lastRowLastColumn="0"/>
            </w:pPr>
            <w:r>
              <w:t>EUR 48 483</w:t>
            </w:r>
          </w:p>
        </w:tc>
        <w:tc>
          <w:tcPr>
            <w:tcW w:w="1135" w:type="dxa"/>
            <w:hideMark/>
          </w:tcPr>
          <w:p w:rsidR="005F7A27" w:rsidRDefault="003A1867">
            <w:pPr>
              <w:pStyle w:val="P68B1DB1-Normal5"/>
              <w:jc w:val="both"/>
              <w:cnfStyle w:val="000000100000" w:firstRow="0" w:lastRow="0" w:firstColumn="0" w:lastColumn="0" w:oddVBand="0" w:evenVBand="0" w:oddHBand="1" w:evenHBand="0" w:firstRowFirstColumn="0" w:firstRowLastColumn="0" w:lastRowFirstColumn="0" w:lastRowLastColumn="0"/>
            </w:pPr>
            <w:r>
              <w:t>332</w:t>
            </w:r>
          </w:p>
        </w:tc>
        <w:tc>
          <w:tcPr>
            <w:tcW w:w="1503" w:type="dxa"/>
            <w:hideMark/>
          </w:tcPr>
          <w:p w:rsidR="005F7A27" w:rsidRDefault="003A1867">
            <w:pPr>
              <w:pStyle w:val="P68B1DB1-Normal3"/>
              <w:jc w:val="both"/>
              <w:cnfStyle w:val="000000100000" w:firstRow="0" w:lastRow="0" w:firstColumn="0" w:lastColumn="0" w:oddVBand="0" w:evenVBand="0" w:oddHBand="1" w:evenHBand="0" w:firstRowFirstColumn="0" w:firstRowLastColumn="0" w:lastRowFirstColumn="0" w:lastRowLastColumn="0"/>
            </w:pPr>
            <w:r>
              <w:t>EUR 172 420</w:t>
            </w:r>
          </w:p>
        </w:tc>
        <w:tc>
          <w:tcPr>
            <w:tcW w:w="1200" w:type="dxa"/>
            <w:hideMark/>
          </w:tcPr>
          <w:p w:rsidR="005F7A27" w:rsidRDefault="003A1867">
            <w:pPr>
              <w:pStyle w:val="P68B1DB1-Normal3"/>
              <w:jc w:val="both"/>
              <w:cnfStyle w:val="000000100000" w:firstRow="0" w:lastRow="0" w:firstColumn="0" w:lastColumn="0" w:oddVBand="0" w:evenVBand="0" w:oddHBand="1" w:evenHBand="0" w:firstRowFirstColumn="0" w:firstRowLastColumn="0" w:lastRowFirstColumn="0" w:lastRowLastColumn="0"/>
            </w:pPr>
            <w:r>
              <w:t>1053</w:t>
            </w:r>
          </w:p>
        </w:tc>
      </w:tr>
      <w:tr w:rsidR="005F7A27" w:rsidTr="00427683">
        <w:trPr>
          <w:trHeight w:val="300"/>
        </w:trPr>
        <w:tc>
          <w:tcPr>
            <w:cnfStyle w:val="001000000000" w:firstRow="0" w:lastRow="0" w:firstColumn="1" w:lastColumn="0" w:oddVBand="0" w:evenVBand="0" w:oddHBand="0" w:evenHBand="0" w:firstRowFirstColumn="0" w:firstRowLastColumn="0" w:lastRowFirstColumn="0" w:lastRowLastColumn="0"/>
            <w:tcW w:w="1172" w:type="dxa"/>
            <w:noWrap/>
            <w:hideMark/>
          </w:tcPr>
          <w:p w:rsidR="005F7A27" w:rsidRDefault="003A1867">
            <w:pPr>
              <w:pStyle w:val="P68B1DB1-Normal3"/>
              <w:jc w:val="both"/>
            </w:pPr>
            <w:r>
              <w:t xml:space="preserve">Primetel </w:t>
            </w:r>
          </w:p>
        </w:tc>
        <w:tc>
          <w:tcPr>
            <w:tcW w:w="1097" w:type="dxa"/>
            <w:hideMark/>
          </w:tcPr>
          <w:p w:rsidR="005F7A27" w:rsidRDefault="003A1867">
            <w:pPr>
              <w:pStyle w:val="P68B1DB1-Normal3"/>
              <w:jc w:val="both"/>
              <w:cnfStyle w:val="000000000000" w:firstRow="0" w:lastRow="0" w:firstColumn="0" w:lastColumn="0" w:oddVBand="0" w:evenVBand="0" w:oddHBand="0" w:evenHBand="0" w:firstRowFirstColumn="0" w:firstRowLastColumn="0" w:lastRowFirstColumn="0" w:lastRowLastColumn="0"/>
            </w:pPr>
            <w:r>
              <w:t>EUR 16.098</w:t>
            </w:r>
          </w:p>
        </w:tc>
        <w:tc>
          <w:tcPr>
            <w:tcW w:w="1134" w:type="dxa"/>
            <w:hideMark/>
          </w:tcPr>
          <w:p w:rsidR="005F7A27" w:rsidRDefault="003A1867">
            <w:pPr>
              <w:pStyle w:val="P68B1DB1-Normal3"/>
              <w:jc w:val="both"/>
              <w:cnfStyle w:val="000000000000" w:firstRow="0" w:lastRow="0" w:firstColumn="0" w:lastColumn="0" w:oddVBand="0" w:evenVBand="0" w:oddHBand="0" w:evenHBand="0" w:firstRowFirstColumn="0" w:firstRowLastColumn="0" w:lastRowFirstColumn="0" w:lastRowLastColumn="0"/>
            </w:pPr>
            <w:r>
              <w:t>79</w:t>
            </w:r>
          </w:p>
        </w:tc>
        <w:tc>
          <w:tcPr>
            <w:tcW w:w="1202" w:type="dxa"/>
            <w:hideMark/>
          </w:tcPr>
          <w:p w:rsidR="005F7A27" w:rsidRDefault="003A1867">
            <w:pPr>
              <w:pStyle w:val="P68B1DB1-Normal5"/>
              <w:jc w:val="both"/>
              <w:cnfStyle w:val="000000000000" w:firstRow="0" w:lastRow="0" w:firstColumn="0" w:lastColumn="0" w:oddVBand="0" w:evenVBand="0" w:oddHBand="0" w:evenHBand="0" w:firstRowFirstColumn="0" w:firstRowLastColumn="0" w:lastRowFirstColumn="0" w:lastRowLastColumn="0"/>
            </w:pPr>
            <w:r>
              <w:t>EUR 183 666</w:t>
            </w:r>
          </w:p>
        </w:tc>
        <w:tc>
          <w:tcPr>
            <w:tcW w:w="1135" w:type="dxa"/>
            <w:hideMark/>
          </w:tcPr>
          <w:p w:rsidR="005F7A27" w:rsidRDefault="003A1867">
            <w:pPr>
              <w:pStyle w:val="P68B1DB1-Normal5"/>
              <w:jc w:val="both"/>
              <w:cnfStyle w:val="000000000000" w:firstRow="0" w:lastRow="0" w:firstColumn="0" w:lastColumn="0" w:oddVBand="0" w:evenVBand="0" w:oddHBand="0" w:evenHBand="0" w:firstRowFirstColumn="0" w:firstRowLastColumn="0" w:lastRowFirstColumn="0" w:lastRowLastColumn="0"/>
            </w:pPr>
            <w:r>
              <w:t>836</w:t>
            </w:r>
          </w:p>
        </w:tc>
        <w:tc>
          <w:tcPr>
            <w:tcW w:w="1503" w:type="dxa"/>
            <w:hideMark/>
          </w:tcPr>
          <w:p w:rsidR="005F7A27" w:rsidRDefault="003A1867">
            <w:pPr>
              <w:pStyle w:val="P68B1DB1-Normal3"/>
              <w:jc w:val="both"/>
              <w:cnfStyle w:val="000000000000" w:firstRow="0" w:lastRow="0" w:firstColumn="0" w:lastColumn="0" w:oddVBand="0" w:evenVBand="0" w:oddHBand="0" w:evenHBand="0" w:firstRowFirstColumn="0" w:firstRowLastColumn="0" w:lastRowFirstColumn="0" w:lastRowLastColumn="0"/>
            </w:pPr>
            <w:r>
              <w:t>EUR 199 764</w:t>
            </w:r>
          </w:p>
        </w:tc>
        <w:tc>
          <w:tcPr>
            <w:tcW w:w="1200" w:type="dxa"/>
            <w:hideMark/>
          </w:tcPr>
          <w:p w:rsidR="005F7A27" w:rsidRDefault="003A1867">
            <w:pPr>
              <w:pStyle w:val="P68B1DB1-Normal3"/>
              <w:jc w:val="both"/>
              <w:cnfStyle w:val="000000000000" w:firstRow="0" w:lastRow="0" w:firstColumn="0" w:lastColumn="0" w:oddVBand="0" w:evenVBand="0" w:oddHBand="0" w:evenHBand="0" w:firstRowFirstColumn="0" w:firstRowLastColumn="0" w:lastRowFirstColumn="0" w:lastRowLastColumn="0"/>
            </w:pPr>
            <w:r>
              <w:t>915</w:t>
            </w:r>
          </w:p>
        </w:tc>
      </w:tr>
      <w:tr w:rsidR="005F7A27" w:rsidTr="004276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2" w:type="dxa"/>
            <w:noWrap/>
            <w:hideMark/>
          </w:tcPr>
          <w:p w:rsidR="005F7A27" w:rsidRDefault="003A1867">
            <w:pPr>
              <w:pStyle w:val="P68B1DB1-Normal3"/>
              <w:jc w:val="both"/>
            </w:pPr>
            <w:r>
              <w:t>EPIC</w:t>
            </w:r>
          </w:p>
        </w:tc>
        <w:tc>
          <w:tcPr>
            <w:tcW w:w="1097" w:type="dxa"/>
            <w:hideMark/>
          </w:tcPr>
          <w:p w:rsidR="005F7A27" w:rsidRDefault="003A1867">
            <w:pPr>
              <w:pStyle w:val="P68B1DB1-Normal3"/>
              <w:jc w:val="both"/>
              <w:cnfStyle w:val="000000100000" w:firstRow="0" w:lastRow="0" w:firstColumn="0" w:lastColumn="0" w:oddVBand="0" w:evenVBand="0" w:oddHBand="1" w:evenHBand="0" w:firstRowFirstColumn="0" w:firstRowLastColumn="0" w:lastRowFirstColumn="0" w:lastRowLastColumn="0"/>
            </w:pPr>
            <w:r>
              <w:t>EUR 12.575</w:t>
            </w:r>
          </w:p>
        </w:tc>
        <w:tc>
          <w:tcPr>
            <w:tcW w:w="1134" w:type="dxa"/>
            <w:hideMark/>
          </w:tcPr>
          <w:p w:rsidR="005F7A27" w:rsidRDefault="003A1867">
            <w:pPr>
              <w:pStyle w:val="P68B1DB1-Normal3"/>
              <w:jc w:val="both"/>
              <w:cnfStyle w:val="000000100000" w:firstRow="0" w:lastRow="0" w:firstColumn="0" w:lastColumn="0" w:oddVBand="0" w:evenVBand="0" w:oddHBand="1" w:evenHBand="0" w:firstRowFirstColumn="0" w:firstRowLastColumn="0" w:lastRowFirstColumn="0" w:lastRowLastColumn="0"/>
            </w:pPr>
            <w:r>
              <w:t>70</w:t>
            </w:r>
          </w:p>
        </w:tc>
        <w:tc>
          <w:tcPr>
            <w:tcW w:w="1202" w:type="dxa"/>
            <w:hideMark/>
          </w:tcPr>
          <w:p w:rsidR="005F7A27" w:rsidRDefault="003A1867">
            <w:pPr>
              <w:pStyle w:val="P68B1DB1-Normal5"/>
              <w:jc w:val="both"/>
              <w:cnfStyle w:val="000000100000" w:firstRow="0" w:lastRow="0" w:firstColumn="0" w:lastColumn="0" w:oddVBand="0" w:evenVBand="0" w:oddHBand="1" w:evenHBand="0" w:firstRowFirstColumn="0" w:firstRowLastColumn="0" w:lastRowFirstColumn="0" w:lastRowLastColumn="0"/>
            </w:pPr>
            <w:r>
              <w:t>EUR 49.900</w:t>
            </w:r>
          </w:p>
        </w:tc>
        <w:tc>
          <w:tcPr>
            <w:tcW w:w="1135" w:type="dxa"/>
            <w:hideMark/>
          </w:tcPr>
          <w:p w:rsidR="005F7A27" w:rsidRDefault="003A1867">
            <w:pPr>
              <w:pStyle w:val="P68B1DB1-Normal5"/>
              <w:jc w:val="both"/>
              <w:cnfStyle w:val="000000100000" w:firstRow="0" w:lastRow="0" w:firstColumn="0" w:lastColumn="0" w:oddVBand="0" w:evenVBand="0" w:oddHBand="1" w:evenHBand="0" w:firstRowFirstColumn="0" w:firstRowLastColumn="0" w:lastRowFirstColumn="0" w:lastRowLastColumn="0"/>
            </w:pPr>
            <w:r>
              <w:t>300</w:t>
            </w:r>
          </w:p>
        </w:tc>
        <w:tc>
          <w:tcPr>
            <w:tcW w:w="1503" w:type="dxa"/>
            <w:hideMark/>
          </w:tcPr>
          <w:p w:rsidR="005F7A27" w:rsidRDefault="003A1867">
            <w:pPr>
              <w:pStyle w:val="P68B1DB1-Normal3"/>
              <w:jc w:val="both"/>
              <w:cnfStyle w:val="000000100000" w:firstRow="0" w:lastRow="0" w:firstColumn="0" w:lastColumn="0" w:oddVBand="0" w:evenVBand="0" w:oddHBand="1" w:evenHBand="0" w:firstRowFirstColumn="0" w:firstRowLastColumn="0" w:lastRowFirstColumn="0" w:lastRowLastColumn="0"/>
            </w:pPr>
            <w:r>
              <w:t>EUR 62 475</w:t>
            </w:r>
          </w:p>
        </w:tc>
        <w:tc>
          <w:tcPr>
            <w:tcW w:w="1200" w:type="dxa"/>
            <w:hideMark/>
          </w:tcPr>
          <w:p w:rsidR="005F7A27" w:rsidRDefault="003A1867">
            <w:pPr>
              <w:pStyle w:val="P68B1DB1-Normal3"/>
              <w:jc w:val="both"/>
              <w:cnfStyle w:val="000000100000" w:firstRow="0" w:lastRow="0" w:firstColumn="0" w:lastColumn="0" w:oddVBand="0" w:evenVBand="0" w:oddHBand="1" w:evenHBand="0" w:firstRowFirstColumn="0" w:firstRowLastColumn="0" w:lastRowFirstColumn="0" w:lastRowLastColumn="0"/>
            </w:pPr>
            <w:r>
              <w:t>370</w:t>
            </w:r>
          </w:p>
        </w:tc>
      </w:tr>
      <w:tr w:rsidR="005F7A27" w:rsidTr="00427683">
        <w:trPr>
          <w:trHeight w:val="300"/>
        </w:trPr>
        <w:tc>
          <w:tcPr>
            <w:cnfStyle w:val="001000000000" w:firstRow="0" w:lastRow="0" w:firstColumn="1" w:lastColumn="0" w:oddVBand="0" w:evenVBand="0" w:oddHBand="0" w:evenHBand="0" w:firstRowFirstColumn="0" w:firstRowLastColumn="0" w:lastRowFirstColumn="0" w:lastRowLastColumn="0"/>
            <w:tcW w:w="1172" w:type="dxa"/>
            <w:noWrap/>
            <w:hideMark/>
          </w:tcPr>
          <w:p w:rsidR="005F7A27" w:rsidRDefault="005F7A27">
            <w:pPr>
              <w:jc w:val="both"/>
              <w:rPr>
                <w:rFonts w:ascii="Calibri" w:eastAsia="Times New Roman" w:hAnsi="Calibri" w:cs="Calibri"/>
                <w:color w:val="000000"/>
              </w:rPr>
            </w:pPr>
          </w:p>
        </w:tc>
        <w:tc>
          <w:tcPr>
            <w:tcW w:w="1097" w:type="dxa"/>
            <w:noWrap/>
            <w:hideMark/>
          </w:tcPr>
          <w:p w:rsidR="005F7A27" w:rsidRDefault="005F7A2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rPr>
            </w:pPr>
          </w:p>
        </w:tc>
        <w:tc>
          <w:tcPr>
            <w:tcW w:w="1134" w:type="dxa"/>
            <w:noWrap/>
            <w:hideMark/>
          </w:tcPr>
          <w:p w:rsidR="005F7A27" w:rsidRDefault="005F7A2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rPr>
            </w:pPr>
          </w:p>
        </w:tc>
        <w:tc>
          <w:tcPr>
            <w:tcW w:w="1202" w:type="dxa"/>
            <w:noWrap/>
            <w:hideMark/>
          </w:tcPr>
          <w:p w:rsidR="005F7A27" w:rsidRDefault="005F7A2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rPr>
            </w:pPr>
          </w:p>
        </w:tc>
        <w:tc>
          <w:tcPr>
            <w:tcW w:w="1135" w:type="dxa"/>
            <w:noWrap/>
            <w:hideMark/>
          </w:tcPr>
          <w:p w:rsidR="005F7A27" w:rsidRDefault="005F7A2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rPr>
            </w:pPr>
          </w:p>
        </w:tc>
        <w:tc>
          <w:tcPr>
            <w:tcW w:w="1503" w:type="dxa"/>
            <w:noWrap/>
            <w:hideMark/>
          </w:tcPr>
          <w:p w:rsidR="005F7A27" w:rsidRDefault="005F7A2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rPr>
            </w:pPr>
          </w:p>
        </w:tc>
        <w:tc>
          <w:tcPr>
            <w:tcW w:w="1200" w:type="dxa"/>
            <w:noWrap/>
            <w:hideMark/>
          </w:tcPr>
          <w:p w:rsidR="005F7A27" w:rsidRDefault="005F7A2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rPr>
            </w:pPr>
          </w:p>
        </w:tc>
      </w:tr>
      <w:tr w:rsidR="005F7A27" w:rsidTr="004276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2" w:type="dxa"/>
            <w:noWrap/>
            <w:hideMark/>
          </w:tcPr>
          <w:p w:rsidR="005F7A27" w:rsidRDefault="003A1867">
            <w:pPr>
              <w:pStyle w:val="P68B1DB1-Normal3"/>
              <w:jc w:val="both"/>
            </w:pPr>
            <w:r>
              <w:t>Total</w:t>
            </w:r>
          </w:p>
        </w:tc>
        <w:tc>
          <w:tcPr>
            <w:tcW w:w="1097" w:type="dxa"/>
            <w:noWrap/>
            <w:hideMark/>
          </w:tcPr>
          <w:p w:rsidR="005F7A27" w:rsidRDefault="003A1867">
            <w:pPr>
              <w:pStyle w:val="P68B1DB1-Normal4"/>
              <w:jc w:val="both"/>
              <w:cnfStyle w:val="000000100000" w:firstRow="0" w:lastRow="0" w:firstColumn="0" w:lastColumn="0" w:oddVBand="0" w:evenVBand="0" w:oddHBand="1" w:evenHBand="0" w:firstRowFirstColumn="0" w:firstRowLastColumn="0" w:lastRowFirstColumn="0" w:lastRowLastColumn="0"/>
            </w:pPr>
            <w:r>
              <w:t>EUR 334 806</w:t>
            </w:r>
          </w:p>
        </w:tc>
        <w:tc>
          <w:tcPr>
            <w:tcW w:w="1134" w:type="dxa"/>
            <w:hideMark/>
          </w:tcPr>
          <w:p w:rsidR="005F7A27" w:rsidRDefault="003A1867">
            <w:pPr>
              <w:pStyle w:val="P68B1DB1-Normal4"/>
              <w:jc w:val="both"/>
              <w:cnfStyle w:val="000000100000" w:firstRow="0" w:lastRow="0" w:firstColumn="0" w:lastColumn="0" w:oddVBand="0" w:evenVBand="0" w:oddHBand="1" w:evenHBand="0" w:firstRowFirstColumn="0" w:firstRowLastColumn="0" w:lastRowFirstColumn="0" w:lastRowLastColumn="0"/>
            </w:pPr>
            <w:r>
              <w:t>1666</w:t>
            </w:r>
          </w:p>
        </w:tc>
        <w:tc>
          <w:tcPr>
            <w:tcW w:w="1202" w:type="dxa"/>
            <w:noWrap/>
            <w:hideMark/>
          </w:tcPr>
          <w:p w:rsidR="005F7A27" w:rsidRDefault="003A1867">
            <w:pPr>
              <w:pStyle w:val="P68B1DB1-Normal6"/>
              <w:jc w:val="both"/>
              <w:cnfStyle w:val="000000100000" w:firstRow="0" w:lastRow="0" w:firstColumn="0" w:lastColumn="0" w:oddVBand="0" w:evenVBand="0" w:oddHBand="1" w:evenHBand="0" w:firstRowFirstColumn="0" w:firstRowLastColumn="0" w:lastRowFirstColumn="0" w:lastRowLastColumn="0"/>
            </w:pPr>
            <w:r>
              <w:t>EUR 282.049</w:t>
            </w:r>
          </w:p>
        </w:tc>
        <w:tc>
          <w:tcPr>
            <w:tcW w:w="1135" w:type="dxa"/>
            <w:hideMark/>
          </w:tcPr>
          <w:p w:rsidR="005F7A27" w:rsidRDefault="003A1867">
            <w:pPr>
              <w:pStyle w:val="P68B1DB1-Normal6"/>
              <w:jc w:val="both"/>
              <w:cnfStyle w:val="000000100000" w:firstRow="0" w:lastRow="0" w:firstColumn="0" w:lastColumn="0" w:oddVBand="0" w:evenVBand="0" w:oddHBand="1" w:evenHBand="0" w:firstRowFirstColumn="0" w:firstRowLastColumn="0" w:lastRowFirstColumn="0" w:lastRowLastColumn="0"/>
            </w:pPr>
            <w:r>
              <w:t>1468</w:t>
            </w:r>
          </w:p>
        </w:tc>
        <w:tc>
          <w:tcPr>
            <w:tcW w:w="1503" w:type="dxa"/>
            <w:hideMark/>
          </w:tcPr>
          <w:p w:rsidR="005F7A27" w:rsidRDefault="003A1867">
            <w:pPr>
              <w:pStyle w:val="P68B1DB1-Normal4"/>
              <w:jc w:val="both"/>
              <w:cnfStyle w:val="000000100000" w:firstRow="0" w:lastRow="0" w:firstColumn="0" w:lastColumn="0" w:oddVBand="0" w:evenVBand="0" w:oddHBand="1" w:evenHBand="0" w:firstRowFirstColumn="0" w:firstRowLastColumn="0" w:lastRowFirstColumn="0" w:lastRowLastColumn="0"/>
            </w:pPr>
            <w:r>
              <w:t>EUR 616 855</w:t>
            </w:r>
          </w:p>
        </w:tc>
        <w:tc>
          <w:tcPr>
            <w:tcW w:w="1200" w:type="dxa"/>
            <w:hideMark/>
          </w:tcPr>
          <w:p w:rsidR="005F7A27" w:rsidRDefault="003A1867">
            <w:pPr>
              <w:pStyle w:val="P68B1DB1-Normal6"/>
              <w:jc w:val="both"/>
              <w:cnfStyle w:val="000000100000" w:firstRow="0" w:lastRow="0" w:firstColumn="0" w:lastColumn="0" w:oddVBand="0" w:evenVBand="0" w:oddHBand="1" w:evenHBand="0" w:firstRowFirstColumn="0" w:firstRowLastColumn="0" w:lastRowFirstColumn="0" w:lastRowLastColumn="0"/>
            </w:pPr>
            <w:r>
              <w:t>3134</w:t>
            </w:r>
          </w:p>
        </w:tc>
      </w:tr>
    </w:tbl>
    <w:p w:rsidR="003A1867" w:rsidRDefault="003A1867">
      <w:pPr>
        <w:jc w:val="both"/>
        <w:rPr>
          <w:lang w:val="en-US"/>
        </w:rPr>
      </w:pPr>
    </w:p>
    <w:p w:rsidR="005F7A27" w:rsidRPr="00427683" w:rsidRDefault="003A1867">
      <w:pPr>
        <w:jc w:val="both"/>
        <w:rPr>
          <w:lang w:val="en-US"/>
        </w:rPr>
      </w:pPr>
      <w:r w:rsidRPr="00427683">
        <w:rPr>
          <w:lang w:val="en-US"/>
        </w:rPr>
        <w:lastRenderedPageBreak/>
        <w:t>From the end of the first</w:t>
      </w:r>
      <w:r w:rsidR="00427683">
        <w:rPr>
          <w:lang w:val="en-US"/>
        </w:rPr>
        <w:t xml:space="preserve"> quarter o</w:t>
      </w:r>
      <w:r w:rsidRPr="00427683">
        <w:rPr>
          <w:lang w:val="en-US"/>
        </w:rPr>
        <w:t>f 2019 until the end of the third</w:t>
      </w:r>
      <w:r w:rsidR="00427683">
        <w:rPr>
          <w:lang w:val="en-US"/>
        </w:rPr>
        <w:t xml:space="preserve"> quarter of </w:t>
      </w:r>
      <w:r>
        <w:rPr>
          <w:lang w:val="en-US"/>
        </w:rPr>
        <w:t>2020</w:t>
      </w:r>
      <w:r w:rsidRPr="00427683">
        <w:rPr>
          <w:lang w:val="en-US"/>
        </w:rPr>
        <w:t>, for</w:t>
      </w:r>
      <w:r>
        <w:rPr>
          <w:lang w:val="en-US"/>
        </w:rPr>
        <w:t xml:space="preserve"> the duration of the voucher</w:t>
      </w:r>
      <w:r w:rsidRPr="00427683">
        <w:rPr>
          <w:lang w:val="en-US"/>
        </w:rPr>
        <w:t xml:space="preserve"> scheme, the proportion of fixed broadband subscribers connected to speeds of at least 100Mbps in Cyprus increased from 2.7 % to 3.7 %, that is to say, </w:t>
      </w:r>
      <w:r w:rsidRPr="00427683">
        <w:rPr>
          <w:u w:val="single"/>
          <w:lang w:val="en-US"/>
        </w:rPr>
        <w:t>an increase of around 4000 subscribers</w:t>
      </w:r>
      <w:r w:rsidRPr="00427683">
        <w:rPr>
          <w:lang w:val="en-US"/>
        </w:rPr>
        <w:t xml:space="preserve">. </w:t>
      </w:r>
    </w:p>
    <w:p w:rsidR="005F7A27" w:rsidRPr="00427683" w:rsidRDefault="003A1867">
      <w:pPr>
        <w:jc w:val="both"/>
        <w:rPr>
          <w:lang w:val="en-US"/>
        </w:rPr>
      </w:pPr>
      <w:r w:rsidRPr="00427683">
        <w:rPr>
          <w:lang w:val="en-US"/>
        </w:rPr>
        <w:t>Ob</w:t>
      </w:r>
      <w:r w:rsidRPr="00427683">
        <w:rPr>
          <w:lang w:val="en-US"/>
        </w:rPr>
        <w:t>viously, in order to obtain a complete picture, the results of the project will have to be evaluated after a reasonable period has elapsed until the end of 2021, showing how many users eventually managed to maintain or even upgrade their contracts and unde</w:t>
      </w:r>
      <w:r w:rsidRPr="00427683">
        <w:rPr>
          <w:lang w:val="en-US"/>
        </w:rPr>
        <w:t xml:space="preserve">r what conditions, or finally chose to return to more economical </w:t>
      </w:r>
      <w:proofErr w:type="spellStart"/>
      <w:r w:rsidRPr="00427683">
        <w:rPr>
          <w:lang w:val="en-US"/>
        </w:rPr>
        <w:t>programmes</w:t>
      </w:r>
      <w:proofErr w:type="spellEnd"/>
      <w:r w:rsidRPr="00427683">
        <w:rPr>
          <w:lang w:val="en-US"/>
        </w:rPr>
        <w:t>.</w:t>
      </w:r>
      <w:r w:rsidRPr="00427683">
        <w:rPr>
          <w:lang w:val="en-US"/>
        </w:rPr>
        <w:t xml:space="preserve"> </w:t>
      </w:r>
    </w:p>
    <w:p w:rsidR="005F7A27" w:rsidRPr="00427683" w:rsidRDefault="003A1867">
      <w:pPr>
        <w:jc w:val="both"/>
        <w:rPr>
          <w:lang w:val="en-US"/>
        </w:rPr>
      </w:pPr>
      <w:r w:rsidRPr="00427683">
        <w:rPr>
          <w:lang w:val="en-US"/>
        </w:rPr>
        <w:t xml:space="preserve">Most vouchers (but not the highest amount of aid) were </w:t>
      </w:r>
      <w:proofErr w:type="spellStart"/>
      <w:r w:rsidRPr="00427683">
        <w:rPr>
          <w:lang w:val="en-US"/>
        </w:rPr>
        <w:t>realised</w:t>
      </w:r>
      <w:proofErr w:type="spellEnd"/>
      <w:r w:rsidRPr="00427683">
        <w:rPr>
          <w:lang w:val="en-US"/>
        </w:rPr>
        <w:t xml:space="preserve"> by </w:t>
      </w:r>
      <w:proofErr w:type="spellStart"/>
      <w:r w:rsidRPr="00427683">
        <w:rPr>
          <w:lang w:val="en-US"/>
        </w:rPr>
        <w:t>Cablenet</w:t>
      </w:r>
      <w:proofErr w:type="spellEnd"/>
      <w:r w:rsidRPr="00427683">
        <w:rPr>
          <w:lang w:val="en-US"/>
        </w:rPr>
        <w:t xml:space="preserve"> with </w:t>
      </w:r>
      <w:proofErr w:type="spellStart"/>
      <w:r w:rsidRPr="00427683">
        <w:rPr>
          <w:lang w:val="en-US"/>
        </w:rPr>
        <w:t>Primetel</w:t>
      </w:r>
      <w:proofErr w:type="spellEnd"/>
      <w:r w:rsidRPr="00427683">
        <w:rPr>
          <w:lang w:val="en-US"/>
        </w:rPr>
        <w:t xml:space="preserve"> and CYTA following them in comparable sizes. EPIC failed to keep pace with the other thr</w:t>
      </w:r>
      <w:r w:rsidRPr="00427683">
        <w:rPr>
          <w:lang w:val="en-US"/>
        </w:rPr>
        <w:t>ee. The number of vouchers and the amounts ultimately benefitted by each provider are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F7A27">
        <w:tc>
          <w:tcPr>
            <w:tcW w:w="4148" w:type="dxa"/>
          </w:tcPr>
          <w:p w:rsidR="005F7A27" w:rsidRDefault="001F1318">
            <w:pPr>
              <w:jc w:val="both"/>
            </w:pPr>
            <w:r>
              <w:object w:dxaOrig="3255" w:dyaOrig="4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2.75pt;height:202.5pt" o:ole="">
                  <v:imagedata r:id="rId6" o:title=""/>
                </v:shape>
                <o:OLEObject Type="Embed" ProgID="PBrush" ShapeID="_x0000_i1027" DrawAspect="Content" ObjectID="_1709541662" r:id="rId7"/>
              </w:object>
            </w:r>
          </w:p>
        </w:tc>
        <w:tc>
          <w:tcPr>
            <w:tcW w:w="4148" w:type="dxa"/>
          </w:tcPr>
          <w:p w:rsidR="005F7A27" w:rsidRDefault="001F1318">
            <w:pPr>
              <w:jc w:val="both"/>
            </w:pPr>
            <w:r>
              <w:object w:dxaOrig="3345" w:dyaOrig="3960">
                <v:shape id="_x0000_i1026" type="#_x0000_t75" style="width:167.25pt;height:198.75pt" o:ole="">
                  <v:imagedata r:id="rId8" o:title=""/>
                </v:shape>
                <o:OLEObject Type="Embed" ProgID="PBrush" ShapeID="_x0000_i1026" DrawAspect="Content" ObjectID="_1709541663" r:id="rId9"/>
              </w:object>
            </w:r>
          </w:p>
        </w:tc>
      </w:tr>
    </w:tbl>
    <w:p w:rsidR="005F7A27" w:rsidRDefault="005F7A27">
      <w:pPr>
        <w:jc w:val="both"/>
      </w:pPr>
    </w:p>
    <w:p w:rsidR="005F7A27" w:rsidRPr="00427683" w:rsidRDefault="003A1867">
      <w:pPr>
        <w:jc w:val="both"/>
        <w:rPr>
          <w:lang w:val="en-US"/>
        </w:rPr>
      </w:pPr>
      <w:r w:rsidRPr="00427683">
        <w:rPr>
          <w:lang w:val="en-US"/>
        </w:rPr>
        <w:t>The respective market shares per provider in 2 in</w:t>
      </w:r>
      <w:r>
        <w:rPr>
          <w:vertAlign w:val="superscript"/>
          <w:lang w:val="en-US"/>
        </w:rPr>
        <w:t xml:space="preserve"> </w:t>
      </w:r>
      <w:r>
        <w:rPr>
          <w:lang w:val="en-US"/>
        </w:rPr>
        <w:t xml:space="preserve">the first </w:t>
      </w:r>
      <w:r w:rsidRPr="00427683">
        <w:rPr>
          <w:lang w:val="en-US"/>
        </w:rPr>
        <w:t>half of 2020 were CYTA</w:t>
      </w:r>
      <w:proofErr w:type="gramStart"/>
      <w:r w:rsidRPr="00427683">
        <w:rPr>
          <w:lang w:val="en-US"/>
        </w:rPr>
        <w:t>:60.6</w:t>
      </w:r>
      <w:proofErr w:type="gramEnd"/>
      <w:r w:rsidRPr="00427683">
        <w:rPr>
          <w:lang w:val="en-US"/>
        </w:rPr>
        <w:t> %</w:t>
      </w:r>
      <w:r>
        <w:rPr>
          <w:lang w:val="en-US"/>
        </w:rPr>
        <w:t>, CABLENET:26 %, PRIMETEL:13 % and EPIC: 0.4 %. As the project</w:t>
      </w:r>
      <w:r w:rsidRPr="00427683">
        <w:rPr>
          <w:lang w:val="en-US"/>
        </w:rPr>
        <w:t xml:space="preserve"> had a maximum cap of EUR 200 000 per provider, it is not possible to make comparisons with the corresponding take-up rate of vouchers.</w:t>
      </w:r>
    </w:p>
    <w:p w:rsidR="005F7A27" w:rsidRPr="00427683" w:rsidRDefault="003A1867">
      <w:pPr>
        <w:jc w:val="both"/>
        <w:rPr>
          <w:lang w:val="en-US"/>
        </w:rPr>
      </w:pPr>
      <w:r w:rsidRPr="00427683">
        <w:rPr>
          <w:lang w:val="en-US"/>
        </w:rPr>
        <w:t>At this point it i</w:t>
      </w:r>
      <w:r>
        <w:rPr>
          <w:lang w:val="en-US"/>
        </w:rPr>
        <w:t>s worth noting that CYTA used</w:t>
      </w:r>
      <w:r w:rsidRPr="00427683">
        <w:rPr>
          <w:lang w:val="en-US"/>
        </w:rPr>
        <w:t xml:space="preserve"> more than 90 % of its allocation in 201</w:t>
      </w:r>
      <w:r w:rsidRPr="00427683">
        <w:rPr>
          <w:lang w:val="en-US"/>
        </w:rPr>
        <w:t xml:space="preserve">9 i.e. in the first 7 months from the start of the </w:t>
      </w:r>
      <w:proofErr w:type="spellStart"/>
      <w:r w:rsidRPr="00427683">
        <w:rPr>
          <w:lang w:val="en-US"/>
        </w:rPr>
        <w:t>programme</w:t>
      </w:r>
      <w:proofErr w:type="spellEnd"/>
      <w:r w:rsidRPr="00427683">
        <w:rPr>
          <w:lang w:val="en-US"/>
        </w:rPr>
        <w:t xml:space="preserve">. In 2020, it did not take any steps to redeem vouchers as it apparently considered that for the remaining amount there was no reason to </w:t>
      </w:r>
      <w:proofErr w:type="spellStart"/>
      <w:r w:rsidRPr="00427683">
        <w:rPr>
          <w:lang w:val="en-US"/>
        </w:rPr>
        <w:t>mobilise</w:t>
      </w:r>
      <w:proofErr w:type="spellEnd"/>
      <w:r w:rsidRPr="00427683">
        <w:rPr>
          <w:lang w:val="en-US"/>
        </w:rPr>
        <w:t xml:space="preserve"> the relevant sales and recovery procedures for the</w:t>
      </w:r>
      <w:r w:rsidRPr="00427683">
        <w:rPr>
          <w:lang w:val="en-US"/>
        </w:rPr>
        <w:t xml:space="preserve"> grant.</w:t>
      </w:r>
    </w:p>
    <w:p w:rsidR="005F7A27" w:rsidRPr="00427683" w:rsidRDefault="003A1867">
      <w:pPr>
        <w:jc w:val="both"/>
        <w:rPr>
          <w:lang w:val="en-US"/>
        </w:rPr>
      </w:pPr>
      <w:r w:rsidRPr="00427683">
        <w:rPr>
          <w:lang w:val="en-US"/>
        </w:rPr>
        <w:t>The four providers involved followed different trade policies. In particular:</w:t>
      </w:r>
    </w:p>
    <w:p w:rsidR="005F7A27" w:rsidRPr="00427683" w:rsidRDefault="003A1867">
      <w:pPr>
        <w:jc w:val="both"/>
        <w:rPr>
          <w:lang w:val="en-US"/>
        </w:rPr>
      </w:pPr>
      <w:r w:rsidRPr="00427683">
        <w:rPr>
          <w:lang w:val="en-US"/>
        </w:rPr>
        <w:t>CYTA chose to offer only basic internet access products (1Play) without telephony, without pay TV or mobile telephony. However, it allowed higher speeds up to 300Mbps.</w:t>
      </w:r>
    </w:p>
    <w:p w:rsidR="005F7A27" w:rsidRPr="00427683" w:rsidRDefault="003A1867">
      <w:pPr>
        <w:jc w:val="both"/>
        <w:rPr>
          <w:lang w:val="en-US"/>
        </w:rPr>
      </w:pPr>
      <w:proofErr w:type="spellStart"/>
      <w:r w:rsidRPr="00427683">
        <w:rPr>
          <w:lang w:val="en-US"/>
        </w:rPr>
        <w:t>Ca</w:t>
      </w:r>
      <w:r w:rsidRPr="00427683">
        <w:rPr>
          <w:lang w:val="en-US"/>
        </w:rPr>
        <w:t>blenet</w:t>
      </w:r>
      <w:proofErr w:type="spellEnd"/>
      <w:r w:rsidRPr="00427683">
        <w:rPr>
          <w:lang w:val="en-US"/>
        </w:rPr>
        <w:t xml:space="preserve"> chose to offer exclusively two products at 120Mbps speeds. One product included a fixed telephony service (2Play) and another also pay TV (3Play).</w:t>
      </w:r>
    </w:p>
    <w:p w:rsidR="005F7A27" w:rsidRPr="00427683" w:rsidRDefault="003A1867">
      <w:pPr>
        <w:jc w:val="both"/>
        <w:rPr>
          <w:lang w:val="en-US"/>
        </w:rPr>
      </w:pPr>
      <w:proofErr w:type="spellStart"/>
      <w:r w:rsidRPr="00427683">
        <w:rPr>
          <w:lang w:val="en-US"/>
        </w:rPr>
        <w:t>Primetel</w:t>
      </w:r>
      <w:proofErr w:type="spellEnd"/>
      <w:r w:rsidRPr="00427683">
        <w:rPr>
          <w:lang w:val="en-US"/>
        </w:rPr>
        <w:t xml:space="preserve"> provided the largest variety of combination </w:t>
      </w:r>
      <w:proofErr w:type="spellStart"/>
      <w:r w:rsidRPr="00427683">
        <w:rPr>
          <w:lang w:val="en-US"/>
        </w:rPr>
        <w:t>programmes</w:t>
      </w:r>
      <w:proofErr w:type="spellEnd"/>
      <w:r w:rsidRPr="00427683">
        <w:rPr>
          <w:lang w:val="en-US"/>
        </w:rPr>
        <w:t xml:space="preserve"> 1/2/3/4Play (in total 16) but all of them related to speeds of 100Mbps.</w:t>
      </w:r>
    </w:p>
    <w:p w:rsidR="005F7A27" w:rsidRPr="00427683" w:rsidRDefault="003A1867">
      <w:pPr>
        <w:jc w:val="both"/>
        <w:rPr>
          <w:lang w:val="en-US"/>
        </w:rPr>
      </w:pPr>
      <w:r w:rsidRPr="00427683">
        <w:rPr>
          <w:lang w:val="en-US"/>
        </w:rPr>
        <w:lastRenderedPageBreak/>
        <w:t xml:space="preserve"> Finally, EPIC offered 7 different 1/2/3Play </w:t>
      </w:r>
      <w:proofErr w:type="spellStart"/>
      <w:r w:rsidRPr="00427683">
        <w:rPr>
          <w:lang w:val="en-US"/>
        </w:rPr>
        <w:t>programmes</w:t>
      </w:r>
      <w:proofErr w:type="spellEnd"/>
      <w:r w:rsidRPr="00427683">
        <w:rPr>
          <w:lang w:val="en-US"/>
        </w:rPr>
        <w:t xml:space="preserve"> with speeds ranging from 100Mbps to 500Mbps.</w:t>
      </w:r>
    </w:p>
    <w:p w:rsidR="005F7A27" w:rsidRPr="00427683" w:rsidRDefault="003A1867">
      <w:pPr>
        <w:jc w:val="both"/>
        <w:rPr>
          <w:lang w:val="en-US"/>
        </w:rPr>
      </w:pPr>
      <w:r w:rsidRPr="00427683">
        <w:rPr>
          <w:lang w:val="en-US"/>
        </w:rPr>
        <w:t>The strategies chos</w:t>
      </w:r>
      <w:r w:rsidRPr="00427683">
        <w:rPr>
          <w:lang w:val="en-US"/>
        </w:rPr>
        <w:t xml:space="preserve">en by the providers were to a certain extent expected in the sense that CYTA, as the dominant provider with the highest coverage, chose to promote its most basic </w:t>
      </w:r>
      <w:proofErr w:type="spellStart"/>
      <w:r w:rsidRPr="00427683">
        <w:rPr>
          <w:lang w:val="en-US"/>
        </w:rPr>
        <w:t>programmes</w:t>
      </w:r>
      <w:proofErr w:type="spellEnd"/>
      <w:r w:rsidRPr="00427683">
        <w:rPr>
          <w:lang w:val="en-US"/>
        </w:rPr>
        <w:t xml:space="preserve"> by focusing on subscribers who would choose them with the main incentive to acquire</w:t>
      </w:r>
      <w:r w:rsidRPr="00427683">
        <w:rPr>
          <w:lang w:val="en-US"/>
        </w:rPr>
        <w:t xml:space="preserve"> a basic and economic internet connection without being interested in focusing on subscribers with the intent and ability to pay more expensive packages of services. In other words, it used the voucher as a tool for “financial” support for the most conserv</w:t>
      </w:r>
      <w:r w:rsidRPr="00427683">
        <w:rPr>
          <w:lang w:val="en-US"/>
        </w:rPr>
        <w:t>ative subscribers and as a tool for upselling.</w:t>
      </w:r>
    </w:p>
    <w:p w:rsidR="005F7A27" w:rsidRPr="00427683" w:rsidRDefault="003A1867">
      <w:pPr>
        <w:jc w:val="both"/>
        <w:rPr>
          <w:lang w:val="en-US"/>
        </w:rPr>
      </w:pPr>
      <w:r w:rsidRPr="00427683">
        <w:rPr>
          <w:lang w:val="en-US"/>
        </w:rPr>
        <w:t xml:space="preserve">On the contrary, the other providers offered a greater variety of </w:t>
      </w:r>
      <w:proofErr w:type="spellStart"/>
      <w:r w:rsidRPr="00427683">
        <w:rPr>
          <w:lang w:val="en-US"/>
        </w:rPr>
        <w:t>programmes</w:t>
      </w:r>
      <w:proofErr w:type="spellEnd"/>
      <w:r w:rsidRPr="00427683">
        <w:rPr>
          <w:lang w:val="en-US"/>
        </w:rPr>
        <w:t>, trying to obtain subscribers with higher added value.</w:t>
      </w:r>
    </w:p>
    <w:p w:rsidR="005F7A27" w:rsidRPr="00427683" w:rsidRDefault="003A1867">
      <w:pPr>
        <w:jc w:val="both"/>
        <w:rPr>
          <w:lang w:val="en-US"/>
        </w:rPr>
      </w:pPr>
      <w:r>
        <w:rPr>
          <w:noProof/>
        </w:rPr>
        <w:drawing>
          <wp:anchor distT="91440" distB="91440" distL="137160" distR="137160" simplePos="0" relativeHeight="251661312" behindDoc="0" locked="0" layoutInCell="0" allowOverlap="1" wp14:anchorId="67E25737" wp14:editId="7138D715">
            <wp:simplePos x="0" y="0"/>
            <wp:positionH relativeFrom="margin">
              <wp:posOffset>2171700</wp:posOffset>
            </wp:positionH>
            <wp:positionV relativeFrom="margin">
              <wp:posOffset>4447540</wp:posOffset>
            </wp:positionV>
            <wp:extent cx="993775" cy="5311775"/>
            <wp:effectExtent l="0" t="6350" r="9525" b="9525"/>
            <wp:wrapSquare wrapText="bothSides"/>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93775" cy="5311775"/>
                    </a:xfrm>
                    <a:prstGeom prst="roundRect">
                      <a:avLst>
                        <a:gd name="adj" fmla="val 13032"/>
                      </a:avLst>
                    </a:prstGeom>
                    <a:solidFill>
                      <a:schemeClr val="accent1"/>
                    </a:solidFill>
                    <a:extLst/>
                  </wps:spPr>
                  <wps:txbx>
                    <w:txbxContent>
                      <w:p w:rsidR="005F7A27" w:rsidRPr="00427683" w:rsidRDefault="003A1867">
                        <w:pPr>
                          <w:pStyle w:val="P68B1DB1-Normal7"/>
                          <w:jc w:val="center"/>
                          <w:rPr>
                            <w:lang w:val="en-US"/>
                          </w:rPr>
                        </w:pPr>
                        <w:r w:rsidRPr="00427683">
                          <w:rPr>
                            <w:lang w:val="en-US"/>
                          </w:rPr>
                          <w:t>It is therefore concluded that subscribers who made use of the vouchers we</w:t>
                        </w:r>
                        <w:r w:rsidRPr="00427683">
                          <w:rPr>
                            <w:lang w:val="en-US"/>
                          </w:rPr>
                          <w:t>re mainly interested in cheaper products (high speed but without TV or mobile telephony services) in a relatively inconsistent manner with the general market trend.</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w:r>
      <w:r w:rsidRPr="00427683">
        <w:rPr>
          <w:lang w:val="en-US"/>
        </w:rPr>
        <w:t>It is not possible to assess to what extent the commercial policies of the providers affect</w:t>
      </w:r>
      <w:r w:rsidRPr="00427683">
        <w:rPr>
          <w:lang w:val="en-US"/>
        </w:rPr>
        <w:t>ed the way in which subscribers chose products, but 82 % of them chose 1/2Play packages, i.e. relatively low-cost packages.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0"/>
        <w:gridCol w:w="5406"/>
      </w:tblGrid>
      <w:tr w:rsidR="005F7A27">
        <w:trPr>
          <w:trHeight w:val="4256"/>
        </w:trPr>
        <w:tc>
          <w:tcPr>
            <w:tcW w:w="2890" w:type="dxa"/>
          </w:tcPr>
          <w:p w:rsidR="005F7A27" w:rsidRDefault="003A1867">
            <w:pPr>
              <w:jc w:val="both"/>
            </w:pPr>
            <w:r>
              <w:rPr>
                <w:noProof/>
              </w:rPr>
              <w:drawing>
                <wp:inline distT="0" distB="0" distL="0" distR="0" wp14:anchorId="41C504DC" wp14:editId="3E58532C">
                  <wp:extent cx="1600200" cy="2524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2524125"/>
                          </a:xfrm>
                          <a:prstGeom prst="rect">
                            <a:avLst/>
                          </a:prstGeom>
                          <a:noFill/>
                          <a:ln>
                            <a:noFill/>
                          </a:ln>
                        </pic:spPr>
                      </pic:pic>
                    </a:graphicData>
                  </a:graphic>
                </wp:inline>
              </w:drawing>
            </w:r>
          </w:p>
        </w:tc>
        <w:bookmarkStart w:id="0" w:name="_GoBack"/>
        <w:tc>
          <w:tcPr>
            <w:tcW w:w="5406" w:type="dxa"/>
          </w:tcPr>
          <w:p w:rsidR="005F7A27" w:rsidRDefault="001F1318">
            <w:pPr>
              <w:jc w:val="both"/>
            </w:pPr>
            <w:r>
              <w:object w:dxaOrig="5190" w:dyaOrig="4035">
                <v:shape id="_x0000_i1025" type="#_x0000_t75" style="width:259.5pt;height:201.75pt" o:ole="">
                  <v:imagedata r:id="rId11" o:title=""/>
                </v:shape>
                <o:OLEObject Type="Embed" ProgID="PBrush" ShapeID="_x0000_i1025" DrawAspect="Content" ObjectID="_1709541664" r:id="rId12"/>
              </w:object>
            </w:r>
            <w:bookmarkEnd w:id="0"/>
          </w:p>
        </w:tc>
      </w:tr>
    </w:tbl>
    <w:p w:rsidR="005F7A27" w:rsidRPr="00427683" w:rsidRDefault="003A1867">
      <w:pPr>
        <w:jc w:val="both"/>
        <w:rPr>
          <w:lang w:val="en-US"/>
        </w:rPr>
      </w:pPr>
      <w:r w:rsidRPr="00427683">
        <w:rPr>
          <w:lang w:val="en-US"/>
        </w:rPr>
        <w:t>Even if CYTA subscribers who did not have access to 3/4Play products were removed, only 22 % of the others op</w:t>
      </w:r>
      <w:r w:rsidRPr="00427683">
        <w:rPr>
          <w:lang w:val="en-US"/>
        </w:rPr>
        <w:t>ted for TV or mobile packages. According to DESI data for 2020, the share of subscribers with 3/4Play services in the Cypriot market was above 35 %, i.e. almost 60 % higher.</w:t>
      </w:r>
    </w:p>
    <w:p w:rsidR="005F7A27" w:rsidRPr="00427683" w:rsidRDefault="003A1867" w:rsidP="003A1867">
      <w:pPr>
        <w:jc w:val="both"/>
        <w:rPr>
          <w:lang w:val="en-US"/>
        </w:rPr>
      </w:pPr>
      <w:r>
        <w:rPr>
          <w:noProof/>
        </w:rPr>
        <w:lastRenderedPageBreak/>
        <mc:AlternateContent>
          <mc:Choice Requires="wps">
            <w:drawing>
              <wp:anchor distT="91440" distB="91440" distL="137160" distR="137160" simplePos="0" relativeHeight="251663360" behindDoc="0" locked="0" layoutInCell="0" allowOverlap="1" wp14:anchorId="2D693D72" wp14:editId="39671841">
                <wp:simplePos x="0" y="0"/>
                <wp:positionH relativeFrom="margin">
                  <wp:posOffset>1765935</wp:posOffset>
                </wp:positionH>
                <wp:positionV relativeFrom="margin">
                  <wp:posOffset>-1100455</wp:posOffset>
                </wp:positionV>
                <wp:extent cx="1888490" cy="5074285"/>
                <wp:effectExtent l="7302" t="0" r="4763" b="4762"/>
                <wp:wrapSquare wrapText="bothSides"/>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888490" cy="5074285"/>
                        </a:xfrm>
                        <a:prstGeom prst="roundRect">
                          <a:avLst>
                            <a:gd name="adj" fmla="val 13032"/>
                          </a:avLst>
                        </a:prstGeom>
                        <a:solidFill>
                          <a:schemeClr val="accent1"/>
                        </a:solidFill>
                        <a:extLst/>
                      </wps:spPr>
                      <wps:txbx>
                        <w:txbxContent>
                          <w:p w:rsidR="005F7A27" w:rsidRPr="00427683" w:rsidRDefault="003A1867">
                            <w:pPr>
                              <w:pStyle w:val="ListParagraph"/>
                              <w:numPr>
                                <w:ilvl w:val="0"/>
                                <w:numId w:val="3"/>
                              </w:numPr>
                              <w:rPr>
                                <w:lang w:val="en-US"/>
                              </w:rPr>
                            </w:pPr>
                            <w:r w:rsidRPr="00427683">
                              <w:rPr>
                                <w:lang w:val="en-US"/>
                              </w:rPr>
                              <w:t xml:space="preserve">Directing vouchers to as many final beneficiaries as possible. </w:t>
                            </w:r>
                          </w:p>
                          <w:p w:rsidR="005F7A27" w:rsidRPr="00427683" w:rsidRDefault="003A1867">
                            <w:pPr>
                              <w:pStyle w:val="ListParagraph"/>
                              <w:numPr>
                                <w:ilvl w:val="0"/>
                                <w:numId w:val="3"/>
                              </w:numPr>
                              <w:rPr>
                                <w:lang w:val="en-US"/>
                              </w:rPr>
                            </w:pPr>
                            <w:r w:rsidRPr="00427683">
                              <w:rPr>
                                <w:lang w:val="en-US"/>
                              </w:rPr>
                              <w:t xml:space="preserve">Possibly </w:t>
                            </w:r>
                            <w:proofErr w:type="spellStart"/>
                            <w:r w:rsidRPr="00427683">
                              <w:rPr>
                                <w:lang w:val="en-US"/>
                              </w:rPr>
                              <w:t>prioritising</w:t>
                            </w:r>
                            <w:proofErr w:type="spellEnd"/>
                            <w:r w:rsidRPr="00427683">
                              <w:rPr>
                                <w:lang w:val="en-US"/>
                              </w:rPr>
                              <w:t xml:space="preserve"> the provision of vouchers to vulnerable social groups</w:t>
                            </w:r>
                          </w:p>
                          <w:p w:rsidR="005F7A27" w:rsidRPr="00427683" w:rsidRDefault="003A1867">
                            <w:pPr>
                              <w:pStyle w:val="ListParagraph"/>
                              <w:numPr>
                                <w:ilvl w:val="0"/>
                                <w:numId w:val="3"/>
                              </w:numPr>
                              <w:rPr>
                                <w:b/>
                                <w:lang w:val="en-US"/>
                              </w:rPr>
                            </w:pPr>
                            <w:r w:rsidRPr="00427683">
                              <w:rPr>
                                <w:lang w:val="en-US"/>
                              </w:rPr>
                              <w:t>Disconnection of the voucher from any high value-added products such as 3/4Play with a definition of a single low payment of EUR 25 per month regardless of the amount of the final amount of the assistance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D693D72" id="_x0000_s1028" style="position:absolute;left:0;text-align:left;margin-left:139.05pt;margin-top:-86.65pt;width:148.7pt;height:399.55pt;rotation:90;z-index:25166336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" o:allowincell="f" fillcolor="#5b9bd5 [3204]" stroked="f">
                <v:textbox>
                  <w:txbxContent>
                    <w:p w:rsidR="005F7A27" w:rsidRPr="00427683" w:rsidRDefault="003A1867">
                      <w:pPr>
                        <w:pStyle w:val="ListParagraph"/>
                        <w:numPr>
                          <w:ilvl w:val="0"/>
                          <w:numId w:val="3"/>
                        </w:numPr>
                        <w:rPr>
                          <w:lang w:val="en-US"/>
                        </w:rPr>
                      </w:pPr>
                      <w:r w:rsidRPr="00427683">
                        <w:rPr>
                          <w:lang w:val="en-US"/>
                        </w:rPr>
                        <w:t xml:space="preserve">Directing vouchers to as many final beneficiaries as possible. </w:t>
                      </w:r>
                    </w:p>
                    <w:p w:rsidR="005F7A27" w:rsidRPr="00427683" w:rsidRDefault="003A1867">
                      <w:pPr>
                        <w:pStyle w:val="ListParagraph"/>
                        <w:numPr>
                          <w:ilvl w:val="0"/>
                          <w:numId w:val="3"/>
                        </w:numPr>
                        <w:rPr>
                          <w:lang w:val="en-US"/>
                        </w:rPr>
                      </w:pPr>
                      <w:r w:rsidRPr="00427683">
                        <w:rPr>
                          <w:lang w:val="en-US"/>
                        </w:rPr>
                        <w:t xml:space="preserve">Possibly </w:t>
                      </w:r>
                      <w:proofErr w:type="spellStart"/>
                      <w:r w:rsidRPr="00427683">
                        <w:rPr>
                          <w:lang w:val="en-US"/>
                        </w:rPr>
                        <w:t>prioritising</w:t>
                      </w:r>
                      <w:proofErr w:type="spellEnd"/>
                      <w:r w:rsidRPr="00427683">
                        <w:rPr>
                          <w:lang w:val="en-US"/>
                        </w:rPr>
                        <w:t xml:space="preserve"> the provision of vouchers to vulnerable social groups</w:t>
                      </w:r>
                    </w:p>
                    <w:p w:rsidR="005F7A27" w:rsidRPr="00427683" w:rsidRDefault="003A1867">
                      <w:pPr>
                        <w:pStyle w:val="ListParagraph"/>
                        <w:numPr>
                          <w:ilvl w:val="0"/>
                          <w:numId w:val="3"/>
                        </w:numPr>
                        <w:rPr>
                          <w:b/>
                          <w:lang w:val="en-US"/>
                        </w:rPr>
                      </w:pPr>
                      <w:r w:rsidRPr="00427683">
                        <w:rPr>
                          <w:lang w:val="en-US"/>
                        </w:rPr>
                        <w:t>Disconnection of the voucher from any high value-added products such as 3/4Play with a definition of a single low payment of EUR 25 per month regardless of the amount of the final amount of the assistance</w:t>
                      </w:r>
                    </w:p>
                  </w:txbxContent>
                </v:textbox>
                <w10:wrap type="square" anchorx="margin" anchory="margin"/>
              </v:roundrect>
            </w:pict>
          </mc:Fallback>
        </mc:AlternateContent>
      </w:r>
      <w:r w:rsidRPr="00427683">
        <w:rPr>
          <w:lang w:val="en-US"/>
        </w:rPr>
        <w:t>The above conclusions could be used to design a broader demand-enhancing action in</w:t>
      </w:r>
      <w:r w:rsidRPr="00427683">
        <w:rPr>
          <w:lang w:val="en-US"/>
        </w:rPr>
        <w:t xml:space="preserve"> the following directions:</w:t>
      </w:r>
    </w:p>
    <w:p w:rsidR="005F7A27" w:rsidRPr="00427683" w:rsidRDefault="005F7A27">
      <w:pPr>
        <w:spacing w:after="0" w:line="240" w:lineRule="auto"/>
        <w:rPr>
          <w:rFonts w:ascii="Calibri" w:eastAsia="Calibri" w:hAnsi="Calibri" w:cs="Times New Roman"/>
          <w:color w:val="1F497D"/>
          <w:lang w:val="en-US"/>
        </w:rPr>
      </w:pPr>
    </w:p>
    <w:p w:rsidR="005F7A27" w:rsidRPr="00427683" w:rsidRDefault="003A1867">
      <w:pPr>
        <w:pStyle w:val="P68B1DB1-Normal8"/>
        <w:numPr>
          <w:ilvl w:val="0"/>
          <w:numId w:val="4"/>
        </w:numPr>
        <w:spacing w:after="0" w:line="240" w:lineRule="auto"/>
        <w:jc w:val="both"/>
        <w:rPr>
          <w:lang w:val="en-US"/>
        </w:rPr>
      </w:pPr>
      <w:r w:rsidRPr="00427683">
        <w:rPr>
          <w:lang w:val="en-US"/>
        </w:rPr>
        <w:t xml:space="preserve">Could you please describe the </w:t>
      </w:r>
      <w:proofErr w:type="spellStart"/>
      <w:r w:rsidRPr="00427683">
        <w:rPr>
          <w:lang w:val="en-US"/>
        </w:rPr>
        <w:t>programme</w:t>
      </w:r>
      <w:proofErr w:type="spellEnd"/>
      <w:r w:rsidRPr="00427683">
        <w:rPr>
          <w:lang w:val="en-US"/>
        </w:rPr>
        <w:t>? (name,</w:t>
      </w:r>
      <w:r w:rsidRPr="00427683">
        <w:rPr>
          <w:lang w:val="en-US"/>
        </w:rPr>
        <w:t xml:space="preserve"> year of implementation, area of deployment)</w:t>
      </w:r>
    </w:p>
    <w:p w:rsidR="005F7A27" w:rsidRPr="00427683" w:rsidRDefault="005F7A27">
      <w:pPr>
        <w:spacing w:after="0" w:line="240" w:lineRule="auto"/>
        <w:jc w:val="both"/>
        <w:rPr>
          <w:rFonts w:ascii="Calibri" w:eastAsia="Calibri" w:hAnsi="Calibri" w:cs="Times New Roman"/>
          <w:color w:val="1F497D"/>
          <w:lang w:val="en-US"/>
        </w:rPr>
      </w:pPr>
    </w:p>
    <w:p w:rsidR="005F7A27" w:rsidRPr="00427683" w:rsidRDefault="003A1867">
      <w:pPr>
        <w:pStyle w:val="P68B1DB1-Normal9"/>
        <w:spacing w:after="0" w:line="240" w:lineRule="auto"/>
        <w:ind w:left="720"/>
        <w:jc w:val="both"/>
        <w:rPr>
          <w:lang w:val="en-US"/>
        </w:rPr>
      </w:pPr>
      <w:r w:rsidRPr="00427683">
        <w:rPr>
          <w:lang w:val="en-US"/>
        </w:rPr>
        <w:t xml:space="preserve">The main challenge for Cyprus is to promote investments in </w:t>
      </w:r>
      <w:proofErr w:type="gramStart"/>
      <w:r w:rsidRPr="00427683">
        <w:rPr>
          <w:lang w:val="en-US"/>
        </w:rPr>
        <w:t>Ultrafast</w:t>
      </w:r>
      <w:proofErr w:type="gramEnd"/>
      <w:r w:rsidRPr="00427683">
        <w:rPr>
          <w:lang w:val="en-US"/>
        </w:rPr>
        <w:t xml:space="preserve"> networks and encourage take-up of high speed and very high speed broadband connectivity, which is Influenced by factors such as pricing, a la</w:t>
      </w:r>
      <w:r w:rsidRPr="00427683">
        <w:rPr>
          <w:lang w:val="en-US"/>
        </w:rPr>
        <w:t xml:space="preserve">ck of stronger content and low digital literacy. To address pricing issues, Cyprus announced in April 2019 a pilot voucher scheme, which </w:t>
      </w:r>
      <w:proofErr w:type="spellStart"/>
      <w:r w:rsidRPr="00427683">
        <w:rPr>
          <w:lang w:val="en-US"/>
        </w:rPr>
        <w:t>subsidised</w:t>
      </w:r>
      <w:proofErr w:type="spellEnd"/>
      <w:r w:rsidRPr="00427683">
        <w:rPr>
          <w:lang w:val="en-US"/>
        </w:rPr>
        <w:t xml:space="preserve"> new subscriptions (or upgrades) for speeds of 100 Mbps and above for a duration of 12 months. The intension </w:t>
      </w:r>
      <w:r w:rsidRPr="00427683">
        <w:rPr>
          <w:lang w:val="en-US"/>
        </w:rPr>
        <w:t xml:space="preserve">was to cover around one third of the annual costs, which amounts to a subsidy of EUR </w:t>
      </w:r>
      <w:proofErr w:type="spellStart"/>
      <w:r w:rsidRPr="00427683">
        <w:rPr>
          <w:lang w:val="en-US"/>
        </w:rPr>
        <w:t>EUR</w:t>
      </w:r>
      <w:proofErr w:type="spellEnd"/>
      <w:r w:rsidRPr="00427683">
        <w:rPr>
          <w:lang w:val="en-US"/>
        </w:rPr>
        <w:t xml:space="preserve"> 360, the maximum per subscription per year. The total budget was initially estimated at EUR 800 000, originating entirely from national funds. The scheme was expanded </w:t>
      </w:r>
      <w:r w:rsidRPr="00427683">
        <w:rPr>
          <w:lang w:val="en-US"/>
        </w:rPr>
        <w:t xml:space="preserve">for another year till December 2020 since two of the major operators didn’t enough have network coverage to offer </w:t>
      </w:r>
      <w:proofErr w:type="gramStart"/>
      <w:r w:rsidRPr="00427683">
        <w:rPr>
          <w:lang w:val="en-US"/>
        </w:rPr>
        <w:t>Ultrafast</w:t>
      </w:r>
      <w:proofErr w:type="gramEnd"/>
      <w:r w:rsidRPr="00427683">
        <w:rPr>
          <w:lang w:val="en-US"/>
        </w:rPr>
        <w:t xml:space="preserve"> connectivity to their customers during 2019. This was a pilot program and each of the four main operators could benefit a maximum of</w:t>
      </w:r>
      <w:r w:rsidRPr="00427683">
        <w:rPr>
          <w:lang w:val="en-US"/>
        </w:rPr>
        <w:t xml:space="preserve"> EUR 200 000 according to the de </w:t>
      </w:r>
      <w:proofErr w:type="spellStart"/>
      <w:r w:rsidRPr="00427683">
        <w:rPr>
          <w:lang w:val="en-US"/>
        </w:rPr>
        <w:t>minimis</w:t>
      </w:r>
      <w:proofErr w:type="spellEnd"/>
      <w:r w:rsidRPr="00427683">
        <w:rPr>
          <w:lang w:val="en-US"/>
        </w:rPr>
        <w:t xml:space="preserve"> regulation of state aid. Therefore no state aid notification was needed and the procedure was straight forward.</w:t>
      </w:r>
    </w:p>
    <w:p w:rsidR="005F7A27" w:rsidRPr="00427683" w:rsidRDefault="005F7A27">
      <w:pPr>
        <w:spacing w:after="0" w:line="240" w:lineRule="auto"/>
        <w:jc w:val="both"/>
        <w:rPr>
          <w:rFonts w:ascii="Calibri" w:eastAsia="Calibri" w:hAnsi="Calibri" w:cs="Times New Roman"/>
          <w:lang w:val="en-US"/>
        </w:rPr>
      </w:pPr>
    </w:p>
    <w:p w:rsidR="005F7A27" w:rsidRPr="00427683" w:rsidRDefault="003A1867">
      <w:pPr>
        <w:pStyle w:val="P68B1DB1-Normal8"/>
        <w:spacing w:after="0" w:line="240" w:lineRule="auto"/>
        <w:jc w:val="both"/>
        <w:rPr>
          <w:lang w:val="en-US"/>
        </w:rPr>
      </w:pPr>
      <w:r w:rsidRPr="00427683">
        <w:rPr>
          <w:lang w:val="en-US"/>
        </w:rPr>
        <w:tab/>
      </w:r>
    </w:p>
    <w:p w:rsidR="005F7A27" w:rsidRPr="00427683" w:rsidRDefault="003A1867">
      <w:pPr>
        <w:pStyle w:val="P68B1DB1-Normal8"/>
        <w:numPr>
          <w:ilvl w:val="0"/>
          <w:numId w:val="4"/>
        </w:numPr>
        <w:spacing w:after="0" w:line="240" w:lineRule="auto"/>
        <w:jc w:val="both"/>
        <w:rPr>
          <w:lang w:val="en-US"/>
        </w:rPr>
      </w:pPr>
      <w:r w:rsidRPr="00427683">
        <w:rPr>
          <w:lang w:val="en-US"/>
        </w:rPr>
        <w:t xml:space="preserve">How many households (or subscribers) did it serve and with what speeds? </w:t>
      </w:r>
    </w:p>
    <w:p w:rsidR="005F7A27" w:rsidRPr="00427683" w:rsidRDefault="005F7A27">
      <w:pPr>
        <w:spacing w:after="0" w:line="240" w:lineRule="auto"/>
        <w:jc w:val="both"/>
        <w:rPr>
          <w:rFonts w:ascii="Calibri" w:eastAsia="Calibri" w:hAnsi="Calibri" w:cs="Times New Roman"/>
          <w:color w:val="1F497D"/>
          <w:lang w:val="en-US"/>
        </w:rPr>
      </w:pPr>
    </w:p>
    <w:p w:rsidR="005F7A27" w:rsidRPr="00427683" w:rsidRDefault="003A1867">
      <w:pPr>
        <w:pStyle w:val="P68B1DB1-Normal9"/>
        <w:spacing w:after="0" w:line="240" w:lineRule="auto"/>
        <w:ind w:left="720"/>
        <w:jc w:val="both"/>
        <w:rPr>
          <w:lang w:val="en-US"/>
        </w:rPr>
      </w:pPr>
      <w:r w:rsidRPr="00427683">
        <w:rPr>
          <w:lang w:val="en-US"/>
        </w:rPr>
        <w:t>A total of 3134 vouchers w</w:t>
      </w:r>
      <w:r w:rsidRPr="00427683">
        <w:rPr>
          <w:lang w:val="en-US"/>
        </w:rPr>
        <w:t>ere issued for an equal number of contracts. The exact amount corresponding to these vouchers was EUR 616.855. Most of the contracts were at 100 and 120 Mbps with some minor cases at 200 and 300 Mbps. It is very important to identify that while the voucher</w:t>
      </w:r>
      <w:r w:rsidRPr="00427683">
        <w:rPr>
          <w:lang w:val="en-US"/>
        </w:rPr>
        <w:t xml:space="preserve"> scheme was running, the percentage of fixed broadband subscribers associated with speeds of at least 100Mbps in Cyprus, increased from 2.7 % to 3.7 %, an increase of about 4000 subscribers. Given that 3144 coupons were issued during this period, it is con</w:t>
      </w:r>
      <w:r w:rsidRPr="00427683">
        <w:rPr>
          <w:lang w:val="en-US"/>
        </w:rPr>
        <w:t xml:space="preserve">cluded that around 3 out of 4 subscribers who activated new connections at speeds of at least 100Mbps, did so using the voucher program. </w:t>
      </w:r>
    </w:p>
    <w:p w:rsidR="005F7A27" w:rsidRPr="00427683" w:rsidRDefault="005F7A27">
      <w:pPr>
        <w:spacing w:after="0" w:line="240" w:lineRule="auto"/>
        <w:jc w:val="both"/>
        <w:rPr>
          <w:rFonts w:ascii="Calibri" w:eastAsia="Calibri" w:hAnsi="Calibri" w:cs="Times New Roman"/>
          <w:color w:val="1F497D"/>
          <w:lang w:val="en-US"/>
        </w:rPr>
      </w:pPr>
    </w:p>
    <w:p w:rsidR="005F7A27" w:rsidRPr="00427683" w:rsidRDefault="005F7A27">
      <w:pPr>
        <w:spacing w:after="0" w:line="240" w:lineRule="auto"/>
        <w:jc w:val="both"/>
        <w:rPr>
          <w:rFonts w:ascii="Calibri" w:eastAsia="Calibri" w:hAnsi="Calibri" w:cs="Times New Roman"/>
          <w:color w:val="1F497D"/>
          <w:lang w:val="en-US"/>
        </w:rPr>
      </w:pPr>
    </w:p>
    <w:p w:rsidR="005F7A27" w:rsidRPr="00427683" w:rsidRDefault="003A1867">
      <w:pPr>
        <w:pStyle w:val="P68B1DB1-Normal8"/>
        <w:numPr>
          <w:ilvl w:val="0"/>
          <w:numId w:val="4"/>
        </w:numPr>
        <w:spacing w:after="0" w:line="240" w:lineRule="auto"/>
        <w:jc w:val="both"/>
        <w:rPr>
          <w:lang w:val="en-US"/>
        </w:rPr>
      </w:pPr>
      <w:r w:rsidRPr="00427683">
        <w:rPr>
          <w:lang w:val="en-US"/>
        </w:rPr>
        <w:t>Was there a need for such a scheme and why was the scheme significant for Cyprus? Why did Cyprus implement this proj</w:t>
      </w:r>
      <w:r w:rsidRPr="00427683">
        <w:rPr>
          <w:lang w:val="en-US"/>
        </w:rPr>
        <w:t>ect? (Trying to reach the EU connectivity targets for 2025?)</w:t>
      </w:r>
    </w:p>
    <w:p w:rsidR="005F7A27" w:rsidRPr="00427683" w:rsidRDefault="005F7A27">
      <w:pPr>
        <w:spacing w:after="0" w:line="240" w:lineRule="auto"/>
        <w:jc w:val="both"/>
        <w:rPr>
          <w:rFonts w:ascii="Calibri" w:eastAsia="Calibri" w:hAnsi="Calibri" w:cs="Times New Roman"/>
          <w:color w:val="1F497D"/>
          <w:lang w:val="en-US"/>
        </w:rPr>
      </w:pPr>
    </w:p>
    <w:p w:rsidR="005F7A27" w:rsidRPr="00427683" w:rsidRDefault="003A1867">
      <w:pPr>
        <w:pStyle w:val="P68B1DB1-Normal9"/>
        <w:spacing w:after="0" w:line="240" w:lineRule="auto"/>
        <w:ind w:left="720"/>
        <w:jc w:val="both"/>
        <w:rPr>
          <w:lang w:val="en-US"/>
        </w:rPr>
      </w:pPr>
      <w:r w:rsidRPr="00427683">
        <w:rPr>
          <w:lang w:val="en-US"/>
        </w:rPr>
        <w:lastRenderedPageBreak/>
        <w:t>While the availability of a broadband infrastructure is a prerequisite for the possibility to SUBSCRIBE to the service this could, in some cases, not be sufficient to ensure the development of h</w:t>
      </w:r>
      <w:r w:rsidRPr="00427683">
        <w:rPr>
          <w:lang w:val="en-US"/>
        </w:rPr>
        <w:t>igh-performing services, due to the end-users’ relatively low propensity to concentrate and more money on broadband services.</w:t>
      </w:r>
    </w:p>
    <w:p w:rsidR="005F7A27" w:rsidRPr="00427683" w:rsidRDefault="005F7A27">
      <w:pPr>
        <w:spacing w:after="0" w:line="240" w:lineRule="auto"/>
        <w:ind w:left="720"/>
        <w:jc w:val="both"/>
        <w:rPr>
          <w:rFonts w:ascii="Calibri" w:eastAsia="Calibri" w:hAnsi="Calibri" w:cs="Times New Roman"/>
          <w:lang w:val="en-US"/>
        </w:rPr>
      </w:pPr>
    </w:p>
    <w:p w:rsidR="005F7A27" w:rsidRPr="00427683" w:rsidRDefault="003A1867">
      <w:pPr>
        <w:pStyle w:val="P68B1DB1-Normal9"/>
        <w:spacing w:after="0" w:line="240" w:lineRule="auto"/>
        <w:ind w:left="720"/>
        <w:jc w:val="both"/>
        <w:rPr>
          <w:lang w:val="en-US"/>
        </w:rPr>
      </w:pPr>
      <w:r w:rsidRPr="00427683">
        <w:rPr>
          <w:lang w:val="en-US"/>
        </w:rPr>
        <w:t>In Cyprus there is a big difference between coverage and take-up especially in Ultrafast broadband. According a recent study of O</w:t>
      </w:r>
      <w:r w:rsidRPr="00427683">
        <w:rPr>
          <w:lang w:val="en-US"/>
        </w:rPr>
        <w:t>CECPR, income plays an important role in broadband take-up. The lowest income decile has a take-up rate for fixed broadband of just 58 % as opposed to 100 % in the highest income decile. For that reason and following the best practices from other member st</w:t>
      </w:r>
      <w:r w:rsidRPr="00427683">
        <w:rPr>
          <w:lang w:val="en-US"/>
        </w:rPr>
        <w:t xml:space="preserve">ates presented by the BCO Support Facility, we have decided to run a pilot voucher program in order to encourage and promote </w:t>
      </w:r>
      <w:proofErr w:type="gramStart"/>
      <w:r w:rsidRPr="00427683">
        <w:rPr>
          <w:lang w:val="en-US"/>
        </w:rPr>
        <w:t>Ultrafast</w:t>
      </w:r>
      <w:proofErr w:type="gramEnd"/>
      <w:r w:rsidRPr="00427683">
        <w:rPr>
          <w:lang w:val="en-US"/>
        </w:rPr>
        <w:t xml:space="preserve"> connectivity. </w:t>
      </w:r>
    </w:p>
    <w:p w:rsidR="005F7A27" w:rsidRPr="00427683" w:rsidRDefault="005F7A27">
      <w:pPr>
        <w:spacing w:after="0" w:line="240" w:lineRule="auto"/>
        <w:ind w:left="720"/>
        <w:jc w:val="both"/>
        <w:rPr>
          <w:rFonts w:ascii="Calibri" w:eastAsia="Calibri" w:hAnsi="Calibri" w:cs="Times New Roman"/>
          <w:lang w:val="en-US"/>
        </w:rPr>
      </w:pPr>
    </w:p>
    <w:p w:rsidR="005F7A27" w:rsidRPr="00427683" w:rsidRDefault="003A1867">
      <w:pPr>
        <w:pStyle w:val="P68B1DB1-Normal9"/>
        <w:spacing w:after="0" w:line="240" w:lineRule="auto"/>
        <w:ind w:left="720"/>
        <w:jc w:val="both"/>
        <w:rPr>
          <w:lang w:val="en-US"/>
        </w:rPr>
      </w:pPr>
      <w:r w:rsidRPr="00427683">
        <w:rPr>
          <w:lang w:val="en-US"/>
        </w:rPr>
        <w:t>The broadband voucher main objective was to address a demand/take-up deficiency, by reducing the cost of broadband access for the end-users to encourage take-up of broadband services. These type of schemes can help Member States pursue key European Union c</w:t>
      </w:r>
      <w:r w:rsidRPr="00427683">
        <w:rPr>
          <w:lang w:val="en-US"/>
        </w:rPr>
        <w:t xml:space="preserve">onnectivity objectives: </w:t>
      </w:r>
      <w:r w:rsidRPr="00427683">
        <w:rPr>
          <w:u w:val="single"/>
          <w:lang w:val="en-US"/>
        </w:rPr>
        <w:t>Digital Agenda for Europe</w:t>
      </w:r>
      <w:r w:rsidRPr="00427683">
        <w:rPr>
          <w:lang w:val="en-US"/>
        </w:rPr>
        <w:t xml:space="preserve"> “...50 % or more of European households SUBSCRIBE to Internet connections above 100Mbps” and </w:t>
      </w:r>
      <w:r w:rsidRPr="00427683">
        <w:rPr>
          <w:u w:val="single"/>
          <w:lang w:val="en-US"/>
        </w:rPr>
        <w:t>Gigabit Society 2025</w:t>
      </w:r>
      <w:r w:rsidRPr="00427683">
        <w:rPr>
          <w:lang w:val="en-US"/>
        </w:rPr>
        <w:t xml:space="preserve"> “...all European households should have access to 100 Mbps connections by 2025, with the possibility to upgrade these networks to reach much higher speeds”.</w:t>
      </w:r>
    </w:p>
    <w:p w:rsidR="005F7A27" w:rsidRPr="00427683" w:rsidRDefault="005F7A27">
      <w:pPr>
        <w:spacing w:after="0" w:line="240" w:lineRule="auto"/>
        <w:jc w:val="both"/>
        <w:rPr>
          <w:rFonts w:ascii="Calibri" w:eastAsia="Calibri" w:hAnsi="Calibri" w:cs="Times New Roman"/>
          <w:color w:val="1F497D"/>
          <w:lang w:val="en-US"/>
        </w:rPr>
      </w:pPr>
    </w:p>
    <w:p w:rsidR="005F7A27" w:rsidRPr="00427683" w:rsidRDefault="005F7A27">
      <w:pPr>
        <w:spacing w:after="0" w:line="240" w:lineRule="auto"/>
        <w:jc w:val="both"/>
        <w:rPr>
          <w:rFonts w:ascii="Calibri" w:eastAsia="Calibri" w:hAnsi="Calibri" w:cs="Times New Roman"/>
          <w:color w:val="1F497D"/>
          <w:lang w:val="en-US"/>
        </w:rPr>
      </w:pPr>
    </w:p>
    <w:p w:rsidR="005F7A27" w:rsidRPr="00427683" w:rsidRDefault="003A1867">
      <w:pPr>
        <w:pStyle w:val="P68B1DB1-Normal8"/>
        <w:numPr>
          <w:ilvl w:val="0"/>
          <w:numId w:val="4"/>
        </w:numPr>
        <w:spacing w:after="0" w:line="240" w:lineRule="auto"/>
        <w:jc w:val="both"/>
        <w:rPr>
          <w:lang w:val="en-US"/>
        </w:rPr>
      </w:pPr>
      <w:r w:rsidRPr="00427683">
        <w:rPr>
          <w:lang w:val="en-US"/>
        </w:rPr>
        <w:t>What was the total cost of the project and how did the European Commission help in developing su</w:t>
      </w:r>
      <w:r w:rsidRPr="00427683">
        <w:rPr>
          <w:lang w:val="en-US"/>
        </w:rPr>
        <w:t xml:space="preserve">ch a project (maybe mention here the de </w:t>
      </w:r>
      <w:proofErr w:type="spellStart"/>
      <w:r w:rsidRPr="00427683">
        <w:rPr>
          <w:lang w:val="en-US"/>
        </w:rPr>
        <w:t>minimis</w:t>
      </w:r>
      <w:proofErr w:type="spellEnd"/>
      <w:r w:rsidRPr="00427683">
        <w:rPr>
          <w:lang w:val="en-US"/>
        </w:rPr>
        <w:t xml:space="preserve"> state aid?)</w:t>
      </w:r>
    </w:p>
    <w:p w:rsidR="005F7A27" w:rsidRPr="00427683" w:rsidRDefault="005F7A27">
      <w:pPr>
        <w:spacing w:after="0" w:line="240" w:lineRule="auto"/>
        <w:jc w:val="both"/>
        <w:rPr>
          <w:rFonts w:ascii="Calibri" w:eastAsia="Calibri" w:hAnsi="Calibri" w:cs="Times New Roman"/>
          <w:color w:val="1F497D"/>
          <w:lang w:val="en-US"/>
        </w:rPr>
      </w:pPr>
    </w:p>
    <w:p w:rsidR="005F7A27" w:rsidRDefault="003A1867">
      <w:pPr>
        <w:pStyle w:val="P68B1DB1-Normal9"/>
        <w:spacing w:after="0" w:line="240" w:lineRule="auto"/>
        <w:ind w:left="720"/>
        <w:jc w:val="both"/>
      </w:pPr>
      <w:proofErr w:type="spellStart"/>
      <w:r>
        <w:t>Answered</w:t>
      </w:r>
      <w:proofErr w:type="spellEnd"/>
      <w:r>
        <w:t xml:space="preserve"> </w:t>
      </w:r>
      <w:proofErr w:type="spellStart"/>
      <w:r>
        <w:t>above</w:t>
      </w:r>
      <w:proofErr w:type="spellEnd"/>
    </w:p>
    <w:p w:rsidR="005F7A27" w:rsidRDefault="005F7A27">
      <w:pPr>
        <w:spacing w:after="0" w:line="240" w:lineRule="auto"/>
        <w:jc w:val="both"/>
        <w:rPr>
          <w:rFonts w:ascii="Calibri" w:eastAsia="Calibri" w:hAnsi="Calibri" w:cs="Times New Roman"/>
          <w:color w:val="1F497D"/>
        </w:rPr>
      </w:pPr>
    </w:p>
    <w:p w:rsidR="005F7A27" w:rsidRDefault="005F7A27">
      <w:pPr>
        <w:spacing w:after="0" w:line="240" w:lineRule="auto"/>
        <w:jc w:val="both"/>
        <w:rPr>
          <w:rFonts w:ascii="Calibri" w:eastAsia="Calibri" w:hAnsi="Calibri" w:cs="Times New Roman"/>
          <w:color w:val="1F497D"/>
        </w:rPr>
      </w:pPr>
    </w:p>
    <w:p w:rsidR="005F7A27" w:rsidRPr="00427683" w:rsidRDefault="003A1867">
      <w:pPr>
        <w:pStyle w:val="P68B1DB1-Normal8"/>
        <w:numPr>
          <w:ilvl w:val="0"/>
          <w:numId w:val="4"/>
        </w:numPr>
        <w:spacing w:after="0" w:line="240" w:lineRule="auto"/>
        <w:jc w:val="both"/>
        <w:rPr>
          <w:lang w:val="en-US"/>
        </w:rPr>
      </w:pPr>
      <w:r w:rsidRPr="00427683">
        <w:rPr>
          <w:lang w:val="en-US"/>
        </w:rPr>
        <w:t xml:space="preserve"> Do you consider this as an example of the European Commission actually supporting Cyprus to reach out and directly help end users? </w:t>
      </w:r>
    </w:p>
    <w:p w:rsidR="005F7A27" w:rsidRPr="00427683" w:rsidRDefault="005F7A27">
      <w:pPr>
        <w:spacing w:after="0" w:line="240" w:lineRule="auto"/>
        <w:ind w:left="720"/>
        <w:jc w:val="both"/>
        <w:rPr>
          <w:rFonts w:ascii="Calibri" w:eastAsia="Calibri" w:hAnsi="Calibri" w:cs="Times New Roman"/>
          <w:color w:val="1F497D"/>
          <w:lang w:val="en-US"/>
        </w:rPr>
      </w:pPr>
    </w:p>
    <w:p w:rsidR="005F7A27" w:rsidRPr="00427683" w:rsidRDefault="003A1867">
      <w:pPr>
        <w:pStyle w:val="P68B1DB1-Normal9"/>
        <w:spacing w:after="0" w:line="240" w:lineRule="auto"/>
        <w:ind w:left="720"/>
        <w:jc w:val="both"/>
        <w:rPr>
          <w:lang w:val="en-US"/>
        </w:rPr>
      </w:pPr>
      <w:r w:rsidRPr="00427683">
        <w:rPr>
          <w:lang w:val="en-US"/>
        </w:rPr>
        <w:t>European Commission should support these ini</w:t>
      </w:r>
      <w:r w:rsidRPr="00427683">
        <w:rPr>
          <w:lang w:val="en-US"/>
        </w:rPr>
        <w:t xml:space="preserve">tiatives since coverage is not always the problem for reaching the EU connectivity targets for 2025. Broadband vouchers may not be an appropriate tool to address a coverage deficiency but will definitely encourage Telecom Providers to invest more money in </w:t>
      </w:r>
      <w:r w:rsidRPr="00427683">
        <w:rPr>
          <w:lang w:val="en-US"/>
        </w:rPr>
        <w:t xml:space="preserve">the broadband market and expand their networks since more end users will use </w:t>
      </w:r>
      <w:proofErr w:type="gramStart"/>
      <w:r w:rsidRPr="00427683">
        <w:rPr>
          <w:lang w:val="en-US"/>
        </w:rPr>
        <w:t>Ultrafast</w:t>
      </w:r>
      <w:proofErr w:type="gramEnd"/>
      <w:r w:rsidRPr="00427683">
        <w:rPr>
          <w:lang w:val="en-US"/>
        </w:rPr>
        <w:t xml:space="preserve"> broadband services.  </w:t>
      </w:r>
    </w:p>
    <w:p w:rsidR="005F7A27" w:rsidRPr="00427683" w:rsidRDefault="005F7A27">
      <w:pPr>
        <w:spacing w:after="0" w:line="240" w:lineRule="auto"/>
        <w:jc w:val="both"/>
        <w:rPr>
          <w:rFonts w:ascii="Calibri" w:eastAsia="Calibri" w:hAnsi="Calibri" w:cs="Times New Roman"/>
          <w:color w:val="1F497D"/>
          <w:lang w:val="en-US"/>
        </w:rPr>
      </w:pPr>
    </w:p>
    <w:p w:rsidR="005F7A27" w:rsidRPr="00427683" w:rsidRDefault="003A1867">
      <w:pPr>
        <w:pStyle w:val="P68B1DB1-Normal8"/>
        <w:numPr>
          <w:ilvl w:val="0"/>
          <w:numId w:val="4"/>
        </w:numPr>
        <w:spacing w:after="0" w:line="240" w:lineRule="auto"/>
        <w:jc w:val="both"/>
        <w:rPr>
          <w:lang w:val="en-US"/>
        </w:rPr>
      </w:pPr>
      <w:r w:rsidRPr="00427683">
        <w:rPr>
          <w:lang w:val="en-US"/>
        </w:rPr>
        <w:t xml:space="preserve">Why were these users not connected? (Where they located in rural areas?) </w:t>
      </w:r>
    </w:p>
    <w:p w:rsidR="005F7A27" w:rsidRPr="00427683" w:rsidRDefault="005F7A27">
      <w:pPr>
        <w:spacing w:after="0" w:line="240" w:lineRule="auto"/>
        <w:ind w:left="360"/>
        <w:jc w:val="both"/>
        <w:rPr>
          <w:rFonts w:ascii="Calibri" w:eastAsia="Calibri" w:hAnsi="Calibri" w:cs="Times New Roman"/>
          <w:color w:val="1F497D"/>
          <w:lang w:val="en-US"/>
        </w:rPr>
      </w:pPr>
    </w:p>
    <w:p w:rsidR="005F7A27" w:rsidRPr="00427683" w:rsidRDefault="003A1867">
      <w:pPr>
        <w:ind w:left="720"/>
        <w:jc w:val="both"/>
        <w:rPr>
          <w:lang w:val="en-US"/>
        </w:rPr>
      </w:pPr>
      <w:r w:rsidRPr="00427683">
        <w:rPr>
          <w:lang w:val="en-US"/>
        </w:rPr>
        <w:t>According to Digital Economy and Society Index (DESI) 2020, Cyprus lags</w:t>
      </w:r>
      <w:r w:rsidRPr="00427683">
        <w:rPr>
          <w:lang w:val="en-US"/>
        </w:rPr>
        <w:t xml:space="preserve"> behind in </w:t>
      </w:r>
      <w:proofErr w:type="gramStart"/>
      <w:r w:rsidRPr="00427683">
        <w:rPr>
          <w:lang w:val="en-US"/>
        </w:rPr>
        <w:t>Ultrafast</w:t>
      </w:r>
      <w:proofErr w:type="gramEnd"/>
      <w:r w:rsidRPr="00427683">
        <w:rPr>
          <w:lang w:val="en-US"/>
        </w:rPr>
        <w:t xml:space="preserve"> broadband coverage, fast broadband uptake and Ultrafast broadband uptake and the broadband price index. In all these categories, it ranks among the lowest (23 </w:t>
      </w:r>
      <w:proofErr w:type="spellStart"/>
      <w:r w:rsidRPr="00427683">
        <w:rPr>
          <w:lang w:val="en-US"/>
        </w:rPr>
        <w:t>rd</w:t>
      </w:r>
      <w:proofErr w:type="spellEnd"/>
      <w:r w:rsidRPr="00427683">
        <w:rPr>
          <w:lang w:val="en-US"/>
        </w:rPr>
        <w:t xml:space="preserve"> for </w:t>
      </w:r>
      <w:proofErr w:type="gramStart"/>
      <w:r w:rsidRPr="00427683">
        <w:rPr>
          <w:lang w:val="en-US"/>
        </w:rPr>
        <w:t>Ultrafast</w:t>
      </w:r>
      <w:proofErr w:type="gramEnd"/>
      <w:r w:rsidRPr="00427683">
        <w:rPr>
          <w:lang w:val="en-US"/>
        </w:rPr>
        <w:t xml:space="preserve"> broadband coverage and 27th for the other three indicators)</w:t>
      </w:r>
      <w:r w:rsidRPr="00427683">
        <w:rPr>
          <w:lang w:val="en-US"/>
        </w:rPr>
        <w:t>. While fixed broadband coverage is among the factors sharing Cyprus’ ability to benefit from the digital economy, the main challenge remains to encourage take-up of Ultrafast broadband. Take-up is Influenced by factors such as high pricing (broadband pric</w:t>
      </w:r>
      <w:r w:rsidRPr="00427683">
        <w:rPr>
          <w:lang w:val="en-US"/>
        </w:rPr>
        <w:t xml:space="preserve">e index 66 %), lack of stronger content with many e-government projects still under implementation, low digital literacy with only 50 % of citizens having basic digital skills and low Ultrafast broadband coverage (53 %). </w:t>
      </w:r>
    </w:p>
    <w:p w:rsidR="005F7A27" w:rsidRPr="00427683" w:rsidRDefault="003A1867">
      <w:pPr>
        <w:ind w:left="720"/>
        <w:jc w:val="both"/>
        <w:rPr>
          <w:lang w:val="en-US"/>
        </w:rPr>
      </w:pPr>
      <w:r w:rsidRPr="00427683">
        <w:rPr>
          <w:lang w:val="en-US"/>
        </w:rPr>
        <w:lastRenderedPageBreak/>
        <w:t xml:space="preserve">Pricing is high because Cyprus is </w:t>
      </w:r>
      <w:r w:rsidRPr="00427683">
        <w:rPr>
          <w:lang w:val="en-US"/>
        </w:rPr>
        <w:t xml:space="preserve">an island and international connectivity is maintained by submarine cables which add extra cost to the existing prices offered by Telecom providers. Another reason is the lack of competiveness and monopoly, mainly in Suburban and rural areas where Telecom </w:t>
      </w:r>
      <w:r w:rsidRPr="00427683">
        <w:rPr>
          <w:lang w:val="en-US"/>
        </w:rPr>
        <w:t>most operators hesitate to invest because of the low population density in these areas.</w:t>
      </w:r>
    </w:p>
    <w:p w:rsidR="005F7A27" w:rsidRPr="00427683" w:rsidRDefault="003A1867">
      <w:pPr>
        <w:ind w:left="720"/>
        <w:jc w:val="both"/>
        <w:rPr>
          <w:lang w:val="en-US"/>
        </w:rPr>
      </w:pPr>
      <w:r w:rsidRPr="00427683">
        <w:rPr>
          <w:lang w:val="en-US"/>
        </w:rPr>
        <w:t>It is obvious that a digital divide persists in Cyprus, even though some progress has been made the last few years. According to DESI, most digital indicators for Cypru</w:t>
      </w:r>
      <w:r w:rsidRPr="00427683">
        <w:rPr>
          <w:lang w:val="en-US"/>
        </w:rPr>
        <w:t xml:space="preserve">s are slightly improved every year but this improvement is rather slow. One of the ways to help reduce the digital divide and accelerate </w:t>
      </w:r>
      <w:proofErr w:type="spellStart"/>
      <w:r w:rsidRPr="00427683">
        <w:rPr>
          <w:lang w:val="en-US"/>
        </w:rPr>
        <w:t>digitalisation</w:t>
      </w:r>
      <w:proofErr w:type="spellEnd"/>
      <w:r w:rsidRPr="00427683">
        <w:rPr>
          <w:lang w:val="en-US"/>
        </w:rPr>
        <w:t xml:space="preserve"> is to </w:t>
      </w:r>
      <w:proofErr w:type="gramStart"/>
      <w:r w:rsidRPr="00427683">
        <w:rPr>
          <w:lang w:val="en-US"/>
        </w:rPr>
        <w:t>Spur</w:t>
      </w:r>
      <w:proofErr w:type="gramEnd"/>
      <w:r w:rsidRPr="00427683">
        <w:rPr>
          <w:lang w:val="en-US"/>
        </w:rPr>
        <w:t xml:space="preserve"> competition between providers which in turn will lead to lower prices, making the Ultrafast i</w:t>
      </w:r>
      <w:r w:rsidRPr="00427683">
        <w:rPr>
          <w:lang w:val="en-US"/>
        </w:rPr>
        <w:t xml:space="preserve">nternet more affordable for the subscribers. Therefore, the Government has to intervene to expand the </w:t>
      </w:r>
      <w:proofErr w:type="gramStart"/>
      <w:r w:rsidRPr="00427683">
        <w:rPr>
          <w:lang w:val="en-US"/>
        </w:rPr>
        <w:t>Ultrafast</w:t>
      </w:r>
      <w:proofErr w:type="gramEnd"/>
      <w:r w:rsidRPr="00427683">
        <w:rPr>
          <w:lang w:val="en-US"/>
        </w:rPr>
        <w:t xml:space="preserve"> broadband coverage in areas where there are no private investments and at the same time to increase the demand (take-up) in Ultrafast broadband </w:t>
      </w:r>
      <w:r w:rsidRPr="00427683">
        <w:rPr>
          <w:lang w:val="en-US"/>
        </w:rPr>
        <w:t>services by applying demand side measures. Market players seem Keen to invest in new networks and launch 5G services. A new Broadband Strategy and Plan, setting concrete targets and actions in line with the European Gigabit Society and the 5G Action Plan m</w:t>
      </w:r>
      <w:r w:rsidRPr="00427683">
        <w:rPr>
          <w:lang w:val="en-US"/>
        </w:rPr>
        <w:t>ay be a catalyst in this direction.</w:t>
      </w:r>
    </w:p>
    <w:p w:rsidR="005F7A27" w:rsidRPr="00427683" w:rsidRDefault="005F7A27">
      <w:pPr>
        <w:ind w:left="720"/>
        <w:jc w:val="both"/>
        <w:rPr>
          <w:lang w:val="en-US"/>
        </w:rPr>
      </w:pPr>
    </w:p>
    <w:p w:rsidR="005F7A27" w:rsidRDefault="003A1867">
      <w:pPr>
        <w:pStyle w:val="P68B1DB1-Normal8"/>
        <w:numPr>
          <w:ilvl w:val="0"/>
          <w:numId w:val="4"/>
        </w:numPr>
        <w:spacing w:after="0" w:line="240" w:lineRule="auto"/>
        <w:jc w:val="both"/>
      </w:pPr>
      <w:r w:rsidRPr="00427683">
        <w:rPr>
          <w:lang w:val="en-US"/>
        </w:rPr>
        <w:t> </w:t>
      </w:r>
      <w:proofErr w:type="spellStart"/>
      <w:r>
        <w:t>Some</w:t>
      </w:r>
      <w:proofErr w:type="spellEnd"/>
      <w:r>
        <w:t xml:space="preserve"> </w:t>
      </w:r>
      <w:proofErr w:type="spellStart"/>
      <w:r>
        <w:t>more</w:t>
      </w:r>
      <w:proofErr w:type="spellEnd"/>
      <w:r>
        <w:t xml:space="preserve"> </w:t>
      </w:r>
      <w:proofErr w:type="spellStart"/>
      <w:r>
        <w:t>talking</w:t>
      </w:r>
      <w:proofErr w:type="spellEnd"/>
      <w:r>
        <w:t xml:space="preserve"> </w:t>
      </w:r>
      <w:proofErr w:type="spellStart"/>
      <w:r>
        <w:t>points</w:t>
      </w:r>
      <w:proofErr w:type="spellEnd"/>
    </w:p>
    <w:p w:rsidR="005F7A27" w:rsidRDefault="005F7A27">
      <w:pPr>
        <w:spacing w:after="0" w:line="240" w:lineRule="auto"/>
        <w:ind w:left="720"/>
        <w:jc w:val="both"/>
        <w:rPr>
          <w:rFonts w:ascii="Calibri" w:eastAsia="Calibri" w:hAnsi="Calibri" w:cs="Times New Roman"/>
          <w:color w:val="1F497D"/>
        </w:rPr>
      </w:pPr>
    </w:p>
    <w:p w:rsidR="005F7A27" w:rsidRPr="00427683" w:rsidRDefault="003A1867">
      <w:pPr>
        <w:ind w:left="720"/>
        <w:jc w:val="both"/>
        <w:rPr>
          <w:lang w:val="en-US"/>
        </w:rPr>
      </w:pPr>
      <w:r w:rsidRPr="00427683">
        <w:rPr>
          <w:lang w:val="en-US"/>
        </w:rPr>
        <w:t>In order to accelerate investments in very high capacity connectivity, so as to reach the EU’s 2025 Gigabit and 5G connectivity objectives, it is also necessary to address underlying root caus</w:t>
      </w:r>
      <w:r w:rsidRPr="00427683">
        <w:rPr>
          <w:lang w:val="en-US"/>
        </w:rPr>
        <w:t xml:space="preserve">es that may result in delays and/or extra costs, prevent smooth rollout of investments and efficient take up of connectivity services by households and businesses. </w:t>
      </w:r>
    </w:p>
    <w:p w:rsidR="005F7A27" w:rsidRPr="00427683" w:rsidRDefault="003A1867">
      <w:pPr>
        <w:ind w:left="720"/>
        <w:jc w:val="both"/>
        <w:rPr>
          <w:lang w:val="en-US"/>
        </w:rPr>
      </w:pPr>
      <w:r w:rsidRPr="00427683">
        <w:rPr>
          <w:lang w:val="en-US"/>
        </w:rPr>
        <w:t>The new National Broadband Plan which will include concrete measures to reach the EU’s 2025 connectivity objectives, is already under preparation (funded by national sources) and will address reforms and investments in line with State aid rules. The Broadb</w:t>
      </w:r>
      <w:r w:rsidRPr="00427683">
        <w:rPr>
          <w:lang w:val="en-US"/>
        </w:rPr>
        <w:t xml:space="preserve">and Plan will provide a consistent framework of all actions to be undertaken by the public sector to facilitate private investments (including the assignment of the 26 GHz radio spectrum for 5G networks under investment-friendly conditions) as well as </w:t>
      </w:r>
      <w:proofErr w:type="spellStart"/>
      <w:r w:rsidRPr="00427683">
        <w:rPr>
          <w:lang w:val="en-US"/>
        </w:rPr>
        <w:t>as</w:t>
      </w:r>
      <w:proofErr w:type="spellEnd"/>
      <w:r w:rsidRPr="00427683">
        <w:rPr>
          <w:lang w:val="en-US"/>
        </w:rPr>
        <w:t xml:space="preserve"> a</w:t>
      </w:r>
      <w:r w:rsidRPr="00427683">
        <w:rPr>
          <w:lang w:val="en-US"/>
        </w:rPr>
        <w:t>ll public interventions in areas beyond the interest of private investors.</w:t>
      </w:r>
    </w:p>
    <w:p w:rsidR="005F7A27" w:rsidRPr="00427683" w:rsidRDefault="003A1867">
      <w:pPr>
        <w:ind w:left="720"/>
        <w:jc w:val="both"/>
        <w:rPr>
          <w:lang w:val="en-US"/>
        </w:rPr>
      </w:pPr>
      <w:r w:rsidRPr="00427683">
        <w:rPr>
          <w:lang w:val="en-US"/>
        </w:rPr>
        <w:t xml:space="preserve">One of the ways to help reduce the digital divide and accelerating </w:t>
      </w:r>
      <w:proofErr w:type="spellStart"/>
      <w:r w:rsidRPr="00427683">
        <w:rPr>
          <w:lang w:val="en-US"/>
        </w:rPr>
        <w:t>digitalisation</w:t>
      </w:r>
      <w:proofErr w:type="spellEnd"/>
      <w:r w:rsidRPr="00427683">
        <w:rPr>
          <w:lang w:val="en-US"/>
        </w:rPr>
        <w:t xml:space="preserve"> is to Spur competition between providers which in turn will lead to lower prices, making Ultrafast </w:t>
      </w:r>
      <w:r w:rsidRPr="00427683">
        <w:rPr>
          <w:lang w:val="en-US"/>
        </w:rPr>
        <w:t xml:space="preserve">internet more affordable for the subscribers. Therefore, the Government has to intervene to expand the </w:t>
      </w:r>
      <w:proofErr w:type="gramStart"/>
      <w:r w:rsidRPr="00427683">
        <w:rPr>
          <w:lang w:val="en-US"/>
        </w:rPr>
        <w:t>Ultrafast</w:t>
      </w:r>
      <w:proofErr w:type="gramEnd"/>
      <w:r w:rsidRPr="00427683">
        <w:rPr>
          <w:lang w:val="en-US"/>
        </w:rPr>
        <w:t xml:space="preserve"> broadband coverage in areas where there are no private investments and at the same time to increase the demand (take-up) in Ultrafast broadband</w:t>
      </w:r>
      <w:r w:rsidRPr="00427683">
        <w:rPr>
          <w:lang w:val="en-US"/>
        </w:rPr>
        <w:t xml:space="preserve"> services by applying demand side measures. The new National Broadband Plan and the 5G Action Plan may be a catalyst in this direction.</w:t>
      </w:r>
    </w:p>
    <w:p w:rsidR="005F7A27" w:rsidRPr="00427683" w:rsidRDefault="005F7A27">
      <w:pPr>
        <w:ind w:left="720"/>
        <w:jc w:val="both"/>
        <w:rPr>
          <w:lang w:val="en-US"/>
        </w:rPr>
      </w:pPr>
    </w:p>
    <w:p w:rsidR="005F7A27" w:rsidRPr="00427683" w:rsidRDefault="003A1867">
      <w:pPr>
        <w:ind w:firstLine="720"/>
        <w:jc w:val="both"/>
        <w:rPr>
          <w:lang w:val="en-US"/>
        </w:rPr>
      </w:pPr>
      <w:r w:rsidRPr="00427683">
        <w:rPr>
          <w:lang w:val="en-US"/>
        </w:rPr>
        <w:t>The new Cyprus Broadband Plan sets the following strategic objectives for 2025:</w:t>
      </w:r>
      <w:r w:rsidRPr="00427683">
        <w:rPr>
          <w:lang w:val="en-US"/>
        </w:rPr>
        <w:tab/>
      </w:r>
    </w:p>
    <w:p w:rsidR="005F7A27" w:rsidRPr="00427683" w:rsidRDefault="003A1867">
      <w:pPr>
        <w:pStyle w:val="ListParagraph"/>
        <w:numPr>
          <w:ilvl w:val="0"/>
          <w:numId w:val="6"/>
        </w:numPr>
        <w:jc w:val="both"/>
        <w:rPr>
          <w:lang w:val="en-US"/>
        </w:rPr>
      </w:pPr>
      <w:r w:rsidRPr="00427683">
        <w:rPr>
          <w:lang w:val="en-US"/>
        </w:rPr>
        <w:t>Gigabit connectivity for all main soci</w:t>
      </w:r>
      <w:r w:rsidRPr="00427683">
        <w:rPr>
          <w:lang w:val="en-US"/>
        </w:rPr>
        <w:t>o-economic drivers</w:t>
      </w:r>
    </w:p>
    <w:p w:rsidR="005F7A27" w:rsidRPr="00427683" w:rsidRDefault="003A1867">
      <w:pPr>
        <w:pStyle w:val="ListParagraph"/>
        <w:numPr>
          <w:ilvl w:val="0"/>
          <w:numId w:val="6"/>
        </w:numPr>
        <w:jc w:val="both"/>
        <w:rPr>
          <w:lang w:val="en-US"/>
        </w:rPr>
      </w:pPr>
      <w:r w:rsidRPr="00427683">
        <w:rPr>
          <w:lang w:val="en-US"/>
        </w:rPr>
        <w:lastRenderedPageBreak/>
        <w:t xml:space="preserve">All premises in </w:t>
      </w:r>
      <w:proofErr w:type="spellStart"/>
      <w:r w:rsidRPr="00427683">
        <w:rPr>
          <w:lang w:val="en-US"/>
        </w:rPr>
        <w:t>organised</w:t>
      </w:r>
      <w:proofErr w:type="spellEnd"/>
      <w:r w:rsidRPr="00427683">
        <w:rPr>
          <w:lang w:val="en-US"/>
        </w:rPr>
        <w:t xml:space="preserve"> communities (urban or rural) to have access to internet connectivity offering a download speed of at least 100Mbps, which can be readily upgradable to 1 </w:t>
      </w:r>
      <w:proofErr w:type="spellStart"/>
      <w:r w:rsidRPr="00427683">
        <w:rPr>
          <w:lang w:val="en-US"/>
        </w:rPr>
        <w:t>Gbps</w:t>
      </w:r>
      <w:proofErr w:type="spellEnd"/>
    </w:p>
    <w:p w:rsidR="005F7A27" w:rsidRPr="00427683" w:rsidRDefault="003A1867">
      <w:pPr>
        <w:pStyle w:val="ListParagraph"/>
        <w:numPr>
          <w:ilvl w:val="0"/>
          <w:numId w:val="6"/>
        </w:numPr>
        <w:jc w:val="both"/>
        <w:rPr>
          <w:lang w:val="en-US"/>
        </w:rPr>
      </w:pPr>
      <w:r w:rsidRPr="00427683">
        <w:rPr>
          <w:lang w:val="en-US"/>
        </w:rPr>
        <w:t xml:space="preserve">100 % of the population living in </w:t>
      </w:r>
      <w:proofErr w:type="spellStart"/>
      <w:r w:rsidRPr="00427683">
        <w:rPr>
          <w:lang w:val="en-US"/>
        </w:rPr>
        <w:t>organised</w:t>
      </w:r>
      <w:proofErr w:type="spellEnd"/>
      <w:r w:rsidRPr="00427683">
        <w:rPr>
          <w:lang w:val="en-US"/>
        </w:rPr>
        <w:t xml:space="preserve"> communiti</w:t>
      </w:r>
      <w:r w:rsidRPr="00427683">
        <w:rPr>
          <w:lang w:val="en-US"/>
        </w:rPr>
        <w:t>es (urban or rural), and all major terrestrial transport paths to have integrated 5G coverage with a download speed of at least 100 Mbps</w:t>
      </w:r>
    </w:p>
    <w:p w:rsidR="005F7A27" w:rsidRPr="00427683" w:rsidRDefault="003A1867">
      <w:pPr>
        <w:pStyle w:val="ListParagraph"/>
        <w:numPr>
          <w:ilvl w:val="0"/>
          <w:numId w:val="6"/>
        </w:numPr>
        <w:jc w:val="both"/>
        <w:rPr>
          <w:lang w:val="en-US"/>
        </w:rPr>
      </w:pPr>
      <w:r w:rsidRPr="00427683">
        <w:rPr>
          <w:lang w:val="en-US"/>
        </w:rPr>
        <w:t>70 % of households to have an internet connection (take-up) with a download speed of at least 100Mbps</w:t>
      </w:r>
    </w:p>
    <w:p w:rsidR="005F7A27" w:rsidRPr="00427683" w:rsidRDefault="005F7A27">
      <w:pPr>
        <w:jc w:val="both"/>
        <w:rPr>
          <w:lang w:val="en-US"/>
        </w:rPr>
      </w:pPr>
    </w:p>
    <w:p w:rsidR="005F7A27" w:rsidRPr="00427683" w:rsidRDefault="005F7A27">
      <w:pPr>
        <w:jc w:val="both"/>
        <w:rPr>
          <w:lang w:val="en-US"/>
        </w:rPr>
      </w:pPr>
    </w:p>
    <w:p w:rsidR="005F7A27" w:rsidRPr="00427683" w:rsidRDefault="005F7A27">
      <w:pPr>
        <w:jc w:val="both"/>
        <w:rPr>
          <w:lang w:val="en-US"/>
        </w:rPr>
      </w:pPr>
    </w:p>
    <w:sectPr w:rsidR="005F7A27" w:rsidRPr="0042768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1425C"/>
    <w:multiLevelType w:val="hybridMultilevel"/>
    <w:tmpl w:val="CE960BC0"/>
    <w:lvl w:ilvl="0" w:tplc="CA909CE0">
      <w:start w:val="1"/>
      <w:numFmt w:val="lowerRoman"/>
      <w:lvlText w:val="%1."/>
      <w:lvlJc w:val="left"/>
      <w:pPr>
        <w:ind w:left="1440" w:hanging="72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 w15:restartNumberingAfterBreak="0">
    <w:nsid w:val="542133D1"/>
    <w:multiLevelType w:val="hybridMultilevel"/>
    <w:tmpl w:val="6750FA6A"/>
    <w:lvl w:ilvl="0" w:tplc="080C0011">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2" w15:restartNumberingAfterBreak="0">
    <w:nsid w:val="5B46658D"/>
    <w:multiLevelType w:val="hybridMultilevel"/>
    <w:tmpl w:val="61F0A3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5F8C5721"/>
    <w:multiLevelType w:val="hybridMultilevel"/>
    <w:tmpl w:val="8660B920"/>
    <w:lvl w:ilvl="0" w:tplc="5DF4C62C">
      <w:start w:val="1"/>
      <w:numFmt w:val="decimal"/>
      <w:lvlText w:val="%1."/>
      <w:lvlJc w:val="left"/>
      <w:pPr>
        <w:ind w:left="720" w:hanging="360"/>
      </w:pPr>
      <w:rPr>
        <w:rFonts w:ascii="Calibri" w:hAnsi="Calibri"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71DF4350"/>
    <w:multiLevelType w:val="hybridMultilevel"/>
    <w:tmpl w:val="6750FA6A"/>
    <w:lvl w:ilvl="0" w:tplc="080C0011">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5" w15:restartNumberingAfterBreak="0">
    <w:nsid w:val="762B2D65"/>
    <w:multiLevelType w:val="hybridMultilevel"/>
    <w:tmpl w:val="3786A1F6"/>
    <w:lvl w:ilvl="0" w:tplc="5DF4C62C">
      <w:start w:val="1"/>
      <w:numFmt w:val="decimal"/>
      <w:lvlText w:val="%1."/>
      <w:lvlJc w:val="left"/>
      <w:pPr>
        <w:ind w:left="720" w:hanging="360"/>
      </w:pPr>
      <w:rPr>
        <w:rFonts w:ascii="Calibri" w:hAnsi="Calibri"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430"/>
    <w:rsid w:val="00002F9A"/>
    <w:rsid w:val="0004693F"/>
    <w:rsid w:val="0005733B"/>
    <w:rsid w:val="0006623E"/>
    <w:rsid w:val="0007407B"/>
    <w:rsid w:val="00090E95"/>
    <w:rsid w:val="000B2841"/>
    <w:rsid w:val="00141E46"/>
    <w:rsid w:val="001A2E9A"/>
    <w:rsid w:val="001B27F9"/>
    <w:rsid w:val="001D2928"/>
    <w:rsid w:val="001D421D"/>
    <w:rsid w:val="001F1318"/>
    <w:rsid w:val="002B60E1"/>
    <w:rsid w:val="002F5A83"/>
    <w:rsid w:val="00356370"/>
    <w:rsid w:val="0039040D"/>
    <w:rsid w:val="003A1867"/>
    <w:rsid w:val="003A7EEF"/>
    <w:rsid w:val="004112E7"/>
    <w:rsid w:val="00427683"/>
    <w:rsid w:val="004A6E7E"/>
    <w:rsid w:val="004C0520"/>
    <w:rsid w:val="004F6682"/>
    <w:rsid w:val="0051611D"/>
    <w:rsid w:val="0052169B"/>
    <w:rsid w:val="0053580E"/>
    <w:rsid w:val="005533CB"/>
    <w:rsid w:val="005D32DC"/>
    <w:rsid w:val="005F7A27"/>
    <w:rsid w:val="00674C73"/>
    <w:rsid w:val="00690653"/>
    <w:rsid w:val="006B3341"/>
    <w:rsid w:val="006D0DDE"/>
    <w:rsid w:val="007736CE"/>
    <w:rsid w:val="007807B9"/>
    <w:rsid w:val="0078403B"/>
    <w:rsid w:val="00794602"/>
    <w:rsid w:val="007F317F"/>
    <w:rsid w:val="0081387E"/>
    <w:rsid w:val="008248C4"/>
    <w:rsid w:val="00853773"/>
    <w:rsid w:val="008E00B5"/>
    <w:rsid w:val="00927C2F"/>
    <w:rsid w:val="009B20EE"/>
    <w:rsid w:val="009E74F9"/>
    <w:rsid w:val="00A96A84"/>
    <w:rsid w:val="00AB73AB"/>
    <w:rsid w:val="00B2756A"/>
    <w:rsid w:val="00B76498"/>
    <w:rsid w:val="00BE240C"/>
    <w:rsid w:val="00C104EF"/>
    <w:rsid w:val="00C34E7C"/>
    <w:rsid w:val="00CE1551"/>
    <w:rsid w:val="00CF2430"/>
    <w:rsid w:val="00D248FB"/>
    <w:rsid w:val="00D27A50"/>
    <w:rsid w:val="00D77F2A"/>
    <w:rsid w:val="00D90ACB"/>
    <w:rsid w:val="00DF64EC"/>
    <w:rsid w:val="00E444F5"/>
    <w:rsid w:val="00E82011"/>
    <w:rsid w:val="00EA1C62"/>
    <w:rsid w:val="00EF7182"/>
    <w:rsid w:val="00F3142D"/>
    <w:rsid w:val="00F77A4E"/>
    <w:rsid w:val="00FB288B"/>
    <w:rsid w:val="00FD481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5C261-16D6-4DF8-8BA6-342C8DD39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3341"/>
    <w:pPr>
      <w:keepNext/>
      <w:keepLines/>
      <w:spacing w:before="120" w:after="120" w:line="280" w:lineRule="exact"/>
      <w:jc w:val="both"/>
      <w:outlineLvl w:val="0"/>
    </w:pPr>
    <w:rPr>
      <w:rFonts w:ascii="Tahoma" w:eastAsiaTheme="majorEastAsia" w:hAnsi="Tahoma" w:cstheme="majorBidi"/>
      <w:b/>
      <w:color w:val="538135" w:themeColor="accent6" w:themeShade="BF"/>
      <w:sz w:val="28"/>
    </w:rPr>
  </w:style>
  <w:style w:type="paragraph" w:styleId="Heading2">
    <w:name w:val="heading 2"/>
    <w:basedOn w:val="Normal"/>
    <w:next w:val="Normal"/>
    <w:link w:val="Heading2Char"/>
    <w:uiPriority w:val="9"/>
    <w:unhideWhenUsed/>
    <w:qFormat/>
    <w:rsid w:val="001D2928"/>
    <w:pPr>
      <w:keepNext/>
      <w:keepLines/>
      <w:spacing w:before="40" w:after="0"/>
      <w:outlineLvl w:val="1"/>
    </w:pPr>
    <w:rPr>
      <w:rFonts w:asciiTheme="majorHAnsi" w:eastAsiaTheme="majorEastAsia" w:hAnsiTheme="majorHAnsi" w:cstheme="majorBidi"/>
      <w:color w:val="2E74B5"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B3341"/>
    <w:rPr>
      <w:rFonts w:ascii="Tahoma" w:eastAsiaTheme="majorEastAsia" w:hAnsi="Tahoma" w:cstheme="majorBidi"/>
      <w:b/>
      <w:color w:val="538135" w:themeColor="accent6" w:themeShade="BF"/>
      <w:sz w:val="28"/>
    </w:rPr>
  </w:style>
  <w:style w:type="paragraph" w:styleId="ListParagraph">
    <w:name w:val="List Paragraph"/>
    <w:basedOn w:val="Normal"/>
    <w:uiPriority w:val="34"/>
    <w:qFormat/>
    <w:rsid w:val="000B2841"/>
    <w:pPr>
      <w:ind w:left="720"/>
      <w:contextualSpacing/>
    </w:pPr>
  </w:style>
  <w:style w:type="table" w:styleId="GridTable4-Accent2">
    <w:name w:val="Grid Table 4 Accent 2"/>
    <w:basedOn w:val="TableNormal"/>
    <w:uiPriority w:val="49"/>
    <w:rsid w:val="004112E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Grid">
    <w:name w:val="Table Grid"/>
    <w:basedOn w:val="TableNormal"/>
    <w:uiPriority w:val="39"/>
    <w:rsid w:val="00DF6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2928"/>
    <w:rPr>
      <w:rFonts w:asciiTheme="majorHAnsi" w:eastAsiaTheme="majorEastAsia" w:hAnsiTheme="majorHAnsi" w:cstheme="majorBidi"/>
      <w:color w:val="2E74B5" w:themeColor="accent1" w:themeShade="BF"/>
      <w:sz w:val="26"/>
    </w:rPr>
  </w:style>
  <w:style w:type="paragraph" w:styleId="Title">
    <w:name w:val="Title"/>
    <w:basedOn w:val="Normal"/>
    <w:next w:val="Normal"/>
    <w:link w:val="TitleChar"/>
    <w:uiPriority w:val="10"/>
    <w:qFormat/>
    <w:rsid w:val="0051611D"/>
    <w:pPr>
      <w:spacing w:after="0" w:line="240" w:lineRule="auto"/>
      <w:contextualSpacing/>
    </w:pPr>
    <w:rPr>
      <w:rFonts w:asciiTheme="majorHAnsi" w:eastAsiaTheme="majorEastAsia" w:hAnsiTheme="majorHAnsi" w:cstheme="majorBidi"/>
      <w:kern w:val="28"/>
      <w:sz w:val="56"/>
    </w:rPr>
  </w:style>
  <w:style w:type="character" w:customStyle="1" w:styleId="TitleChar">
    <w:name w:val="Title Char"/>
    <w:basedOn w:val="DefaultParagraphFont"/>
    <w:link w:val="Title"/>
    <w:uiPriority w:val="10"/>
    <w:rsid w:val="0051611D"/>
    <w:rPr>
      <w:rFonts w:asciiTheme="majorHAnsi" w:eastAsiaTheme="majorEastAsia" w:hAnsiTheme="majorHAnsi" w:cstheme="majorBidi"/>
      <w:kern w:val="28"/>
      <w:sz w:val="56"/>
    </w:rPr>
  </w:style>
  <w:style w:type="paragraph" w:customStyle="1" w:styleId="P68B1DB1-Heading11">
    <w:name w:val="P68B1DB1-Heading11"/>
    <w:basedOn w:val="Heading1"/>
    <w:rPr>
      <w:color w:val="5B9BD5" w:themeColor="accent1"/>
    </w:rPr>
  </w:style>
  <w:style w:type="paragraph" w:customStyle="1" w:styleId="P68B1DB1-Normal2">
    <w:name w:val="P68B1DB1-Normal2"/>
    <w:basedOn w:val="Normal"/>
    <w:rPr>
      <w:b/>
      <w:highlight w:val="yellow"/>
    </w:rPr>
  </w:style>
  <w:style w:type="paragraph" w:customStyle="1" w:styleId="P68B1DB1-Normal3">
    <w:name w:val="P68B1DB1-Normal3"/>
    <w:basedOn w:val="Normal"/>
    <w:rPr>
      <w:rFonts w:ascii="Calibri" w:eastAsia="Times New Roman" w:hAnsi="Calibri" w:cs="Calibri"/>
      <w:color w:val="000000"/>
    </w:rPr>
  </w:style>
  <w:style w:type="paragraph" w:customStyle="1" w:styleId="P68B1DB1-Normal4">
    <w:name w:val="P68B1DB1-Normal4"/>
    <w:basedOn w:val="Normal"/>
    <w:rPr>
      <w:rFonts w:ascii="Calibri" w:eastAsia="Times New Roman" w:hAnsi="Calibri" w:cs="Calibri"/>
      <w:b/>
      <w:color w:val="000000"/>
    </w:rPr>
  </w:style>
  <w:style w:type="paragraph" w:customStyle="1" w:styleId="P68B1DB1-Normal5">
    <w:name w:val="P68B1DB1-Normal5"/>
    <w:basedOn w:val="Normal"/>
    <w:rPr>
      <w:rFonts w:ascii="Calibri" w:eastAsia="Times New Roman" w:hAnsi="Calibri" w:cs="Calibri"/>
    </w:rPr>
  </w:style>
  <w:style w:type="paragraph" w:customStyle="1" w:styleId="P68B1DB1-Normal6">
    <w:name w:val="P68B1DB1-Normal6"/>
    <w:basedOn w:val="Normal"/>
    <w:rPr>
      <w:rFonts w:ascii="Calibri" w:eastAsia="Times New Roman" w:hAnsi="Calibri" w:cs="Calibri"/>
      <w:b/>
    </w:rPr>
  </w:style>
  <w:style w:type="paragraph" w:customStyle="1" w:styleId="P68B1DB1-Normal7">
    <w:name w:val="P68B1DB1-Normal7"/>
    <w:basedOn w:val="Normal"/>
    <w:rPr>
      <w:b/>
    </w:rPr>
  </w:style>
  <w:style w:type="paragraph" w:customStyle="1" w:styleId="P68B1DB1-Normal8">
    <w:name w:val="P68B1DB1-Normal8"/>
    <w:basedOn w:val="Normal"/>
    <w:rPr>
      <w:rFonts w:ascii="Calibri" w:eastAsia="Calibri" w:hAnsi="Calibri" w:cs="Times New Roman"/>
      <w:color w:val="1F497D"/>
    </w:rPr>
  </w:style>
  <w:style w:type="paragraph" w:customStyle="1" w:styleId="P68B1DB1-Normal9">
    <w:name w:val="P68B1DB1-Normal9"/>
    <w:basedOn w:val="Normal"/>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673069">
      <w:bodyDiv w:val="1"/>
      <w:marLeft w:val="0"/>
      <w:marRight w:val="0"/>
      <w:marTop w:val="0"/>
      <w:marBottom w:val="0"/>
      <w:divBdr>
        <w:top w:val="none" w:sz="0" w:space="0" w:color="auto"/>
        <w:left w:val="none" w:sz="0" w:space="0" w:color="auto"/>
        <w:bottom w:val="none" w:sz="0" w:space="0" w:color="auto"/>
        <w:right w:val="none" w:sz="0" w:space="0" w:color="auto"/>
      </w:divBdr>
    </w:div>
    <w:div w:id="1023290580">
      <w:bodyDiv w:val="1"/>
      <w:marLeft w:val="0"/>
      <w:marRight w:val="0"/>
      <w:marTop w:val="0"/>
      <w:marBottom w:val="0"/>
      <w:divBdr>
        <w:top w:val="none" w:sz="0" w:space="0" w:color="auto"/>
        <w:left w:val="none" w:sz="0" w:space="0" w:color="auto"/>
        <w:bottom w:val="none" w:sz="0" w:space="0" w:color="auto"/>
        <w:right w:val="none" w:sz="0" w:space="0" w:color="auto"/>
      </w:divBdr>
    </w:div>
    <w:div w:id="206471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oleObject" Target="embeddings/oleObject3.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E903F-5D03-4380-A2A7-87AA1E995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2204</Words>
  <Characters>11907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Spyros Psychis</dc:creator>
  <cp:keywords/>
  <dc:description/>
  <cp:lastModifiedBy>Author</cp:lastModifiedBy>
  <cp:revision>3</cp:revision>
  <dcterms:created xsi:type="dcterms:W3CDTF">2022-03-23T09:44:00Z</dcterms:created>
  <dcterms:modified xsi:type="dcterms:W3CDTF">2022-03-23T09:54:00Z</dcterms:modified>
</cp:coreProperties>
</file>