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F543" w14:textId="77777777" w:rsidR="00865E7C" w:rsidRPr="00580401" w:rsidRDefault="00865E7C" w:rsidP="00865E7C">
      <w:pPr>
        <w:pStyle w:val="N1"/>
        <w:rPr>
          <w:sz w:val="30"/>
          <w:szCs w:val="30"/>
          <w:lang w:val="en-US"/>
        </w:rPr>
      </w:pPr>
      <w:bookmarkStart w:id="0" w:name="_Toc24646000"/>
      <w:r w:rsidRPr="00580401">
        <w:rPr>
          <w:sz w:val="30"/>
          <w:szCs w:val="30"/>
          <w:lang w:val="en-US"/>
        </w:rPr>
        <w:t>Elaboration on Terms of the Funding Gap Questionnaire</w:t>
      </w:r>
      <w:bookmarkEnd w:id="0"/>
    </w:p>
    <w:p w14:paraId="6C05E121" w14:textId="77777777" w:rsidR="00865E7C" w:rsidRPr="00580401" w:rsidRDefault="00865E7C" w:rsidP="00865E7C">
      <w:pPr>
        <w:pStyle w:val="N2"/>
      </w:pPr>
      <w:r w:rsidRPr="00580401">
        <w:t>Main hypothesis of the business plan</w:t>
      </w:r>
    </w:p>
    <w:p w14:paraId="389AAE5E" w14:textId="47BF91B7" w:rsidR="00865E7C" w:rsidRPr="00580401" w:rsidRDefault="00D20CF8" w:rsidP="00865E7C">
      <w:pPr>
        <w:pStyle w:val="ITStandard"/>
        <w:rPr>
          <w:lang w:val="en-US"/>
        </w:rPr>
      </w:pPr>
      <w:r>
        <w:rPr>
          <w:lang w:val="en-US"/>
        </w:rPr>
        <w:t>The tab in the funding gap named ‘DT efforts’</w:t>
      </w:r>
      <w:r w:rsidR="00865E7C" w:rsidRPr="00580401">
        <w:rPr>
          <w:lang w:val="en-US"/>
        </w:rPr>
        <w:t xml:space="preserve"> describes precisely the different assumptions made in the Business Plan and demonstrates that </w:t>
      </w:r>
      <w:r>
        <w:rPr>
          <w:lang w:val="en-US"/>
        </w:rPr>
        <w:t>DT’s</w:t>
      </w:r>
      <w:r w:rsidR="00865E7C" w:rsidRPr="00580401">
        <w:rPr>
          <w:lang w:val="en-US"/>
        </w:rPr>
        <w:t xml:space="preserve"> assumptions are reasonable. </w:t>
      </w:r>
    </w:p>
    <w:p w14:paraId="21201DE6" w14:textId="1E1723BE" w:rsidR="00865E7C" w:rsidRPr="00580401" w:rsidRDefault="00D20CF8" w:rsidP="00865E7C">
      <w:pPr>
        <w:pStyle w:val="ITStandard"/>
        <w:rPr>
          <w:lang w:val="en-US"/>
        </w:rPr>
      </w:pPr>
      <w:r>
        <w:rPr>
          <w:lang w:val="en-US"/>
        </w:rPr>
        <w:t>The business case described here will develop equipment that will be used for approximately 5 years after the FID before new investment will be needed.</w:t>
      </w:r>
      <w:r w:rsidR="00865E7C" w:rsidRPr="009B09A2">
        <w:rPr>
          <w:lang w:val="en-US"/>
        </w:rPr>
        <w:t xml:space="preserve"> Therefore, the business case is limited to the period 20</w:t>
      </w:r>
      <w:r>
        <w:rPr>
          <w:lang w:val="en-US"/>
        </w:rPr>
        <w:t>22</w:t>
      </w:r>
      <w:r w:rsidR="00865E7C" w:rsidRPr="009B09A2">
        <w:rPr>
          <w:lang w:val="en-US"/>
        </w:rPr>
        <w:t>-20</w:t>
      </w:r>
      <w:r>
        <w:rPr>
          <w:lang w:val="en-US"/>
        </w:rPr>
        <w:t>31</w:t>
      </w:r>
      <w:r w:rsidR="00865E7C" w:rsidRPr="009B09A2">
        <w:rPr>
          <w:lang w:val="en-US"/>
        </w:rPr>
        <w:t>.</w:t>
      </w:r>
    </w:p>
    <w:p w14:paraId="6827BA8C" w14:textId="77777777" w:rsidR="00865E7C" w:rsidRPr="00580401" w:rsidRDefault="00865E7C" w:rsidP="00865E7C">
      <w:pPr>
        <w:pStyle w:val="ITStandard"/>
        <w:rPr>
          <w:lang w:val="en-US"/>
        </w:rPr>
      </w:pPr>
      <w:r w:rsidRPr="00580401">
        <w:rPr>
          <w:i/>
          <w:u w:val="single"/>
          <w:lang w:val="en-US"/>
        </w:rPr>
        <w:t>Revenues</w:t>
      </w:r>
    </w:p>
    <w:p w14:paraId="6CDC3A59" w14:textId="40A8C941" w:rsidR="00D20CF8" w:rsidRPr="00D20CF8" w:rsidRDefault="00D20CF8" w:rsidP="00865E7C">
      <w:pPr>
        <w:pStyle w:val="ITStandard"/>
        <w:rPr>
          <w:lang w:val="en-US"/>
        </w:rPr>
      </w:pPr>
      <w:r w:rsidRPr="00D20CF8">
        <w:rPr>
          <w:lang w:val="en-US"/>
        </w:rPr>
        <w:t xml:space="preserve">DT’s funding gap reflects only the difference between the counterfactual scenario and the </w:t>
      </w:r>
      <w:r>
        <w:rPr>
          <w:lang w:val="en-US"/>
        </w:rPr>
        <w:t xml:space="preserve">project as described. Since the project is a process innovation which is expected to yield European economic and technological benefits, there is no expected change in revenue from the point of view of DT. </w:t>
      </w:r>
    </w:p>
    <w:p w14:paraId="72843D45" w14:textId="38AD5680" w:rsidR="00865E7C" w:rsidRPr="00580401" w:rsidRDefault="00865E7C" w:rsidP="00865E7C">
      <w:pPr>
        <w:pStyle w:val="ITStandard"/>
        <w:rPr>
          <w:lang w:val="en-US"/>
        </w:rPr>
      </w:pPr>
      <w:r w:rsidRPr="00580401">
        <w:rPr>
          <w:i/>
          <w:u w:val="single"/>
          <w:lang w:val="en-US"/>
        </w:rPr>
        <w:t>Variable costs</w:t>
      </w:r>
    </w:p>
    <w:p w14:paraId="562F6A77" w14:textId="7C4F033F" w:rsidR="00865E7C" w:rsidRPr="00580401" w:rsidRDefault="00865E7C" w:rsidP="00865E7C">
      <w:pPr>
        <w:pStyle w:val="ITStandard"/>
        <w:rPr>
          <w:lang w:val="en-US"/>
        </w:rPr>
      </w:pPr>
      <w:r w:rsidRPr="00580401">
        <w:rPr>
          <w:lang w:val="en-US"/>
        </w:rPr>
        <w:t xml:space="preserve">Variable costs are estimated on current raw materials costs and central scenario for recipients and production costs taking into account the existing experience of processes and future complexity of </w:t>
      </w:r>
      <w:r w:rsidR="00D20CF8">
        <w:rPr>
          <w:lang w:val="en-US"/>
        </w:rPr>
        <w:t xml:space="preserve">O-RAN network. </w:t>
      </w:r>
    </w:p>
    <w:p w14:paraId="74142E5F" w14:textId="77777777" w:rsidR="00865E7C" w:rsidRPr="009D6A0E" w:rsidRDefault="00865E7C" w:rsidP="00865E7C">
      <w:pPr>
        <w:pStyle w:val="ITStandard"/>
        <w:rPr>
          <w:i/>
          <w:u w:val="single"/>
          <w:lang w:val="en-US"/>
        </w:rPr>
      </w:pPr>
      <w:r w:rsidRPr="009D6A0E">
        <w:rPr>
          <w:i/>
          <w:u w:val="single"/>
          <w:lang w:val="en-US"/>
        </w:rPr>
        <w:t>Terminal value</w:t>
      </w:r>
    </w:p>
    <w:p w14:paraId="4543D5DE" w14:textId="615DDAA1" w:rsidR="00865E7C" w:rsidRPr="00580401" w:rsidRDefault="00D20CF8" w:rsidP="00865E7C">
      <w:pPr>
        <w:pStyle w:val="ITStandard"/>
        <w:rPr>
          <w:i/>
          <w:u w:val="single"/>
          <w:lang w:val="en-US"/>
        </w:rPr>
      </w:pPr>
      <w:r>
        <w:rPr>
          <w:lang w:val="en-US"/>
        </w:rPr>
        <w:t xml:space="preserve">The project has no expected terminal value since </w:t>
      </w:r>
      <w:r w:rsidR="002F11C5">
        <w:rPr>
          <w:lang w:val="en-US"/>
        </w:rPr>
        <w:t xml:space="preserve">there is no expectation that the assets will generate cash flow after the project is terminated.  </w:t>
      </w:r>
    </w:p>
    <w:p w14:paraId="56707A17" w14:textId="77777777" w:rsidR="00865E7C" w:rsidRPr="00580401" w:rsidRDefault="00865E7C" w:rsidP="00865E7C">
      <w:pPr>
        <w:pStyle w:val="ITStandard"/>
        <w:rPr>
          <w:lang w:val="en-US"/>
        </w:rPr>
      </w:pPr>
      <w:r w:rsidRPr="00580401">
        <w:rPr>
          <w:i/>
          <w:u w:val="single"/>
          <w:lang w:val="en-US"/>
        </w:rPr>
        <w:t>Inflation</w:t>
      </w:r>
    </w:p>
    <w:p w14:paraId="3408B965" w14:textId="3988DE17" w:rsidR="00865E7C" w:rsidRPr="00580401" w:rsidRDefault="00865E7C" w:rsidP="00865E7C">
      <w:pPr>
        <w:pStyle w:val="ITStandard"/>
        <w:rPr>
          <w:lang w:val="en-US"/>
        </w:rPr>
      </w:pPr>
      <w:r w:rsidRPr="00580401">
        <w:rPr>
          <w:lang w:val="en-US"/>
        </w:rPr>
        <w:t xml:space="preserve">All revenues and costs are not inflated and expressed on </w:t>
      </w:r>
      <w:r w:rsidR="002F11C5">
        <w:rPr>
          <w:lang w:val="en-US"/>
        </w:rPr>
        <w:t>2021</w:t>
      </w:r>
      <w:r w:rsidRPr="00580401">
        <w:rPr>
          <w:lang w:val="en-US"/>
        </w:rPr>
        <w:t xml:space="preserve"> basis, idem WACC is without inflation impact.</w:t>
      </w:r>
    </w:p>
    <w:p w14:paraId="4DBD26E4" w14:textId="77777777" w:rsidR="00865E7C" w:rsidRPr="00580401" w:rsidRDefault="00865E7C" w:rsidP="00865E7C">
      <w:pPr>
        <w:pStyle w:val="ITStandard"/>
        <w:rPr>
          <w:lang w:val="en-US"/>
        </w:rPr>
      </w:pPr>
      <w:r w:rsidRPr="00580401">
        <w:rPr>
          <w:i/>
          <w:u w:val="single"/>
          <w:lang w:val="en-US"/>
        </w:rPr>
        <w:t>WACC</w:t>
      </w:r>
    </w:p>
    <w:p w14:paraId="67380E6E" w14:textId="1E692083" w:rsidR="002F11C5" w:rsidRDefault="002F11C5" w:rsidP="00865E7C">
      <w:pPr>
        <w:pStyle w:val="ITAbsatzohneNr"/>
        <w:spacing w:after="120"/>
        <w:jc w:val="both"/>
        <w:rPr>
          <w:iCs/>
          <w:sz w:val="22"/>
          <w:lang w:val="en-US"/>
        </w:rPr>
      </w:pPr>
      <w:r>
        <w:rPr>
          <w:iCs/>
          <w:sz w:val="22"/>
          <w:lang w:val="en-US"/>
        </w:rPr>
        <w:t>DT</w:t>
      </w:r>
      <w:r w:rsidR="00865E7C" w:rsidRPr="00580401">
        <w:rPr>
          <w:iCs/>
          <w:sz w:val="22"/>
          <w:lang w:val="en-US"/>
        </w:rPr>
        <w:t xml:space="preserve"> is a privately-owned company. Therefore, there is no public WACC calculation. </w:t>
      </w:r>
      <w:r>
        <w:rPr>
          <w:iCs/>
          <w:sz w:val="22"/>
          <w:lang w:val="en-US"/>
        </w:rPr>
        <w:t>DT</w:t>
      </w:r>
      <w:r w:rsidR="00E01523">
        <w:rPr>
          <w:iCs/>
          <w:sz w:val="22"/>
          <w:lang w:val="en-US"/>
        </w:rPr>
        <w:t xml:space="preserve">’s global WACC is difficult to calculate as there are numerous moving parts, however an internal team has estimated a WACC of 3.76. This is close to externally verified WACC’s such as that of </w:t>
      </w:r>
      <w:r>
        <w:rPr>
          <w:iCs/>
          <w:sz w:val="22"/>
          <w:lang w:val="en-US"/>
        </w:rPr>
        <w:t xml:space="preserve">professor </w:t>
      </w:r>
      <w:hyperlink r:id="rId8" w:history="1">
        <w:r w:rsidRPr="002F11C5">
          <w:rPr>
            <w:rStyle w:val="Hyperlink"/>
            <w:iCs/>
            <w:sz w:val="22"/>
            <w:lang w:val="en-US"/>
          </w:rPr>
          <w:t>Da</w:t>
        </w:r>
        <w:r w:rsidRPr="002F11C5">
          <w:rPr>
            <w:rStyle w:val="Hyperlink"/>
            <w:iCs/>
            <w:sz w:val="22"/>
            <w:lang w:val="en-US"/>
          </w:rPr>
          <w:t>damo</w:t>
        </w:r>
        <w:r w:rsidRPr="002F11C5">
          <w:rPr>
            <w:rStyle w:val="Hyperlink"/>
            <w:iCs/>
            <w:sz w:val="22"/>
            <w:lang w:val="en-US"/>
          </w:rPr>
          <w:t>d</w:t>
        </w:r>
        <w:r w:rsidRPr="002F11C5">
          <w:rPr>
            <w:rStyle w:val="Hyperlink"/>
            <w:iCs/>
            <w:sz w:val="22"/>
            <w:lang w:val="en-US"/>
          </w:rPr>
          <w:t>ar</w:t>
        </w:r>
      </w:hyperlink>
      <w:r>
        <w:rPr>
          <w:rStyle w:val="FootnoteReference"/>
          <w:iCs/>
          <w:lang w:val="en-US"/>
        </w:rPr>
        <w:footnoteReference w:id="1"/>
      </w:r>
      <w:r>
        <w:rPr>
          <w:iCs/>
          <w:sz w:val="22"/>
          <w:lang w:val="en-US"/>
        </w:rPr>
        <w:t xml:space="preserve"> which has been updated in January of 2021</w:t>
      </w:r>
      <w:r w:rsidR="00E01523">
        <w:rPr>
          <w:iCs/>
          <w:sz w:val="22"/>
          <w:lang w:val="en-US"/>
        </w:rPr>
        <w:t xml:space="preserve"> with a WACC of 3.2% for </w:t>
      </w:r>
      <w:r>
        <w:rPr>
          <w:iCs/>
          <w:sz w:val="22"/>
          <w:lang w:val="en-US"/>
        </w:rPr>
        <w:t>telecom services</w:t>
      </w:r>
      <w:r w:rsidR="00E01523">
        <w:rPr>
          <w:iCs/>
          <w:sz w:val="22"/>
          <w:lang w:val="en-US"/>
        </w:rPr>
        <w:t>.</w:t>
      </w:r>
    </w:p>
    <w:p w14:paraId="327EFE78" w14:textId="77777777" w:rsidR="002F11C5" w:rsidRDefault="002F11C5" w:rsidP="00865E7C">
      <w:pPr>
        <w:pStyle w:val="ITAbsatzohneNr"/>
        <w:spacing w:after="120"/>
        <w:jc w:val="both"/>
        <w:rPr>
          <w:iCs/>
          <w:sz w:val="22"/>
          <w:lang w:val="en-US"/>
        </w:rPr>
      </w:pPr>
    </w:p>
    <w:p w14:paraId="0854F68B" w14:textId="77777777" w:rsidR="00865E7C" w:rsidRPr="00580401" w:rsidRDefault="00865E7C" w:rsidP="00865E7C">
      <w:pPr>
        <w:pStyle w:val="N2"/>
        <w:rPr>
          <w:lang w:val="en-US"/>
        </w:rPr>
      </w:pPr>
      <w:bookmarkStart w:id="1" w:name="_Toc24646002"/>
      <w:r w:rsidRPr="00580401">
        <w:rPr>
          <w:lang w:val="en-US"/>
        </w:rPr>
        <w:lastRenderedPageBreak/>
        <w:t>Necessity of state aid</w:t>
      </w:r>
    </w:p>
    <w:p w14:paraId="3E82E047" w14:textId="77777777" w:rsidR="00865E7C" w:rsidRPr="00580401" w:rsidRDefault="00865E7C" w:rsidP="00865E7C">
      <w:pPr>
        <w:pStyle w:val="ITStandard"/>
        <w:rPr>
          <w:lang w:val="en-US"/>
        </w:rPr>
      </w:pPr>
      <w:r w:rsidRPr="00580401">
        <w:rPr>
          <w:lang w:val="en-US"/>
        </w:rPr>
        <w:t>According to point 28 of the IPCEI Communication, the aid must not subsidize the costs of a project that an undertaking would anyhow incur and must not compensate for the normal business risk of an economic activity.</w:t>
      </w:r>
    </w:p>
    <w:p w14:paraId="3DE2DCF5" w14:textId="40CF4E26" w:rsidR="00865E7C" w:rsidRPr="00580401" w:rsidRDefault="00865E7C" w:rsidP="00865E7C">
      <w:pPr>
        <w:pStyle w:val="ITStandard"/>
        <w:rPr>
          <w:lang w:val="en-US"/>
        </w:rPr>
      </w:pPr>
      <w:r w:rsidRPr="00580401">
        <w:rPr>
          <w:lang w:val="en-US"/>
        </w:rPr>
        <w:t xml:space="preserve">In order to assess the activities grouped under the IPCEI on </w:t>
      </w:r>
      <w:r w:rsidR="00E01523">
        <w:rPr>
          <w:lang w:val="en-US"/>
        </w:rPr>
        <w:t>Microelectronics</w:t>
      </w:r>
      <w:r w:rsidRPr="00580401">
        <w:rPr>
          <w:lang w:val="en-US"/>
        </w:rPr>
        <w:t xml:space="preserve">, </w:t>
      </w:r>
      <w:r w:rsidR="00E01523">
        <w:rPr>
          <w:lang w:val="en-US"/>
        </w:rPr>
        <w:t>DT</w:t>
      </w:r>
      <w:r w:rsidRPr="00580401">
        <w:rPr>
          <w:lang w:val="en-US"/>
        </w:rPr>
        <w:t xml:space="preserve"> built a business model considering the incremental efforts and the incremental returns. </w:t>
      </w:r>
    </w:p>
    <w:p w14:paraId="434382B0" w14:textId="54A8A1D6" w:rsidR="00865E7C" w:rsidRDefault="001B7BDF" w:rsidP="00865E7C">
      <w:pPr>
        <w:pStyle w:val="ITStandard"/>
        <w:rPr>
          <w:lang w:val="en-US"/>
        </w:rPr>
      </w:pPr>
      <w:r>
        <w:rPr>
          <w:lang w:val="en-US"/>
        </w:rPr>
        <w:t>DT</w:t>
      </w:r>
      <w:r w:rsidR="00865E7C" w:rsidRPr="00580401">
        <w:rPr>
          <w:lang w:val="en-US"/>
        </w:rPr>
        <w:t xml:space="preserve"> Internal Rate of Return for the IPCEI on </w:t>
      </w:r>
      <w:r>
        <w:rPr>
          <w:lang w:val="en-US"/>
        </w:rPr>
        <w:t>Microelectronics</w:t>
      </w:r>
      <w:r w:rsidRPr="00580401">
        <w:rPr>
          <w:lang w:val="en-US"/>
        </w:rPr>
        <w:t xml:space="preserve"> </w:t>
      </w:r>
      <w:r w:rsidR="00865E7C" w:rsidRPr="00580401">
        <w:rPr>
          <w:lang w:val="en-US"/>
        </w:rPr>
        <w:t xml:space="preserve">is </w:t>
      </w:r>
      <w:r w:rsidR="00D90408">
        <w:rPr>
          <w:lang w:val="en-US"/>
        </w:rPr>
        <w:t>negative</w:t>
      </w:r>
      <w:r w:rsidR="00865E7C" w:rsidRPr="00580401">
        <w:rPr>
          <w:lang w:val="en-US"/>
        </w:rPr>
        <w:t xml:space="preserve"> % without State aid, in a nominal scenario based on conservative and reasonable assumptions</w:t>
      </w:r>
      <w:r w:rsidR="00865E7C" w:rsidRPr="00580401">
        <w:rPr>
          <w:rStyle w:val="FootnoteReference"/>
          <w:lang w:val="en-US"/>
        </w:rPr>
        <w:footnoteReference w:id="2"/>
      </w:r>
      <w:r w:rsidR="00865E7C" w:rsidRPr="00580401">
        <w:rPr>
          <w:lang w:val="en-US"/>
        </w:rPr>
        <w:t xml:space="preserve">. Thus, it is clear that the State aid does not subsidize the costs of a project that </w:t>
      </w:r>
      <w:r w:rsidR="00D90408">
        <w:rPr>
          <w:lang w:val="en-US"/>
        </w:rPr>
        <w:t>DT</w:t>
      </w:r>
      <w:r w:rsidR="00865E7C" w:rsidRPr="00580401">
        <w:rPr>
          <w:lang w:val="en-US"/>
        </w:rPr>
        <w:t xml:space="preserve"> would anyhow have carried out.</w:t>
      </w:r>
    </w:p>
    <w:p w14:paraId="0FF9720E" w14:textId="77777777" w:rsidR="00865E7C" w:rsidRPr="00580401" w:rsidRDefault="00865E7C" w:rsidP="00865E7C">
      <w:pPr>
        <w:pStyle w:val="ITStandard"/>
        <w:rPr>
          <w:lang w:val="en-US"/>
        </w:rPr>
      </w:pPr>
    </w:p>
    <w:p w14:paraId="6F994DF0" w14:textId="77777777" w:rsidR="00865E7C" w:rsidRPr="00580401" w:rsidRDefault="00865E7C" w:rsidP="00865E7C">
      <w:pPr>
        <w:pStyle w:val="N2"/>
        <w:rPr>
          <w:lang w:val="en-US"/>
        </w:rPr>
      </w:pPr>
      <w:r w:rsidRPr="00580401">
        <w:rPr>
          <w:lang w:val="en-US"/>
        </w:rPr>
        <w:t>Proportionality of state aid</w:t>
      </w:r>
      <w:bookmarkEnd w:id="1"/>
    </w:p>
    <w:p w14:paraId="674FDBA2" w14:textId="77777777" w:rsidR="00865E7C" w:rsidRPr="00580401" w:rsidRDefault="00865E7C" w:rsidP="00865E7C">
      <w:pPr>
        <w:pStyle w:val="N3"/>
        <w:rPr>
          <w:lang w:val="en-US"/>
        </w:rPr>
      </w:pPr>
      <w:r w:rsidRPr="00580401">
        <w:rPr>
          <w:lang w:val="en-US"/>
        </w:rPr>
        <w:t>Firm’s hurdle rate</w:t>
      </w:r>
    </w:p>
    <w:p w14:paraId="7DA9C1F8" w14:textId="77777777" w:rsidR="00865E7C" w:rsidRPr="00580401" w:rsidRDefault="00865E7C" w:rsidP="00865E7C">
      <w:pPr>
        <w:pStyle w:val="ITStandard"/>
        <w:rPr>
          <w:lang w:val="en-US"/>
        </w:rPr>
      </w:pPr>
      <w:r w:rsidRPr="00580401">
        <w:rPr>
          <w:lang w:val="en-US"/>
        </w:rPr>
        <w:t>According to point 30 of the IPCEI Communication, in the absence of an alternative project, the Commission will verify that the aid amount does not exceed the minimum necessary for the aided project to be sufficiently profitable, for example by making possible to achieve an IRR corresponding to the firm’s hurdle rate.</w:t>
      </w:r>
    </w:p>
    <w:p w14:paraId="7555222A" w14:textId="067E4B03" w:rsidR="00D90408" w:rsidRDefault="00D90408" w:rsidP="00865E7C">
      <w:pPr>
        <w:pStyle w:val="ITStandard"/>
        <w:rPr>
          <w:lang w:val="en-US"/>
        </w:rPr>
      </w:pPr>
      <w:r>
        <w:rPr>
          <w:lang w:val="en-US"/>
        </w:rPr>
        <w:t xml:space="preserve">DT </w:t>
      </w:r>
      <w:r w:rsidR="00865E7C" w:rsidRPr="009D6A0E">
        <w:rPr>
          <w:lang w:val="en-US"/>
        </w:rPr>
        <w:t xml:space="preserve">Internal Rate of Return for the project IPCEI taking into account a </w:t>
      </w:r>
      <w:r>
        <w:rPr>
          <w:lang w:val="en-US"/>
        </w:rPr>
        <w:t>2416</w:t>
      </w:r>
      <w:r w:rsidRPr="009D6A0E">
        <w:rPr>
          <w:lang w:val="en-US"/>
        </w:rPr>
        <w:t xml:space="preserve"> </w:t>
      </w:r>
      <w:r w:rsidR="00865E7C" w:rsidRPr="009D6A0E">
        <w:rPr>
          <w:lang w:val="en-US"/>
        </w:rPr>
        <w:t>k€</w:t>
      </w:r>
      <w:r w:rsidR="00865E7C" w:rsidRPr="00580401">
        <w:rPr>
          <w:lang w:val="en-US"/>
        </w:rPr>
        <w:t xml:space="preserve"> State aid from </w:t>
      </w:r>
      <w:r>
        <w:rPr>
          <w:lang w:val="en-US"/>
        </w:rPr>
        <w:t>Germany</w:t>
      </w:r>
      <w:r w:rsidR="00865E7C" w:rsidRPr="00580401">
        <w:rPr>
          <w:lang w:val="en-US"/>
        </w:rPr>
        <w:t xml:space="preserve"> would be </w:t>
      </w:r>
      <w:r>
        <w:rPr>
          <w:lang w:val="en-US"/>
        </w:rPr>
        <w:t>negative.</w:t>
      </w:r>
      <w:r w:rsidR="00865E7C" w:rsidRPr="00580401">
        <w:rPr>
          <w:lang w:val="en-US"/>
        </w:rPr>
        <w:t xml:space="preserve"> This happens to be </w:t>
      </w:r>
      <w:r>
        <w:rPr>
          <w:lang w:val="en-US"/>
        </w:rPr>
        <w:t>below the</w:t>
      </w:r>
      <w:r w:rsidR="00865E7C" w:rsidRPr="00580401">
        <w:rPr>
          <w:lang w:val="en-US"/>
        </w:rPr>
        <w:t xml:space="preserve"> value of the company’s WACC</w:t>
      </w:r>
      <w:r w:rsidR="00865E7C" w:rsidRPr="00580401">
        <w:rPr>
          <w:rStyle w:val="FootnoteReference"/>
          <w:lang w:val="en-US"/>
        </w:rPr>
        <w:t>20</w:t>
      </w:r>
      <w:r w:rsidR="00865E7C" w:rsidRPr="00580401">
        <w:rPr>
          <w:lang w:val="en-US"/>
        </w:rPr>
        <w:t xml:space="preserve">. </w:t>
      </w:r>
      <w:r>
        <w:rPr>
          <w:lang w:val="en-US"/>
        </w:rPr>
        <w:t>Yet DT feels that this would be sufficient to motivate it to launch into this project for the common European interest. In other words, this project will not confer any extra profits to DT, quite the opposite, it represents a cost to DT.</w:t>
      </w:r>
    </w:p>
    <w:p w14:paraId="756B7FB6" w14:textId="77777777" w:rsidR="00D90408" w:rsidRDefault="00D90408" w:rsidP="00865E7C">
      <w:pPr>
        <w:pStyle w:val="ITStandard"/>
        <w:rPr>
          <w:lang w:val="en-US"/>
        </w:rPr>
      </w:pPr>
    </w:p>
    <w:p w14:paraId="6BF11951" w14:textId="77777777" w:rsidR="00865E7C" w:rsidRPr="00580401" w:rsidRDefault="00865E7C" w:rsidP="00865E7C">
      <w:pPr>
        <w:pStyle w:val="N3"/>
        <w:rPr>
          <w:lang w:val="en-US"/>
        </w:rPr>
      </w:pPr>
      <w:r w:rsidRPr="00580401">
        <w:rPr>
          <w:lang w:val="en-US"/>
        </w:rPr>
        <w:t>Project’s funding gap</w:t>
      </w:r>
    </w:p>
    <w:p w14:paraId="1B65235A" w14:textId="77777777" w:rsidR="00865E7C" w:rsidRPr="00580401" w:rsidRDefault="00865E7C" w:rsidP="00865E7C">
      <w:pPr>
        <w:pStyle w:val="ITStandard"/>
        <w:rPr>
          <w:lang w:val="en-US"/>
        </w:rPr>
      </w:pPr>
      <w:r w:rsidRPr="00580401">
        <w:rPr>
          <w:lang w:val="en-US"/>
        </w:rPr>
        <w:t>According to point 31 of the IPCEI Communication, the maximum aid level will be determined with regard to the identified funding gap in relation to the eligible costs. The funding gap refers to the difference between the positive and negative cash flows over the lifetime of the investment, discounted to their current value on the basis of an appropriate discount factor reflecting the rate of return necessary for the beneficiary to carry out the project notably in view of the risks involved.</w:t>
      </w:r>
    </w:p>
    <w:p w14:paraId="1209EEF7" w14:textId="651EE138" w:rsidR="00865E7C" w:rsidRPr="00580401" w:rsidRDefault="00D90408" w:rsidP="00865E7C">
      <w:pPr>
        <w:pStyle w:val="ITStandard"/>
        <w:rPr>
          <w:lang w:val="en-US"/>
        </w:rPr>
      </w:pPr>
      <w:r>
        <w:rPr>
          <w:lang w:val="en-US"/>
        </w:rPr>
        <w:lastRenderedPageBreak/>
        <w:t>DT</w:t>
      </w:r>
      <w:r w:rsidR="00865E7C" w:rsidRPr="00580401">
        <w:rPr>
          <w:lang w:val="en-US"/>
        </w:rPr>
        <w:t xml:space="preserve"> funding gap, calculated as </w:t>
      </w:r>
      <w:r w:rsidR="00865E7C" w:rsidRPr="009D6A0E">
        <w:rPr>
          <w:lang w:val="en-US"/>
        </w:rPr>
        <w:t xml:space="preserve">the discounted difference between the positive and negative cash flows over the lifetime of the IPCEI on </w:t>
      </w:r>
      <w:r>
        <w:rPr>
          <w:lang w:val="en-US"/>
        </w:rPr>
        <w:t>Microelectronics</w:t>
      </w:r>
      <w:r w:rsidR="00865E7C" w:rsidRPr="009D6A0E">
        <w:rPr>
          <w:lang w:val="en-US"/>
        </w:rPr>
        <w:t>, amounts to -</w:t>
      </w:r>
      <w:r w:rsidR="00B351AE">
        <w:rPr>
          <w:lang w:val="en-US"/>
        </w:rPr>
        <w:t>23400</w:t>
      </w:r>
      <w:r w:rsidR="00865E7C" w:rsidRPr="009D6A0E">
        <w:rPr>
          <w:lang w:val="en-US"/>
        </w:rPr>
        <w:t xml:space="preserve"> k€ (with a discount rate of </w:t>
      </w:r>
      <w:r>
        <w:rPr>
          <w:lang w:val="en-US"/>
        </w:rPr>
        <w:t>3.76</w:t>
      </w:r>
      <w:r w:rsidR="00865E7C" w:rsidRPr="009D6A0E">
        <w:rPr>
          <w:lang w:val="en-US"/>
        </w:rPr>
        <w:t> % equal to the company’s WACC).</w:t>
      </w:r>
    </w:p>
    <w:p w14:paraId="22214735" w14:textId="772DD5F4" w:rsidR="00865E7C" w:rsidRPr="00580401" w:rsidRDefault="00865E7C" w:rsidP="00865E7C">
      <w:pPr>
        <w:pStyle w:val="ITStandard"/>
        <w:rPr>
          <w:lang w:val="en-US"/>
        </w:rPr>
      </w:pPr>
      <w:r w:rsidRPr="00580401">
        <w:rPr>
          <w:lang w:val="en-US"/>
        </w:rPr>
        <w:t xml:space="preserve">The </w:t>
      </w:r>
      <w:r w:rsidRPr="009D6A0E">
        <w:rPr>
          <w:lang w:val="en-US"/>
        </w:rPr>
        <w:t xml:space="preserve">State aid granted to </w:t>
      </w:r>
      <w:r w:rsidR="00B351AE">
        <w:rPr>
          <w:lang w:val="en-US"/>
        </w:rPr>
        <w:t>DT</w:t>
      </w:r>
      <w:r w:rsidRPr="009D6A0E">
        <w:rPr>
          <w:lang w:val="en-US"/>
        </w:rPr>
        <w:t xml:space="preserve">, in the form of a direct grant amounting to </w:t>
      </w:r>
      <w:r w:rsidR="00B351AE">
        <w:rPr>
          <w:lang w:val="en-US"/>
        </w:rPr>
        <w:t>24</w:t>
      </w:r>
      <w:r w:rsidRPr="009D6A0E">
        <w:rPr>
          <w:lang w:val="en-US"/>
        </w:rPr>
        <w:t> </w:t>
      </w:r>
      <w:r w:rsidR="00B351AE">
        <w:rPr>
          <w:lang w:val="en-US"/>
        </w:rPr>
        <w:t>160</w:t>
      </w:r>
      <w:r w:rsidRPr="009D6A0E">
        <w:rPr>
          <w:lang w:val="en-US"/>
        </w:rPr>
        <w:t> k€</w:t>
      </w:r>
      <w:r>
        <w:rPr>
          <w:lang w:val="en-US"/>
        </w:rPr>
        <w:t xml:space="preserve"> nominal</w:t>
      </w:r>
      <w:r w:rsidRPr="009D6A0E">
        <w:rPr>
          <w:lang w:val="en-US"/>
        </w:rPr>
        <w:t xml:space="preserve">, has a </w:t>
      </w:r>
      <w:r>
        <w:rPr>
          <w:lang w:val="en-US"/>
        </w:rPr>
        <w:t xml:space="preserve">post-tax </w:t>
      </w:r>
      <w:r w:rsidRPr="009D6A0E">
        <w:rPr>
          <w:lang w:val="en-US"/>
        </w:rPr>
        <w:t xml:space="preserve">Net Present Value of </w:t>
      </w:r>
      <w:r w:rsidR="00B351AE">
        <w:rPr>
          <w:lang w:val="en-US"/>
        </w:rPr>
        <w:t>21</w:t>
      </w:r>
      <w:r>
        <w:rPr>
          <w:lang w:val="en-US"/>
        </w:rPr>
        <w:t> </w:t>
      </w:r>
      <w:r w:rsidR="00B351AE">
        <w:rPr>
          <w:lang w:val="en-US"/>
        </w:rPr>
        <w:t>850</w:t>
      </w:r>
      <w:r w:rsidRPr="009D6A0E">
        <w:rPr>
          <w:lang w:val="en-US"/>
        </w:rPr>
        <w:t xml:space="preserve"> k€. Thus, it is </w:t>
      </w:r>
      <w:r w:rsidR="00B351AE">
        <w:rPr>
          <w:lang w:val="en-US"/>
        </w:rPr>
        <w:t>below</w:t>
      </w:r>
      <w:r w:rsidRPr="009D6A0E">
        <w:rPr>
          <w:lang w:val="en-US"/>
        </w:rPr>
        <w:t xml:space="preserve"> the funding gap; the State aid </w:t>
      </w:r>
      <w:r w:rsidR="00B351AE">
        <w:rPr>
          <w:lang w:val="en-US"/>
        </w:rPr>
        <w:t xml:space="preserve">does not risk being disproportionate to the project, in it is the amount required for DT to be willing to undertake this project. </w:t>
      </w:r>
    </w:p>
    <w:p w14:paraId="71B58F0C" w14:textId="77777777" w:rsidR="00865E7C" w:rsidRPr="00580401" w:rsidRDefault="00865E7C" w:rsidP="00865E7C">
      <w:pPr>
        <w:pStyle w:val="N3"/>
        <w:rPr>
          <w:lang w:val="en-US"/>
        </w:rPr>
      </w:pPr>
      <w:r w:rsidRPr="00580401">
        <w:rPr>
          <w:lang w:val="en-US"/>
        </w:rPr>
        <w:t>State aid intensity</w:t>
      </w:r>
    </w:p>
    <w:p w14:paraId="5D3DB48C" w14:textId="3AFD66AE" w:rsidR="00865E7C" w:rsidRPr="00580401" w:rsidRDefault="00865E7C" w:rsidP="00865E7C">
      <w:pPr>
        <w:pStyle w:val="ITStandard"/>
        <w:rPr>
          <w:lang w:val="en-US"/>
        </w:rPr>
      </w:pPr>
      <w:r w:rsidRPr="00580401">
        <w:rPr>
          <w:lang w:val="en-US"/>
        </w:rPr>
        <w:t xml:space="preserve">The eligible costs to carry out the proposed activities are calculated only to the level necessary for achieving the project objectives. They consist in personnel costs (technicians, engineers and other supports mandatory for the project completion), materials costs and equipment </w:t>
      </w:r>
      <w:proofErr w:type="gramStart"/>
      <w:r w:rsidRPr="00580401">
        <w:rPr>
          <w:lang w:val="en-US"/>
        </w:rPr>
        <w:t>costs</w:t>
      </w:r>
      <w:proofErr w:type="gramEnd"/>
      <w:r w:rsidRPr="00580401">
        <w:rPr>
          <w:lang w:val="en-US"/>
        </w:rPr>
        <w:t xml:space="preserve"> the details of which are provided in section 1.8. For equipment, only the part of the cost </w:t>
      </w:r>
      <w:r w:rsidR="00B351AE">
        <w:rPr>
          <w:lang w:val="en-US"/>
        </w:rPr>
        <w:t xml:space="preserve">depreciated during the period. </w:t>
      </w:r>
    </w:p>
    <w:p w14:paraId="23443BFF" w14:textId="7FBA2E96" w:rsidR="00865E7C" w:rsidRPr="00580401" w:rsidRDefault="00865E7C" w:rsidP="00865E7C">
      <w:pPr>
        <w:pStyle w:val="ITStandard"/>
        <w:rPr>
          <w:lang w:val="en-US"/>
        </w:rPr>
      </w:pPr>
      <w:r w:rsidRPr="00580401">
        <w:rPr>
          <w:lang w:val="en-US"/>
        </w:rPr>
        <w:t xml:space="preserve">The total amount of eligible R&amp;D and FID costs is 24 </w:t>
      </w:r>
      <w:r w:rsidR="00DA6AAC">
        <w:rPr>
          <w:lang w:val="en-US"/>
        </w:rPr>
        <w:t>160</w:t>
      </w:r>
      <w:r w:rsidRPr="00580401">
        <w:rPr>
          <w:lang w:val="en-US"/>
        </w:rPr>
        <w:t xml:space="preserve"> k€. </w:t>
      </w:r>
    </w:p>
    <w:p w14:paraId="0BBE7703" w14:textId="3E3F4645" w:rsidR="00865E7C" w:rsidRPr="00580401" w:rsidRDefault="00865E7C" w:rsidP="00865E7C">
      <w:pPr>
        <w:pStyle w:val="ITStandard"/>
        <w:rPr>
          <w:lang w:val="en-US"/>
        </w:rPr>
      </w:pPr>
      <w:r w:rsidRPr="00580401">
        <w:rPr>
          <w:lang w:val="en-US"/>
        </w:rPr>
        <w:t xml:space="preserve">Thus, the required State aid is </w:t>
      </w:r>
      <w:r w:rsidR="00DA6AAC">
        <w:rPr>
          <w:lang w:val="en-US"/>
        </w:rPr>
        <w:t>the maximum that can be legally attained with 100</w:t>
      </w:r>
      <w:r w:rsidRPr="00580401">
        <w:rPr>
          <w:lang w:val="en-US"/>
        </w:rPr>
        <w:t> % of the eligible costs set by the Community guidelines for IPCEI.</w:t>
      </w:r>
    </w:p>
    <w:p w14:paraId="24E86B9C" w14:textId="77777777" w:rsidR="00865E7C" w:rsidRPr="00580401" w:rsidRDefault="00865E7C" w:rsidP="00865E7C">
      <w:pPr>
        <w:pStyle w:val="ITStandard"/>
        <w:rPr>
          <w:lang w:val="en-US"/>
        </w:rPr>
      </w:pPr>
    </w:p>
    <w:p w14:paraId="0374F806" w14:textId="77777777" w:rsidR="00865E7C" w:rsidRPr="00580401" w:rsidRDefault="00865E7C" w:rsidP="00865E7C">
      <w:pPr>
        <w:pStyle w:val="N3"/>
        <w:rPr>
          <w:lang w:val="en-US"/>
        </w:rPr>
      </w:pPr>
      <w:r w:rsidRPr="00580401">
        <w:rPr>
          <w:lang w:val="en-US"/>
        </w:rPr>
        <w:t>State aid cumulation</w:t>
      </w:r>
    </w:p>
    <w:p w14:paraId="395BA212" w14:textId="7104FB19" w:rsidR="00865E7C" w:rsidRPr="00580401" w:rsidRDefault="00865E7C" w:rsidP="00865E7C">
      <w:pPr>
        <w:pStyle w:val="ITStandard"/>
        <w:rPr>
          <w:lang w:val="en-US"/>
        </w:rPr>
      </w:pPr>
      <w:r w:rsidRPr="00580401">
        <w:rPr>
          <w:lang w:val="en-US"/>
        </w:rPr>
        <w:t xml:space="preserve">In the light of the beneficiary's declarations and to the knowledge of the </w:t>
      </w:r>
      <w:r w:rsidR="00DA6AAC">
        <w:rPr>
          <w:lang w:val="en-US"/>
        </w:rPr>
        <w:t>German</w:t>
      </w:r>
      <w:r w:rsidRPr="00580401">
        <w:rPr>
          <w:lang w:val="en-US"/>
        </w:rPr>
        <w:t xml:space="preserve"> authorities, </w:t>
      </w:r>
      <w:r w:rsidR="00DA6AAC">
        <w:rPr>
          <w:lang w:val="en-US"/>
        </w:rPr>
        <w:t>DT</w:t>
      </w:r>
      <w:r w:rsidRPr="00580401">
        <w:rPr>
          <w:lang w:val="en-US"/>
        </w:rPr>
        <w:t xml:space="preserve"> does not receive any State aid other than that indicated in point 2.2 of this notification to finance its share of work under the IPCEI on </w:t>
      </w:r>
      <w:r w:rsidR="00DA6AAC">
        <w:rPr>
          <w:lang w:val="en-US"/>
        </w:rPr>
        <w:t>Microelectronics</w:t>
      </w:r>
      <w:r w:rsidRPr="00580401">
        <w:rPr>
          <w:lang w:val="en-US"/>
        </w:rPr>
        <w:t>.</w:t>
      </w:r>
    </w:p>
    <w:p w14:paraId="0B65669B" w14:textId="77777777" w:rsidR="00865E7C" w:rsidRPr="00580401" w:rsidRDefault="00865E7C" w:rsidP="00865E7C">
      <w:pPr>
        <w:pStyle w:val="ITStandard"/>
        <w:rPr>
          <w:lang w:val="en-US"/>
        </w:rPr>
      </w:pPr>
      <w:r w:rsidRPr="00580401">
        <w:rPr>
          <w:lang w:val="en-US"/>
        </w:rPr>
        <w:t>This state aid may come from the state budget or local authorities as well as from the structural funds.</w:t>
      </w:r>
    </w:p>
    <w:p w14:paraId="4C1E0886" w14:textId="77777777" w:rsidR="00865E7C" w:rsidRPr="00580401" w:rsidRDefault="00865E7C" w:rsidP="00865E7C">
      <w:pPr>
        <w:pStyle w:val="N3"/>
        <w:rPr>
          <w:lang w:val="en-US"/>
        </w:rPr>
      </w:pPr>
      <w:r w:rsidRPr="00580401">
        <w:rPr>
          <w:lang w:val="en-US"/>
        </w:rPr>
        <w:t>Open selection proceeding</w:t>
      </w:r>
    </w:p>
    <w:p w14:paraId="3739C9B5" w14:textId="0880B987" w:rsidR="00865E7C" w:rsidRPr="00580401" w:rsidRDefault="00865E7C" w:rsidP="00865E7C">
      <w:pPr>
        <w:pStyle w:val="ITStandard"/>
        <w:rPr>
          <w:lang w:val="en-US"/>
        </w:rPr>
      </w:pPr>
      <w:r w:rsidRPr="00580401">
        <w:rPr>
          <w:lang w:val="en-US"/>
        </w:rPr>
        <w:t xml:space="preserve">The selection of </w:t>
      </w:r>
      <w:r w:rsidR="00DA6AAC">
        <w:rPr>
          <w:lang w:val="en-US"/>
        </w:rPr>
        <w:t>DT</w:t>
      </w:r>
      <w:r w:rsidRPr="00580401">
        <w:rPr>
          <w:lang w:val="en-US"/>
        </w:rPr>
        <w:t xml:space="preserve"> as a partner for the IPCEI on </w:t>
      </w:r>
      <w:r w:rsidR="00DA6AAC">
        <w:rPr>
          <w:lang w:val="en-US"/>
        </w:rPr>
        <w:t>Microelectronics</w:t>
      </w:r>
      <w:r w:rsidRPr="00580401">
        <w:rPr>
          <w:lang w:val="en-US"/>
        </w:rPr>
        <w:t xml:space="preserve"> and as a beneficiary of public support in </w:t>
      </w:r>
      <w:r w:rsidR="00DA6AAC">
        <w:rPr>
          <w:lang w:val="en-US"/>
        </w:rPr>
        <w:t>Germany</w:t>
      </w:r>
      <w:r w:rsidRPr="00580401">
        <w:rPr>
          <w:lang w:val="en-US"/>
        </w:rPr>
        <w:t xml:space="preserve"> was done in the context of an open call for manifestation on interest in </w:t>
      </w:r>
      <w:r w:rsidR="00DA6AAC">
        <w:rPr>
          <w:lang w:val="en-US"/>
        </w:rPr>
        <w:t>September</w:t>
      </w:r>
      <w:r w:rsidRPr="00580401">
        <w:rPr>
          <w:lang w:val="en-US"/>
        </w:rPr>
        <w:t xml:space="preserve"> </w:t>
      </w:r>
      <w:r w:rsidR="00DA6AAC">
        <w:rPr>
          <w:lang w:val="en-US"/>
        </w:rPr>
        <w:t>2021</w:t>
      </w:r>
      <w:r w:rsidRPr="00580401">
        <w:rPr>
          <w:lang w:val="en-US"/>
        </w:rPr>
        <w:t xml:space="preserve">, based on objective criteria which are neither discretionary nor discriminatory. </w:t>
      </w:r>
      <w:r w:rsidR="00DA6AAC">
        <w:rPr>
          <w:lang w:val="en-US"/>
        </w:rPr>
        <w:t>Numerous</w:t>
      </w:r>
      <w:r w:rsidRPr="00580401">
        <w:rPr>
          <w:lang w:val="en-US"/>
        </w:rPr>
        <w:t xml:space="preserve"> companies applied, among which </w:t>
      </w:r>
      <w:r w:rsidR="00DA6AAC">
        <w:rPr>
          <w:lang w:val="en-US"/>
        </w:rPr>
        <w:t>DT</w:t>
      </w:r>
      <w:r w:rsidRPr="00580401">
        <w:rPr>
          <w:lang w:val="en-US"/>
        </w:rPr>
        <w:t xml:space="preserve"> was selected. </w:t>
      </w:r>
      <w:r w:rsidR="00DA6AAC">
        <w:rPr>
          <w:lang w:val="en-US"/>
        </w:rPr>
        <w:t>This</w:t>
      </w:r>
      <w:r w:rsidRPr="00580401">
        <w:rPr>
          <w:lang w:val="en-US"/>
        </w:rPr>
        <w:t xml:space="preserve"> contribute</w:t>
      </w:r>
      <w:r w:rsidR="00DA6AAC">
        <w:rPr>
          <w:lang w:val="en-US"/>
        </w:rPr>
        <w:t>s</w:t>
      </w:r>
      <w:r w:rsidRPr="00580401">
        <w:rPr>
          <w:lang w:val="en-US"/>
        </w:rPr>
        <w:t xml:space="preserve"> to reinforcing the proportionate nature of the State aid.</w:t>
      </w:r>
    </w:p>
    <w:p w14:paraId="124B093F" w14:textId="77777777" w:rsidR="00D13F6E" w:rsidRDefault="00D13F6E"/>
    <w:sectPr w:rsidR="00D13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F054" w14:textId="77777777" w:rsidR="00C14EFB" w:rsidRDefault="00C14EFB" w:rsidP="00865E7C">
      <w:pPr>
        <w:spacing w:after="0" w:line="240" w:lineRule="auto"/>
      </w:pPr>
      <w:r>
        <w:separator/>
      </w:r>
    </w:p>
  </w:endnote>
  <w:endnote w:type="continuationSeparator" w:id="0">
    <w:p w14:paraId="498EBF43" w14:textId="77777777" w:rsidR="00C14EFB" w:rsidRDefault="00C14EFB" w:rsidP="0086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8C0D" w14:textId="77777777" w:rsidR="00C14EFB" w:rsidRDefault="00C14EFB" w:rsidP="00865E7C">
      <w:pPr>
        <w:spacing w:after="0" w:line="240" w:lineRule="auto"/>
      </w:pPr>
      <w:r>
        <w:separator/>
      </w:r>
    </w:p>
  </w:footnote>
  <w:footnote w:type="continuationSeparator" w:id="0">
    <w:p w14:paraId="14835316" w14:textId="77777777" w:rsidR="00C14EFB" w:rsidRDefault="00C14EFB" w:rsidP="00865E7C">
      <w:pPr>
        <w:spacing w:after="0" w:line="240" w:lineRule="auto"/>
      </w:pPr>
      <w:r>
        <w:continuationSeparator/>
      </w:r>
    </w:p>
  </w:footnote>
  <w:footnote w:id="1">
    <w:p w14:paraId="3F6DC2BF" w14:textId="336AE89D" w:rsidR="002F11C5" w:rsidRPr="002F11C5" w:rsidRDefault="002F11C5">
      <w:pPr>
        <w:pStyle w:val="FootnoteText"/>
      </w:pPr>
      <w:r>
        <w:rPr>
          <w:rStyle w:val="FootnoteReference"/>
        </w:rPr>
        <w:footnoteRef/>
      </w:r>
      <w:r>
        <w:t xml:space="preserve"> </w:t>
      </w:r>
      <w:hyperlink r:id="rId1" w:history="1">
        <w:r>
          <w:rPr>
            <w:rStyle w:val="Hyperlink"/>
          </w:rPr>
          <w:t>Cost of Capital (nyu.edu)</w:t>
        </w:r>
      </w:hyperlink>
    </w:p>
  </w:footnote>
  <w:footnote w:id="2">
    <w:p w14:paraId="718BC186" w14:textId="2426E194" w:rsidR="00865E7C" w:rsidRPr="00B02576" w:rsidRDefault="00865E7C" w:rsidP="00865E7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1D2"/>
    <w:multiLevelType w:val="hybridMultilevel"/>
    <w:tmpl w:val="B8A4DAE0"/>
    <w:lvl w:ilvl="0" w:tplc="8946A914">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CA5EC1"/>
    <w:multiLevelType w:val="multilevel"/>
    <w:tmpl w:val="34C85604"/>
    <w:lvl w:ilvl="0">
      <w:start w:val="1"/>
      <w:numFmt w:val="decimal"/>
      <w:pStyle w:val="N1"/>
      <w:lvlText w:val="%1"/>
      <w:lvlJc w:val="left"/>
      <w:pPr>
        <w:tabs>
          <w:tab w:val="num" w:pos="680"/>
        </w:tabs>
        <w:ind w:left="680" w:hanging="680"/>
      </w:pPr>
      <w:rPr>
        <w:rFonts w:hint="default"/>
      </w:rPr>
    </w:lvl>
    <w:lvl w:ilvl="1">
      <w:start w:val="1"/>
      <w:numFmt w:val="decimal"/>
      <w:pStyle w:val="N2"/>
      <w:lvlText w:val="%1.%2"/>
      <w:lvlJc w:val="left"/>
      <w:pPr>
        <w:tabs>
          <w:tab w:val="num" w:pos="680"/>
        </w:tabs>
        <w:ind w:left="680"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tabs>
          <w:tab w:val="num" w:pos="3545"/>
        </w:tabs>
        <w:ind w:left="3545" w:hanging="851"/>
      </w:pPr>
      <w:rPr>
        <w:rFonts w:hint="default"/>
      </w:rPr>
    </w:lvl>
    <w:lvl w:ilvl="3">
      <w:start w:val="1"/>
      <w:numFmt w:val="decimal"/>
      <w:pStyle w:val="N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7C"/>
    <w:rsid w:val="001B7BDF"/>
    <w:rsid w:val="002F11C5"/>
    <w:rsid w:val="00865E7C"/>
    <w:rsid w:val="00B351AE"/>
    <w:rsid w:val="00C14EFB"/>
    <w:rsid w:val="00D13F6E"/>
    <w:rsid w:val="00D20CF8"/>
    <w:rsid w:val="00D90408"/>
    <w:rsid w:val="00DA6AAC"/>
    <w:rsid w:val="00E0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EFD3"/>
  <w15:chartTrackingRefBased/>
  <w15:docId w15:val="{B1282EFA-89F1-43D9-A8EC-7D5BE608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IT Fußnotentext"/>
    <w:basedOn w:val="Normal"/>
    <w:link w:val="FootnoteTextChar"/>
    <w:uiPriority w:val="99"/>
    <w:rsid w:val="00865E7C"/>
    <w:pPr>
      <w:keepLines/>
      <w:spacing w:after="120" w:line="276" w:lineRule="auto"/>
      <w:ind w:left="102" w:hanging="102"/>
    </w:pPr>
    <w:rPr>
      <w:rFonts w:ascii="Arial" w:eastAsia="Times New Roman" w:hAnsi="Arial" w:cs="Times New Roman"/>
      <w:sz w:val="16"/>
      <w:szCs w:val="20"/>
      <w:lang w:val="de-DE" w:eastAsia="de-DE"/>
    </w:rPr>
  </w:style>
  <w:style w:type="character" w:customStyle="1" w:styleId="FootnoteTextChar">
    <w:name w:val="Footnote Text Char"/>
    <w:aliases w:val="IT Fußnotentext Char"/>
    <w:basedOn w:val="DefaultParagraphFont"/>
    <w:link w:val="FootnoteText"/>
    <w:uiPriority w:val="99"/>
    <w:rsid w:val="00865E7C"/>
    <w:rPr>
      <w:rFonts w:ascii="Arial" w:eastAsia="Times New Roman" w:hAnsi="Arial" w:cs="Times New Roman"/>
      <w:sz w:val="16"/>
      <w:szCs w:val="20"/>
      <w:lang w:val="de-DE"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865E7C"/>
    <w:rPr>
      <w:position w:val="6"/>
      <w:sz w:val="16"/>
      <w:vertAlign w:val="superscript"/>
    </w:rPr>
  </w:style>
  <w:style w:type="paragraph" w:customStyle="1" w:styleId="ITAbsatzohneNr">
    <w:name w:val="IT Absatz ohne Nr."/>
    <w:basedOn w:val="Normal"/>
    <w:link w:val="ITAbsatzohneNrZchn"/>
    <w:rsid w:val="00865E7C"/>
    <w:pPr>
      <w:spacing w:after="0" w:line="280" w:lineRule="exact"/>
    </w:pPr>
    <w:rPr>
      <w:rFonts w:ascii="Arial" w:eastAsia="Times New Roman" w:hAnsi="Arial" w:cs="Times New Roman"/>
      <w:sz w:val="20"/>
      <w:szCs w:val="20"/>
      <w:lang w:val="de-DE" w:eastAsia="de-DE"/>
    </w:rPr>
  </w:style>
  <w:style w:type="character" w:customStyle="1" w:styleId="ITAbsatzohneNrZchn">
    <w:name w:val="IT Absatz ohne Nr. Zchn"/>
    <w:basedOn w:val="DefaultParagraphFont"/>
    <w:link w:val="ITAbsatzohneNr"/>
    <w:rsid w:val="00865E7C"/>
    <w:rPr>
      <w:rFonts w:ascii="Arial" w:eastAsia="Times New Roman" w:hAnsi="Arial" w:cs="Times New Roman"/>
      <w:sz w:val="20"/>
      <w:szCs w:val="20"/>
      <w:lang w:val="de-DE" w:eastAsia="de-DE"/>
    </w:rPr>
  </w:style>
  <w:style w:type="paragraph" w:customStyle="1" w:styleId="ITStandard">
    <w:name w:val="IT Standard"/>
    <w:link w:val="ITStandardZchn"/>
    <w:qFormat/>
    <w:rsid w:val="00865E7C"/>
    <w:pPr>
      <w:spacing w:after="240" w:line="276" w:lineRule="auto"/>
      <w:jc w:val="both"/>
    </w:pPr>
    <w:rPr>
      <w:rFonts w:ascii="Arial" w:eastAsia="Times New Roman" w:hAnsi="Arial" w:cs="Times New Roman"/>
      <w:szCs w:val="20"/>
      <w:lang w:val="en-GB" w:eastAsia="de-DE"/>
    </w:rPr>
  </w:style>
  <w:style w:type="character" w:customStyle="1" w:styleId="ITStandardZchn">
    <w:name w:val="IT Standard Zchn"/>
    <w:basedOn w:val="DefaultParagraphFont"/>
    <w:link w:val="ITStandard"/>
    <w:rsid w:val="00865E7C"/>
    <w:rPr>
      <w:rFonts w:ascii="Arial" w:eastAsia="Times New Roman" w:hAnsi="Arial" w:cs="Times New Roman"/>
      <w:szCs w:val="20"/>
      <w:lang w:val="en-GB" w:eastAsia="de-DE"/>
    </w:rPr>
  </w:style>
  <w:style w:type="paragraph" w:customStyle="1" w:styleId="N1">
    <w:name w:val="N1"/>
    <w:next w:val="ITAbsatzohneNr"/>
    <w:link w:val="N1Car"/>
    <w:qFormat/>
    <w:rsid w:val="00865E7C"/>
    <w:pPr>
      <w:pageBreakBefore/>
      <w:widowControl w:val="0"/>
      <w:numPr>
        <w:numId w:val="1"/>
      </w:numPr>
      <w:spacing w:before="120" w:after="440" w:line="240" w:lineRule="auto"/>
      <w:outlineLvl w:val="0"/>
    </w:pPr>
    <w:rPr>
      <w:rFonts w:ascii="Arial" w:eastAsia="Times New Roman" w:hAnsi="Arial" w:cs="Times New Roman"/>
      <w:b/>
      <w:sz w:val="32"/>
      <w:szCs w:val="20"/>
      <w:lang w:val="en-GB" w:eastAsia="de-DE"/>
    </w:rPr>
  </w:style>
  <w:style w:type="character" w:customStyle="1" w:styleId="N1Car">
    <w:name w:val="N1 Car"/>
    <w:basedOn w:val="DefaultParagraphFont"/>
    <w:link w:val="N1"/>
    <w:rsid w:val="00865E7C"/>
    <w:rPr>
      <w:rFonts w:ascii="Arial" w:eastAsia="Times New Roman" w:hAnsi="Arial" w:cs="Times New Roman"/>
      <w:b/>
      <w:sz w:val="32"/>
      <w:szCs w:val="20"/>
      <w:lang w:val="en-GB" w:eastAsia="de-DE"/>
    </w:rPr>
  </w:style>
  <w:style w:type="paragraph" w:customStyle="1" w:styleId="N2">
    <w:name w:val="N2"/>
    <w:next w:val="ITAbsatzohneNr"/>
    <w:link w:val="N2Car"/>
    <w:autoRedefine/>
    <w:qFormat/>
    <w:rsid w:val="00865E7C"/>
    <w:pPr>
      <w:keepNext/>
      <w:numPr>
        <w:ilvl w:val="1"/>
        <w:numId w:val="1"/>
      </w:numPr>
      <w:spacing w:before="420" w:after="360" w:line="240" w:lineRule="auto"/>
      <w:outlineLvl w:val="1"/>
    </w:pPr>
    <w:rPr>
      <w:rFonts w:ascii="Arial" w:eastAsia="Times New Roman" w:hAnsi="Arial" w:cs="Times New Roman"/>
      <w:b/>
      <w:sz w:val="24"/>
      <w:szCs w:val="20"/>
      <w:lang w:val="en-GB" w:eastAsia="de-DE"/>
    </w:rPr>
  </w:style>
  <w:style w:type="character" w:customStyle="1" w:styleId="N2Car">
    <w:name w:val="N2 Car"/>
    <w:basedOn w:val="DefaultParagraphFont"/>
    <w:link w:val="N2"/>
    <w:rsid w:val="00865E7C"/>
    <w:rPr>
      <w:rFonts w:ascii="Arial" w:eastAsia="Times New Roman" w:hAnsi="Arial" w:cs="Times New Roman"/>
      <w:b/>
      <w:sz w:val="24"/>
      <w:szCs w:val="20"/>
      <w:lang w:val="en-GB" w:eastAsia="de-DE"/>
    </w:rPr>
  </w:style>
  <w:style w:type="paragraph" w:customStyle="1" w:styleId="N3">
    <w:name w:val="N3"/>
    <w:next w:val="ITAbsatzohneNr"/>
    <w:autoRedefine/>
    <w:qFormat/>
    <w:rsid w:val="00865E7C"/>
    <w:pPr>
      <w:numPr>
        <w:ilvl w:val="2"/>
        <w:numId w:val="1"/>
      </w:numPr>
      <w:tabs>
        <w:tab w:val="clear" w:pos="3545"/>
        <w:tab w:val="num" w:pos="851"/>
      </w:tabs>
      <w:spacing w:before="400" w:after="360" w:line="280" w:lineRule="exact"/>
      <w:ind w:left="851"/>
      <w:outlineLvl w:val="2"/>
    </w:pPr>
    <w:rPr>
      <w:rFonts w:ascii="Arial" w:eastAsia="Times New Roman" w:hAnsi="Arial" w:cs="Times New Roman"/>
      <w:b/>
      <w:szCs w:val="20"/>
      <w:lang w:val="en-GB" w:eastAsia="de-DE"/>
    </w:rPr>
  </w:style>
  <w:style w:type="paragraph" w:customStyle="1" w:styleId="N4">
    <w:name w:val="N4"/>
    <w:basedOn w:val="ListParagraph"/>
    <w:qFormat/>
    <w:rsid w:val="00865E7C"/>
    <w:pPr>
      <w:numPr>
        <w:ilvl w:val="3"/>
        <w:numId w:val="1"/>
      </w:numPr>
      <w:tabs>
        <w:tab w:val="clear" w:pos="864"/>
        <w:tab w:val="num" w:pos="360"/>
      </w:tabs>
      <w:spacing w:before="240" w:after="240" w:line="276" w:lineRule="auto"/>
      <w:ind w:left="862" w:hanging="862"/>
    </w:pPr>
    <w:rPr>
      <w:rFonts w:ascii="Arial" w:eastAsia="Times New Roman" w:hAnsi="Arial" w:cs="Times New Roman"/>
      <w:b/>
      <w:szCs w:val="20"/>
      <w:lang w:val="en-GB" w:eastAsia="de-DE"/>
    </w:rPr>
  </w:style>
  <w:style w:type="paragraph" w:customStyle="1" w:styleId="Footnotenumber">
    <w:name w:val="Footnote number"/>
    <w:aliases w:val="fr"/>
    <w:basedOn w:val="Normal"/>
    <w:link w:val="FootnoteReference"/>
    <w:uiPriority w:val="99"/>
    <w:rsid w:val="00865E7C"/>
    <w:pPr>
      <w:spacing w:line="240" w:lineRule="exact"/>
    </w:pPr>
    <w:rPr>
      <w:position w:val="6"/>
      <w:sz w:val="16"/>
      <w:vertAlign w:val="superscript"/>
    </w:rPr>
  </w:style>
  <w:style w:type="paragraph" w:styleId="ListParagraph">
    <w:name w:val="List Paragraph"/>
    <w:basedOn w:val="Normal"/>
    <w:uiPriority w:val="34"/>
    <w:qFormat/>
    <w:rsid w:val="00865E7C"/>
    <w:pPr>
      <w:ind w:left="720"/>
      <w:contextualSpacing/>
    </w:pPr>
  </w:style>
  <w:style w:type="character" w:styleId="Hyperlink">
    <w:name w:val="Hyperlink"/>
    <w:basedOn w:val="DefaultParagraphFont"/>
    <w:uiPriority w:val="99"/>
    <w:unhideWhenUsed/>
    <w:rsid w:val="002F11C5"/>
    <w:rPr>
      <w:color w:val="0563C1" w:themeColor="hyperlink"/>
      <w:u w:val="single"/>
    </w:rPr>
  </w:style>
  <w:style w:type="character" w:styleId="UnresolvedMention">
    <w:name w:val="Unresolved Mention"/>
    <w:basedOn w:val="DefaultParagraphFont"/>
    <w:uiPriority w:val="99"/>
    <w:semiHidden/>
    <w:unhideWhenUsed/>
    <w:rsid w:val="002F11C5"/>
    <w:rPr>
      <w:color w:val="605E5C"/>
      <w:shd w:val="clear" w:color="auto" w:fill="E1DFDD"/>
    </w:rPr>
  </w:style>
  <w:style w:type="character" w:styleId="FollowedHyperlink">
    <w:name w:val="FollowedHyperlink"/>
    <w:basedOn w:val="DefaultParagraphFont"/>
    <w:uiPriority w:val="99"/>
    <w:semiHidden/>
    <w:unhideWhenUsed/>
    <w:rsid w:val="002F11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stern.nyu.edu/~adamodar/New_Home_Page/datafile/wacc.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ages.stern.nyu.edu/~adamodar/New_Home_Page/datafile/wa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06FB-B4FB-4D37-BC00-29F1188D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4</cp:revision>
  <dcterms:created xsi:type="dcterms:W3CDTF">2021-09-30T15:38:00Z</dcterms:created>
  <dcterms:modified xsi:type="dcterms:W3CDTF">2021-09-30T17:31:00Z</dcterms:modified>
</cp:coreProperties>
</file>