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E3" w:rsidRDefault="00F60795">
      <w:pPr>
        <w:rPr>
          <w:lang w:val="en-US"/>
        </w:rPr>
      </w:pPr>
      <w:r w:rsidRPr="00F60795">
        <w:rPr>
          <w:lang w:val="en-US"/>
        </w:rPr>
        <w:t>I spend</w:t>
      </w:r>
      <w:r>
        <w:rPr>
          <w:lang w:val="en-US"/>
        </w:rPr>
        <w:t xml:space="preserve"> my first year of my doctorate mostly reading about different literature which I felt could be applicable to my future work.  As wel</w:t>
      </w:r>
      <w:r w:rsidR="007D2591">
        <w:rPr>
          <w:lang w:val="en-US"/>
        </w:rPr>
        <w:t xml:space="preserve">l as drafted a couple of models, here I summarize and link to the works. </w:t>
      </w:r>
    </w:p>
    <w:p w:rsidR="00F60795" w:rsidRDefault="00F60795">
      <w:pPr>
        <w:rPr>
          <w:lang w:val="en-US"/>
        </w:rPr>
      </w:pPr>
      <w:r>
        <w:rPr>
          <w:lang w:val="en-US"/>
        </w:rPr>
        <w:t xml:space="preserve">In game theory I mostly went through the textbook, some correlated equilibrium literature, and some heuristic literature. I hope to use this to come up with communication equilibrium in industrial organization. </w:t>
      </w:r>
    </w:p>
    <w:p w:rsidR="00C85A31" w:rsidRDefault="00C85A31">
      <w:pPr>
        <w:rPr>
          <w:lang w:val="en-US"/>
        </w:rPr>
      </w:pPr>
      <w:r>
        <w:rPr>
          <w:lang w:val="en-US"/>
        </w:rPr>
        <w:t>The bounded rationality literature I’ve read about is mostly with the goal of deriving demand func</w:t>
      </w:r>
      <w:r w:rsidR="007D2591">
        <w:rPr>
          <w:lang w:val="en-US"/>
        </w:rPr>
        <w:t xml:space="preserve">tions that behave irregularly without necessarily having irrational consumers. The most applicable literature here is that of inertia; where consumers have a barrier to switching. </w:t>
      </w:r>
      <w:r w:rsidR="00544C81">
        <w:rPr>
          <w:lang w:val="en-US"/>
        </w:rPr>
        <w:t xml:space="preserve">This literature had to be complemented with some probability and graph theory. </w:t>
      </w:r>
    </w:p>
    <w:p w:rsidR="00F60795" w:rsidRDefault="00544C81">
      <w:pPr>
        <w:rPr>
          <w:lang w:val="en-US"/>
        </w:rPr>
      </w:pPr>
      <w:r>
        <w:rPr>
          <w:lang w:val="en-US"/>
        </w:rPr>
        <w:t>The industrial organization literature is mostly around patents, bundling</w:t>
      </w:r>
      <w:r w:rsidR="00B8173B">
        <w:rPr>
          <w:lang w:val="en-US"/>
        </w:rPr>
        <w:t xml:space="preserve">, and innovation. </w:t>
      </w:r>
      <w:r w:rsidR="00040C0D">
        <w:rPr>
          <w:lang w:val="en-US"/>
        </w:rPr>
        <w:t xml:space="preserve">These will be the main workhorse models </w:t>
      </w:r>
      <w:r w:rsidR="002D6227">
        <w:rPr>
          <w:lang w:val="en-US"/>
        </w:rPr>
        <w:t xml:space="preserve">I </w:t>
      </w:r>
      <w:r w:rsidR="00EC05A3">
        <w:rPr>
          <w:lang w:val="en-US"/>
        </w:rPr>
        <w:t xml:space="preserve">will be using. </w:t>
      </w:r>
    </w:p>
    <w:p w:rsidR="00F60795" w:rsidRPr="00F60795" w:rsidRDefault="00F60795" w:rsidP="00F60795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Game theory</w:t>
      </w:r>
      <w:r w:rsidRPr="00F607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 </w:t>
      </w:r>
      <w:r w:rsidR="005A2E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Read</w:t>
      </w:r>
      <w:bookmarkStart w:id="0" w:name="_GoBack"/>
      <w:bookmarkEnd w:id="0"/>
    </w:p>
    <w:p w:rsidR="00F60795" w:rsidRDefault="00F60795" w:rsidP="00F60795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F607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Aumann, Robert J., and Sergiu Hart. "Long Cheap Talk." </w:t>
      </w:r>
      <w:r w:rsidRPr="00F607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Econometrica</w:t>
      </w:r>
      <w:r w:rsidRPr="00F607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 71.6 (2003): 1619-660. Web.</w:t>
      </w:r>
    </w:p>
    <w:p w:rsidR="00D83170" w:rsidRDefault="00D83170" w:rsidP="00D83170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D831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Banerjee, A. V. "A Simple Model of Herd Behavior." </w:t>
      </w:r>
      <w:r w:rsidRPr="00D831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The Quarterly Journal of Economics</w:t>
      </w:r>
      <w:r w:rsidRPr="00D831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 107.3 (1992): 797-817. Web.</w:t>
      </w:r>
    </w:p>
    <w:p w:rsidR="00D83170" w:rsidRPr="00F60795" w:rsidRDefault="00D83170" w:rsidP="00D83170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D831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Bikhchandani, Sushil, David Hirshleifer, and Ivo Welch. "A Theory of Fads, Fashion, Custom, and Cultural Change as Informational Cascades." </w:t>
      </w:r>
      <w:r w:rsidRPr="00D831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Journal of Political Economy</w:t>
      </w:r>
      <w:r w:rsidRPr="00D8317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100.5 (1992): 992-1026. Web.</w:t>
      </w:r>
    </w:p>
    <w:p w:rsidR="00F60795" w:rsidRPr="00F60795" w:rsidRDefault="00F60795" w:rsidP="00F60795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F607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Ellison, Glenn, and Drew Fudenberg. "Rules of Thumb for Social Learning." </w:t>
      </w:r>
      <w:r w:rsidRPr="00F607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Journal of Political Economy</w:t>
      </w:r>
      <w:r w:rsidRPr="00F607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 101.4 (1993): 612-43. Web.</w:t>
      </w:r>
    </w:p>
    <w:p w:rsidR="00F60795" w:rsidRDefault="00F60795" w:rsidP="00F60795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607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Osborne, Martin J., and Ariel Rubinstein. </w:t>
      </w:r>
      <w:r w:rsidRPr="00F607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A Course in Game Theory</w:t>
      </w:r>
      <w:r w:rsidRPr="00F607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. </w:t>
      </w:r>
      <w:r w:rsidRPr="00F6079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Cambridge, MA: MIT, 1994. Print.</w:t>
      </w:r>
    </w:p>
    <w:p w:rsidR="00D83170" w:rsidRPr="00D83170" w:rsidRDefault="00D83170" w:rsidP="00D83170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Bounded Rationality</w:t>
      </w:r>
      <w:r w:rsidRPr="00D831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 </w:t>
      </w:r>
      <w:r w:rsidR="005A2E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Read</w:t>
      </w:r>
    </w:p>
    <w:p w:rsidR="00D83170" w:rsidRPr="00D83170" w:rsidRDefault="00D83170" w:rsidP="00D83170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D831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Piccione, M., and R. Spiegler. "Price Competition Under Limited Comparability." </w:t>
      </w:r>
      <w:r w:rsidRPr="00D831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The Quarterly Journal of Economics</w:t>
      </w:r>
      <w:r w:rsidRPr="00D831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 127.1 (2012): 97-135. Web.</w:t>
      </w:r>
    </w:p>
    <w:p w:rsidR="00D83170" w:rsidRPr="00D83170" w:rsidRDefault="00D83170" w:rsidP="00D83170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D831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Spiegler, Ran. </w:t>
      </w:r>
      <w:r w:rsidRPr="00D831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Bounded Rationality and Industrial Organization</w:t>
      </w:r>
      <w:r w:rsidRPr="00D831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. New York: Oxford UP, 2011. Print.</w:t>
      </w:r>
    </w:p>
    <w:p w:rsidR="00D83170" w:rsidRDefault="00D83170" w:rsidP="00D83170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D831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Spiegler, Ran. "The Market for Quacks." </w:t>
      </w:r>
      <w:r w:rsidRPr="00D831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Review of Economic Studies Rev Econ Studies</w:t>
      </w:r>
      <w:r w:rsidRPr="00D831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 73.4 (2006): 1113-131. </w:t>
      </w:r>
      <w:r w:rsidRPr="00D8317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Web.</w:t>
      </w:r>
    </w:p>
    <w:p w:rsidR="00D83170" w:rsidRDefault="00D83170" w:rsidP="00D83170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lastRenderedPageBreak/>
        <w:t>Probability Books Read</w:t>
      </w:r>
    </w:p>
    <w:p w:rsidR="00D83170" w:rsidRDefault="00D83170" w:rsidP="00D83170">
      <w:pPr>
        <w:shd w:val="clear" w:color="auto" w:fill="FFFFFF"/>
        <w:spacing w:after="0" w:line="480" w:lineRule="atLeast"/>
        <w:ind w:hanging="600"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 w:rsidRPr="00D83170">
        <w:rPr>
          <w:rFonts w:ascii="Helvetica" w:hAnsi="Helvetica" w:cs="Helvetica"/>
          <w:color w:val="000000"/>
          <w:sz w:val="21"/>
          <w:szCs w:val="21"/>
          <w:shd w:val="clear" w:color="auto" w:fill="F1F4F5"/>
          <w:lang w:val="en-US"/>
        </w:rPr>
        <w:t>Papoulis, Athanasios.</w:t>
      </w:r>
      <w:r w:rsidRPr="00D83170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  <w:lang w:val="en-US"/>
        </w:rPr>
        <w:t> </w:t>
      </w:r>
      <w:r w:rsidRPr="00D83170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  <w:lang w:val="en-US"/>
        </w:rPr>
        <w:t>Probability, Random Variables, and Stochastic Processes</w:t>
      </w:r>
      <w:r w:rsidRPr="00D83170">
        <w:rPr>
          <w:rFonts w:ascii="Helvetica" w:hAnsi="Helvetica" w:cs="Helvetica"/>
          <w:color w:val="000000"/>
          <w:sz w:val="21"/>
          <w:szCs w:val="21"/>
          <w:shd w:val="clear" w:color="auto" w:fill="F1F4F5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New York: McGraw-Hill, 1965. Print.</w:t>
      </w:r>
    </w:p>
    <w:p w:rsidR="00D9765B" w:rsidRDefault="00D9765B" w:rsidP="00D83170">
      <w:pPr>
        <w:shd w:val="clear" w:color="auto" w:fill="FFFFFF"/>
        <w:spacing w:after="0" w:line="480" w:lineRule="atLeast"/>
        <w:ind w:hanging="600"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:rsidR="00D9765B" w:rsidRPr="00D9765B" w:rsidRDefault="00D9765B" w:rsidP="00D9765B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Industrial Organization and Patents</w:t>
      </w:r>
    </w:p>
    <w:p w:rsidR="00D9765B" w:rsidRPr="00D9765B" w:rsidRDefault="00D9765B" w:rsidP="00D9765B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Anton, James, and Dennis Yao. "Expropriation and Inventions: Appropriable Rents in the Absence of Property Rights." </w:t>
      </w:r>
      <w:r w:rsidRPr="00D976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The American Economic Review</w:t>
      </w: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 84.1 (1994): 190-209. Web.</w:t>
      </w:r>
    </w:p>
    <w:p w:rsidR="00D9765B" w:rsidRPr="00D9765B" w:rsidRDefault="00D9765B" w:rsidP="00D9765B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Bessen, James E., and Eric S. Maskin. "Sequential Innovation, Patents, And Imitation." </w:t>
      </w:r>
      <w:r w:rsidRPr="00D976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SSRN Electronic Journal SSRN Journal</w:t>
      </w: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 (n.d.): n. pag. Web.</w:t>
      </w:r>
    </w:p>
    <w:p w:rsidR="00D9765B" w:rsidRPr="00D9765B" w:rsidRDefault="00D9765B" w:rsidP="00D9765B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Brynjolfsson, Erik, Yannis Bakos, and Douglas Lichtman. "The Journal of Law and Economics."</w:t>
      </w:r>
      <w:r w:rsidRPr="00D976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Shared Information Goods: : Vol 42, No 1</w:t>
      </w: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. N.p., Aug. 1998. Web. 01 June 2016.</w:t>
      </w:r>
    </w:p>
    <w:p w:rsidR="00D9765B" w:rsidRDefault="00D9765B" w:rsidP="00D9765B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Hopenhayn, Hugo A., and Matthew F. Mitchell. "Innovation Variety and Patent Breadth." </w:t>
      </w:r>
      <w:r w:rsidRPr="00D976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The RAND Journal of Economics</w:t>
      </w: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 32.1 (2001): 152. Web.</w:t>
      </w:r>
    </w:p>
    <w:p w:rsidR="00D05059" w:rsidRPr="00D9765B" w:rsidRDefault="00D05059" w:rsidP="00D9765B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D05059">
        <w:rPr>
          <w:rFonts w:ascii="Helvetica" w:hAnsi="Helvetica" w:cs="Helvetica"/>
          <w:color w:val="000000"/>
          <w:sz w:val="21"/>
          <w:szCs w:val="21"/>
          <w:shd w:val="clear" w:color="auto" w:fill="D4EAFF"/>
          <w:lang w:val="en-US"/>
        </w:rPr>
        <w:t>Llanes, Gaston, and Ramiro De Elejalde. "Industry Equilibrium with Open Source and Proprietary Firms."</w:t>
      </w:r>
      <w:r w:rsidRPr="00D05059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D4EAFF"/>
          <w:lang w:val="en-US"/>
        </w:rPr>
        <w:t> </w:t>
      </w:r>
      <w:r w:rsidRPr="00D05059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D4EAFF"/>
          <w:lang w:val="en-US"/>
        </w:rPr>
        <w:t>SSRN Electronic Journal SSRN Journal</w:t>
      </w:r>
      <w:r w:rsidRPr="00D05059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D4EAFF"/>
          <w:lang w:val="en-US"/>
        </w:rPr>
        <w:t> </w:t>
      </w:r>
      <w:r w:rsidRPr="00D05059">
        <w:rPr>
          <w:rFonts w:ascii="Helvetica" w:hAnsi="Helvetica" w:cs="Helvetica"/>
          <w:color w:val="000000"/>
          <w:sz w:val="21"/>
          <w:szCs w:val="21"/>
          <w:shd w:val="clear" w:color="auto" w:fill="D4EAFF"/>
          <w:lang w:val="en-US"/>
        </w:rPr>
        <w:t>(n.d.): n. pag. Web.</w:t>
      </w:r>
    </w:p>
    <w:p w:rsidR="00D9765B" w:rsidRPr="00D9765B" w:rsidRDefault="00D9765B" w:rsidP="00D9765B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Mosel, Malte. "Big Patents, Small Secrets: How Firms Protect Inventions When R&amp;D Outcome Is Heterogeneous." </w:t>
      </w:r>
      <w:r w:rsidRPr="00D976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Big Patents, Small Secrets: How Firms Protect Inventions When R&amp;D Outcome Is Heterogeneous</w:t>
      </w: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. BGPE, Sept. 2011. Web. 01 June 2016.</w:t>
      </w:r>
    </w:p>
    <w:p w:rsidR="00D9765B" w:rsidRPr="00D9765B" w:rsidRDefault="00D9765B" w:rsidP="00D9765B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Varian, Hal R. "Buying, Sharing and Renting Information Goods." </w:t>
      </w:r>
      <w:r w:rsidRPr="00D976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The Journal of Industrial Economics</w:t>
      </w: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 48.4 (2003): 473-88. Web.</w:t>
      </w:r>
    </w:p>
    <w:p w:rsidR="00D9765B" w:rsidRPr="00D9765B" w:rsidRDefault="00D9765B" w:rsidP="00D9765B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Varian, Hal R. "Economics of Information Technology." </w:t>
      </w:r>
      <w:r w:rsidRPr="00D976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fr-FR"/>
        </w:rPr>
        <w:t>Economics of Information Technology</w:t>
      </w: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. </w:t>
      </w:r>
      <w:r w:rsidRPr="00D9765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University of California, Berkeley, 23 Mar. 2003. Web. 01 June 2016.</w:t>
      </w:r>
    </w:p>
    <w:p w:rsidR="00D9765B" w:rsidRPr="00D83170" w:rsidRDefault="00D9765B" w:rsidP="00D83170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D83170" w:rsidRPr="00F60795" w:rsidRDefault="00D83170" w:rsidP="00F60795">
      <w:pPr>
        <w:shd w:val="clear" w:color="auto" w:fill="FFFFFF"/>
        <w:spacing w:after="0" w:line="480" w:lineRule="atLeast"/>
        <w:ind w:hanging="60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F60795" w:rsidRPr="00F60795" w:rsidRDefault="00F60795">
      <w:pPr>
        <w:rPr>
          <w:lang w:val="en-US"/>
        </w:rPr>
      </w:pPr>
    </w:p>
    <w:sectPr w:rsidR="00F60795" w:rsidRPr="00F60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95"/>
    <w:rsid w:val="00026CB2"/>
    <w:rsid w:val="00040C0D"/>
    <w:rsid w:val="000F36E3"/>
    <w:rsid w:val="002D6227"/>
    <w:rsid w:val="00544C81"/>
    <w:rsid w:val="005A2E7D"/>
    <w:rsid w:val="007455EA"/>
    <w:rsid w:val="007D2591"/>
    <w:rsid w:val="00B8173B"/>
    <w:rsid w:val="00C50078"/>
    <w:rsid w:val="00C85A31"/>
    <w:rsid w:val="00D05059"/>
    <w:rsid w:val="00D83170"/>
    <w:rsid w:val="00D9765B"/>
    <w:rsid w:val="00E57D4B"/>
    <w:rsid w:val="00EC05A3"/>
    <w:rsid w:val="00F6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607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60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9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5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0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75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0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78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6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66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5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9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1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51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7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DavidEttinger02</dc:creator>
  <cp:lastModifiedBy>DavidEttinger02</cp:lastModifiedBy>
  <cp:revision>11</cp:revision>
  <dcterms:created xsi:type="dcterms:W3CDTF">2016-06-01T13:14:00Z</dcterms:created>
  <dcterms:modified xsi:type="dcterms:W3CDTF">2016-06-09T13:57:00Z</dcterms:modified>
</cp:coreProperties>
</file>