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8EE1E" w14:textId="31C0B1C2" w:rsidR="009F712B" w:rsidRPr="00807ABC" w:rsidRDefault="009F712B" w:rsidP="00C51A17">
      <w:pPr>
        <w:spacing w:before="240"/>
        <w:jc w:val="center"/>
        <w:rPr>
          <w:rFonts w:ascii="Calibri" w:hAnsi="Calibri" w:cs="Calibri"/>
          <w:b/>
        </w:rPr>
      </w:pPr>
      <w:r w:rsidRPr="00807ABC">
        <w:rPr>
          <w:rFonts w:ascii="Calibri" w:hAnsi="Calibri" w:cs="Calibri"/>
          <w:b/>
        </w:rPr>
        <w:t>IPCEI</w:t>
      </w:r>
      <w:r w:rsidR="006E637C">
        <w:rPr>
          <w:rFonts w:ascii="Calibri" w:hAnsi="Calibri" w:cs="Calibri"/>
          <w:b/>
        </w:rPr>
        <w:t xml:space="preserve"> </w:t>
      </w:r>
      <w:r w:rsidRPr="00807ABC">
        <w:rPr>
          <w:rFonts w:ascii="Calibri" w:hAnsi="Calibri" w:cs="Calibri"/>
          <w:b/>
        </w:rPr>
        <w:t>– GUIDANCE ON FUNDING GAP CALCULATION AND REPORTING</w:t>
      </w:r>
    </w:p>
    <w:p w14:paraId="02039BA4" w14:textId="7B3DC01A" w:rsidR="005105CE" w:rsidRPr="00807ABC" w:rsidRDefault="005105CE" w:rsidP="008138C3">
      <w:pPr>
        <w:pStyle w:val="ListParagraph"/>
        <w:numPr>
          <w:ilvl w:val="0"/>
          <w:numId w:val="5"/>
        </w:numPr>
        <w:spacing w:before="240"/>
        <w:jc w:val="both"/>
        <w:rPr>
          <w:rFonts w:ascii="Calibri" w:hAnsi="Calibri" w:cs="Calibri"/>
        </w:rPr>
      </w:pPr>
      <w:r w:rsidRPr="00807ABC">
        <w:rPr>
          <w:rFonts w:ascii="Calibri" w:hAnsi="Calibri" w:cs="Calibri"/>
        </w:rPr>
        <w:t xml:space="preserve">The Commission services </w:t>
      </w:r>
      <w:r w:rsidR="007578E7">
        <w:rPr>
          <w:rFonts w:ascii="Calibri" w:hAnsi="Calibri" w:cs="Calibri"/>
        </w:rPr>
        <w:t>require</w:t>
      </w:r>
      <w:r w:rsidRPr="00807ABC">
        <w:rPr>
          <w:rFonts w:ascii="Calibri" w:hAnsi="Calibri" w:cs="Calibri"/>
        </w:rPr>
        <w:t xml:space="preserve"> the use of the attached template if the number of IPCEI participant firms/projects is higher than 10;</w:t>
      </w:r>
    </w:p>
    <w:p w14:paraId="755C41BB" w14:textId="77777777" w:rsidR="00041AEC" w:rsidRPr="00807ABC" w:rsidRDefault="00041AEC" w:rsidP="008138C3">
      <w:pPr>
        <w:pStyle w:val="ListParagraph"/>
        <w:numPr>
          <w:ilvl w:val="0"/>
          <w:numId w:val="5"/>
        </w:numPr>
        <w:jc w:val="both"/>
        <w:rPr>
          <w:rFonts w:ascii="Calibri" w:hAnsi="Calibri" w:cs="Calibri"/>
        </w:rPr>
      </w:pPr>
      <w:r w:rsidRPr="00807ABC">
        <w:rPr>
          <w:rFonts w:ascii="Calibri" w:hAnsi="Calibri" w:cs="Calibri"/>
        </w:rPr>
        <w:t>The excel template requires companies to report the following information:</w:t>
      </w:r>
    </w:p>
    <w:p w14:paraId="2B61CFB5" w14:textId="77777777" w:rsidR="00041AEC" w:rsidRPr="00807ABC" w:rsidRDefault="00041AEC" w:rsidP="008138C3">
      <w:pPr>
        <w:pStyle w:val="ListParagraph"/>
        <w:numPr>
          <w:ilvl w:val="1"/>
          <w:numId w:val="5"/>
        </w:numPr>
        <w:jc w:val="both"/>
        <w:rPr>
          <w:rFonts w:ascii="Calibri" w:hAnsi="Calibri" w:cs="Calibri"/>
        </w:rPr>
      </w:pPr>
      <w:r w:rsidRPr="00807ABC">
        <w:rPr>
          <w:rFonts w:ascii="Calibri" w:hAnsi="Calibri" w:cs="Calibri"/>
        </w:rPr>
        <w:t>Cost, revenues and capital expenditures that the company incurs because of the project, from its start (typically R&amp;D phase in this case) to the last period the product is on the market (end of mass production phase). This is the standard approach to calculate the NPV of a project, based on company-level cash flows;</w:t>
      </w:r>
    </w:p>
    <w:p w14:paraId="0CD6493E" w14:textId="7823FCF2" w:rsidR="00041AEC" w:rsidRPr="00807ABC" w:rsidRDefault="00041AEC" w:rsidP="008138C3">
      <w:pPr>
        <w:pStyle w:val="ListParagraph"/>
        <w:numPr>
          <w:ilvl w:val="1"/>
          <w:numId w:val="5"/>
        </w:numPr>
        <w:jc w:val="both"/>
        <w:rPr>
          <w:rFonts w:ascii="Calibri" w:hAnsi="Calibri" w:cs="Calibri"/>
        </w:rPr>
      </w:pPr>
      <w:r w:rsidRPr="00807ABC">
        <w:rPr>
          <w:rFonts w:ascii="Calibri" w:hAnsi="Calibri" w:cs="Calibri"/>
        </w:rPr>
        <w:t>A breakdown of the financing sources of the project into loans, equity and grants or other aid instrument</w:t>
      </w:r>
      <w:r w:rsidR="00954C8B" w:rsidRPr="00807ABC">
        <w:rPr>
          <w:rFonts w:ascii="Calibri" w:hAnsi="Calibri" w:cs="Calibri"/>
        </w:rPr>
        <w:t>s</w:t>
      </w:r>
      <w:r w:rsidR="00451AF6" w:rsidRPr="00807ABC">
        <w:rPr>
          <w:rFonts w:ascii="Calibri" w:hAnsi="Calibri" w:cs="Calibri"/>
        </w:rPr>
        <w:t>. Companies must demonstrate that the private and public funding ensure the implementation and subsequent financial sustainability of the project. If companies have not yet secured financing at the time of prepari</w:t>
      </w:r>
      <w:r w:rsidR="008138C3" w:rsidRPr="00807ABC">
        <w:rPr>
          <w:rFonts w:ascii="Calibri" w:hAnsi="Calibri" w:cs="Calibri"/>
        </w:rPr>
        <w:t>ng the excel template, they can fill in lines 1</w:t>
      </w:r>
      <w:r w:rsidR="00DB4A42">
        <w:rPr>
          <w:rFonts w:ascii="Calibri" w:hAnsi="Calibri" w:cs="Calibri"/>
        </w:rPr>
        <w:t>29</w:t>
      </w:r>
      <w:r w:rsidR="008138C3" w:rsidRPr="00807ABC">
        <w:rPr>
          <w:rFonts w:ascii="Calibri" w:hAnsi="Calibri" w:cs="Calibri"/>
        </w:rPr>
        <w:t>-13</w:t>
      </w:r>
      <w:r w:rsidR="00DB4A42">
        <w:rPr>
          <w:rFonts w:ascii="Calibri" w:hAnsi="Calibri" w:cs="Calibri"/>
        </w:rPr>
        <w:t>7</w:t>
      </w:r>
      <w:r w:rsidR="008138C3" w:rsidRPr="00807ABC">
        <w:rPr>
          <w:rFonts w:ascii="Calibri" w:hAnsi="Calibri" w:cs="Calibri"/>
        </w:rPr>
        <w:t xml:space="preserve"> based on</w:t>
      </w:r>
      <w:r w:rsidR="00451AF6" w:rsidRPr="00807ABC">
        <w:rPr>
          <w:rFonts w:ascii="Calibri" w:hAnsi="Calibri" w:cs="Calibri"/>
        </w:rPr>
        <w:t xml:space="preserve"> their intended sources of financing for the specific project </w:t>
      </w:r>
      <w:r w:rsidR="008138C3" w:rsidRPr="00807ABC">
        <w:rPr>
          <w:rFonts w:ascii="Calibri" w:hAnsi="Calibri" w:cs="Calibri"/>
        </w:rPr>
        <w:t>or the standard company-level financing policy.</w:t>
      </w:r>
    </w:p>
    <w:p w14:paraId="5F769288" w14:textId="77777777" w:rsidR="005105CE" w:rsidRPr="00807ABC" w:rsidRDefault="005105CE" w:rsidP="005B4CCF">
      <w:pPr>
        <w:pStyle w:val="ListParagraph"/>
        <w:numPr>
          <w:ilvl w:val="0"/>
          <w:numId w:val="5"/>
        </w:numPr>
        <w:spacing w:before="240"/>
        <w:jc w:val="both"/>
        <w:rPr>
          <w:rFonts w:ascii="Calibri" w:hAnsi="Calibri" w:cs="Calibri"/>
        </w:rPr>
      </w:pPr>
      <w:r w:rsidRPr="00807ABC">
        <w:rPr>
          <w:rFonts w:ascii="Calibri" w:hAnsi="Calibri" w:cs="Calibri"/>
        </w:rPr>
        <w:t>Please note the following with regard to the attached template:</w:t>
      </w:r>
    </w:p>
    <w:p w14:paraId="15751C81" w14:textId="7AF88EE1" w:rsidR="00D864A6" w:rsidRPr="00807ABC" w:rsidRDefault="005B4CCF" w:rsidP="005B4CCF">
      <w:pPr>
        <w:pStyle w:val="ListParagraph"/>
        <w:numPr>
          <w:ilvl w:val="1"/>
          <w:numId w:val="5"/>
        </w:numPr>
        <w:spacing w:before="240"/>
        <w:jc w:val="both"/>
        <w:rPr>
          <w:rFonts w:ascii="Calibri" w:hAnsi="Calibri" w:cs="Calibri"/>
        </w:rPr>
      </w:pPr>
      <w:r w:rsidRPr="00807ABC">
        <w:rPr>
          <w:rFonts w:ascii="Calibri" w:hAnsi="Calibri" w:cs="Calibri"/>
        </w:rPr>
        <w:t>In</w:t>
      </w:r>
      <w:r w:rsidR="002D1A89" w:rsidRPr="00807ABC">
        <w:rPr>
          <w:rFonts w:ascii="Calibri" w:hAnsi="Calibri" w:cs="Calibri"/>
        </w:rPr>
        <w:t xml:space="preserve"> the</w:t>
      </w:r>
      <w:r w:rsidRPr="00807ABC">
        <w:rPr>
          <w:rFonts w:ascii="Calibri" w:hAnsi="Calibri" w:cs="Calibri"/>
        </w:rPr>
        <w:t xml:space="preserve"> </w:t>
      </w:r>
      <w:r w:rsidR="00F37107" w:rsidRPr="00807ABC">
        <w:rPr>
          <w:rFonts w:ascii="Calibri" w:hAnsi="Calibri" w:cs="Calibri"/>
        </w:rPr>
        <w:t>case</w:t>
      </w:r>
      <w:r w:rsidR="002D1A89" w:rsidRPr="00807ABC">
        <w:rPr>
          <w:rFonts w:ascii="Calibri" w:hAnsi="Calibri" w:cs="Calibri"/>
        </w:rPr>
        <w:t xml:space="preserve"> of</w:t>
      </w:r>
      <w:r w:rsidR="00F37107" w:rsidRPr="00807ABC">
        <w:rPr>
          <w:rFonts w:ascii="Calibri" w:hAnsi="Calibri" w:cs="Calibri"/>
        </w:rPr>
        <w:t xml:space="preserve"> a company’s project</w:t>
      </w:r>
      <w:r w:rsidR="004668FA" w:rsidRPr="00807ABC">
        <w:rPr>
          <w:rFonts w:ascii="Calibri" w:hAnsi="Calibri" w:cs="Calibri"/>
        </w:rPr>
        <w:t xml:space="preserve"> composed of multiple sub-</w:t>
      </w:r>
      <w:r w:rsidRPr="00807ABC">
        <w:rPr>
          <w:rFonts w:ascii="Calibri" w:hAnsi="Calibri" w:cs="Calibri"/>
        </w:rPr>
        <w:t xml:space="preserve">projects, companies </w:t>
      </w:r>
      <w:r w:rsidR="00B05B84" w:rsidRPr="00807ABC">
        <w:rPr>
          <w:rFonts w:ascii="Calibri" w:hAnsi="Calibri" w:cs="Calibri"/>
        </w:rPr>
        <w:t>must</w:t>
      </w:r>
      <w:r w:rsidRPr="00807ABC">
        <w:rPr>
          <w:rFonts w:ascii="Calibri" w:hAnsi="Calibri" w:cs="Calibri"/>
        </w:rPr>
        <w:t xml:space="preserve"> report a separate template </w:t>
      </w:r>
      <w:r w:rsidR="002D1A89" w:rsidRPr="00807ABC">
        <w:rPr>
          <w:rFonts w:ascii="Calibri" w:hAnsi="Calibri" w:cs="Calibri"/>
        </w:rPr>
        <w:t>for each</w:t>
      </w:r>
      <w:r w:rsidRPr="00807ABC">
        <w:rPr>
          <w:rFonts w:ascii="Calibri" w:hAnsi="Calibri" w:cs="Calibri"/>
        </w:rPr>
        <w:t xml:space="preserve"> </w:t>
      </w:r>
      <w:r w:rsidR="004668FA" w:rsidRPr="00807ABC">
        <w:rPr>
          <w:rFonts w:ascii="Calibri" w:hAnsi="Calibri" w:cs="Calibri"/>
        </w:rPr>
        <w:t>sub-</w:t>
      </w:r>
      <w:r w:rsidRPr="00807ABC">
        <w:rPr>
          <w:rFonts w:ascii="Calibri" w:hAnsi="Calibri" w:cs="Calibri"/>
        </w:rPr>
        <w:t xml:space="preserve">project </w:t>
      </w:r>
      <w:r w:rsidR="002D1A89" w:rsidRPr="00807ABC">
        <w:rPr>
          <w:rFonts w:ascii="Calibri" w:hAnsi="Calibri" w:cs="Calibri"/>
        </w:rPr>
        <w:t>in addition to the</w:t>
      </w:r>
      <w:r w:rsidRPr="00807ABC">
        <w:rPr>
          <w:rFonts w:ascii="Calibri" w:hAnsi="Calibri" w:cs="Calibri"/>
        </w:rPr>
        <w:t xml:space="preserve"> aggregate</w:t>
      </w:r>
      <w:r w:rsidR="00B05B84" w:rsidRPr="00807ABC">
        <w:rPr>
          <w:rFonts w:ascii="Calibri" w:hAnsi="Calibri" w:cs="Calibri"/>
        </w:rPr>
        <w:t xml:space="preserve"> one</w:t>
      </w:r>
      <w:r w:rsidR="00D864A6" w:rsidRPr="00807ABC">
        <w:rPr>
          <w:rFonts w:ascii="Calibri" w:hAnsi="Calibri" w:cs="Calibri"/>
        </w:rPr>
        <w:t xml:space="preserve">. By sub-project, the Commission services </w:t>
      </w:r>
      <w:r w:rsidR="008E088A" w:rsidRPr="00807ABC">
        <w:rPr>
          <w:rFonts w:ascii="Calibri" w:hAnsi="Calibri" w:cs="Calibri"/>
        </w:rPr>
        <w:t>mean</w:t>
      </w:r>
      <w:r w:rsidR="00D864A6" w:rsidRPr="00807ABC">
        <w:rPr>
          <w:rFonts w:ascii="Calibri" w:hAnsi="Calibri" w:cs="Calibri"/>
        </w:rPr>
        <w:t xml:space="preserve"> a group of </w:t>
      </w:r>
      <w:r w:rsidR="008E088A" w:rsidRPr="00807ABC">
        <w:rPr>
          <w:rFonts w:ascii="Calibri" w:hAnsi="Calibri" w:cs="Calibri"/>
        </w:rPr>
        <w:t xml:space="preserve">RDI and/or FID </w:t>
      </w:r>
      <w:r w:rsidR="00D864A6" w:rsidRPr="00807ABC">
        <w:rPr>
          <w:rFonts w:ascii="Calibri" w:hAnsi="Calibri" w:cs="Calibri"/>
        </w:rPr>
        <w:t xml:space="preserve">activities </w:t>
      </w:r>
      <w:r w:rsidR="00833D49" w:rsidRPr="00807ABC">
        <w:rPr>
          <w:rFonts w:ascii="Calibri" w:hAnsi="Calibri" w:cs="Calibri"/>
        </w:rPr>
        <w:t>lead</w:t>
      </w:r>
      <w:r w:rsidR="00DD200A" w:rsidRPr="00807ABC">
        <w:rPr>
          <w:rFonts w:ascii="Calibri" w:hAnsi="Calibri" w:cs="Calibri"/>
        </w:rPr>
        <w:t>ing</w:t>
      </w:r>
      <w:r w:rsidR="00D864A6" w:rsidRPr="00807ABC">
        <w:rPr>
          <w:rFonts w:ascii="Calibri" w:hAnsi="Calibri" w:cs="Calibri"/>
        </w:rPr>
        <w:t xml:space="preserve"> to the production </w:t>
      </w:r>
      <w:r w:rsidR="00833D49" w:rsidRPr="00807ABC">
        <w:rPr>
          <w:rFonts w:ascii="Calibri" w:hAnsi="Calibri" w:cs="Calibri"/>
        </w:rPr>
        <w:t xml:space="preserve">and commercialization </w:t>
      </w:r>
      <w:r w:rsidR="00D864A6" w:rsidRPr="00807ABC">
        <w:rPr>
          <w:rFonts w:ascii="Calibri" w:hAnsi="Calibri" w:cs="Calibri"/>
        </w:rPr>
        <w:t xml:space="preserve">of a certain </w:t>
      </w:r>
      <w:r w:rsidR="008E088A" w:rsidRPr="00807ABC">
        <w:rPr>
          <w:rFonts w:ascii="Calibri" w:hAnsi="Calibri" w:cs="Calibri"/>
        </w:rPr>
        <w:t xml:space="preserve">innovative </w:t>
      </w:r>
      <w:r w:rsidR="00D864A6" w:rsidRPr="00807ABC">
        <w:rPr>
          <w:rFonts w:ascii="Calibri" w:hAnsi="Calibri" w:cs="Calibri"/>
        </w:rPr>
        <w:t>product</w:t>
      </w:r>
      <w:r w:rsidR="008E088A" w:rsidRPr="00807ABC">
        <w:rPr>
          <w:rFonts w:ascii="Calibri" w:hAnsi="Calibri" w:cs="Calibri"/>
        </w:rPr>
        <w:t>/service or process</w:t>
      </w:r>
      <w:r w:rsidR="00D864A6" w:rsidRPr="00807ABC">
        <w:rPr>
          <w:rFonts w:ascii="Calibri" w:hAnsi="Calibri" w:cs="Calibri"/>
        </w:rPr>
        <w:t>. For each sub-project, the excel template must report the costs of these activities (e.g. capital investments, RD</w:t>
      </w:r>
      <w:r w:rsidR="00833D49" w:rsidRPr="00807ABC">
        <w:rPr>
          <w:rFonts w:ascii="Calibri" w:hAnsi="Calibri" w:cs="Calibri"/>
        </w:rPr>
        <w:t>I</w:t>
      </w:r>
      <w:r w:rsidR="00D864A6" w:rsidRPr="00807ABC">
        <w:rPr>
          <w:rFonts w:ascii="Calibri" w:hAnsi="Calibri" w:cs="Calibri"/>
        </w:rPr>
        <w:t xml:space="preserve"> expenditures, operating costs) as well as all the revenues from the commercialization of the final </w:t>
      </w:r>
      <w:r w:rsidR="008E088A" w:rsidRPr="00807ABC">
        <w:rPr>
          <w:rFonts w:ascii="Calibri" w:hAnsi="Calibri" w:cs="Calibri"/>
        </w:rPr>
        <w:t xml:space="preserve">innovative </w:t>
      </w:r>
      <w:r w:rsidR="00D864A6" w:rsidRPr="00807ABC">
        <w:rPr>
          <w:rFonts w:ascii="Calibri" w:hAnsi="Calibri" w:cs="Calibri"/>
        </w:rPr>
        <w:t>product</w:t>
      </w:r>
      <w:r w:rsidR="008E088A" w:rsidRPr="00807ABC">
        <w:rPr>
          <w:rFonts w:ascii="Calibri" w:hAnsi="Calibri" w:cs="Calibri"/>
        </w:rPr>
        <w:t>/service and or process</w:t>
      </w:r>
      <w:r w:rsidR="00D864A6" w:rsidRPr="00807ABC">
        <w:rPr>
          <w:rFonts w:ascii="Calibri" w:hAnsi="Calibri" w:cs="Calibri"/>
        </w:rPr>
        <w:t xml:space="preserve"> (see 4.b.v and 4.b.vi for the duration of the planning period). To facilitate the understanding of a company’s project, the Commission services expect companies to fill in an additional template reported in the Annex to this document. This additional template aims to </w:t>
      </w:r>
      <w:r w:rsidR="008E088A" w:rsidRPr="00807ABC">
        <w:rPr>
          <w:rFonts w:ascii="Calibri" w:hAnsi="Calibri" w:cs="Calibri"/>
        </w:rPr>
        <w:t>identify</w:t>
      </w:r>
      <w:r w:rsidR="00D864A6" w:rsidRPr="00807ABC">
        <w:rPr>
          <w:rFonts w:ascii="Calibri" w:hAnsi="Calibri" w:cs="Calibri"/>
        </w:rPr>
        <w:t>:</w:t>
      </w:r>
    </w:p>
    <w:p w14:paraId="523D5A02" w14:textId="47CEE885" w:rsidR="005B4CCF" w:rsidRPr="00807ABC" w:rsidRDefault="00D864A6" w:rsidP="00B74BFB">
      <w:pPr>
        <w:pStyle w:val="ListParagraph"/>
        <w:numPr>
          <w:ilvl w:val="2"/>
          <w:numId w:val="5"/>
        </w:numPr>
        <w:spacing w:before="240"/>
        <w:jc w:val="both"/>
        <w:rPr>
          <w:rFonts w:ascii="Calibri" w:hAnsi="Calibri" w:cs="Calibri"/>
        </w:rPr>
      </w:pPr>
      <w:r w:rsidRPr="00807ABC">
        <w:rPr>
          <w:rFonts w:ascii="Calibri" w:hAnsi="Calibri" w:cs="Calibri"/>
        </w:rPr>
        <w:t>Which FID work package follows from which RD</w:t>
      </w:r>
      <w:r w:rsidR="008E088A" w:rsidRPr="00807ABC">
        <w:rPr>
          <w:rFonts w:ascii="Calibri" w:hAnsi="Calibri" w:cs="Calibri"/>
        </w:rPr>
        <w:t>I</w:t>
      </w:r>
      <w:r w:rsidRPr="00807ABC">
        <w:rPr>
          <w:rFonts w:ascii="Calibri" w:hAnsi="Calibri" w:cs="Calibri"/>
        </w:rPr>
        <w:t xml:space="preserve"> work package</w:t>
      </w:r>
      <w:r w:rsidR="005B4CCF" w:rsidRPr="00807ABC">
        <w:rPr>
          <w:rFonts w:ascii="Calibri" w:hAnsi="Calibri" w:cs="Calibri"/>
        </w:rPr>
        <w:t>;</w:t>
      </w:r>
    </w:p>
    <w:p w14:paraId="76428D3E" w14:textId="6F4B906D" w:rsidR="00D864A6" w:rsidRPr="00807ABC" w:rsidRDefault="00D864A6" w:rsidP="00B74BFB">
      <w:pPr>
        <w:pStyle w:val="ListParagraph"/>
        <w:numPr>
          <w:ilvl w:val="2"/>
          <w:numId w:val="5"/>
        </w:numPr>
        <w:spacing w:before="240"/>
        <w:jc w:val="both"/>
        <w:rPr>
          <w:rFonts w:ascii="Calibri" w:hAnsi="Calibri" w:cs="Calibri"/>
        </w:rPr>
      </w:pPr>
      <w:r w:rsidRPr="00807ABC">
        <w:rPr>
          <w:rFonts w:ascii="Calibri" w:hAnsi="Calibri" w:cs="Calibri"/>
        </w:rPr>
        <w:t>Which final product</w:t>
      </w:r>
      <w:r w:rsidR="008E088A" w:rsidRPr="00807ABC">
        <w:rPr>
          <w:rFonts w:ascii="Calibri" w:hAnsi="Calibri" w:cs="Calibri"/>
        </w:rPr>
        <w:t xml:space="preserve"> or service</w:t>
      </w:r>
      <w:r w:rsidRPr="00807ABC">
        <w:rPr>
          <w:rFonts w:ascii="Calibri" w:hAnsi="Calibri" w:cs="Calibri"/>
        </w:rPr>
        <w:t xml:space="preserve"> follows from which FID work package;</w:t>
      </w:r>
    </w:p>
    <w:p w14:paraId="1A27EDE4" w14:textId="5CC4C0E4" w:rsidR="00D864A6" w:rsidRPr="00807ABC" w:rsidRDefault="00D864A6" w:rsidP="00B74BFB">
      <w:pPr>
        <w:pStyle w:val="ListParagraph"/>
        <w:numPr>
          <w:ilvl w:val="2"/>
          <w:numId w:val="5"/>
        </w:numPr>
        <w:spacing w:before="240"/>
        <w:jc w:val="both"/>
        <w:rPr>
          <w:rFonts w:ascii="Calibri" w:hAnsi="Calibri" w:cs="Calibri"/>
        </w:rPr>
      </w:pPr>
      <w:r w:rsidRPr="00807ABC">
        <w:rPr>
          <w:rFonts w:ascii="Calibri" w:hAnsi="Calibri" w:cs="Calibri"/>
        </w:rPr>
        <w:t>The duration of each work package as well as the commercialization phase of the final product</w:t>
      </w:r>
      <w:r w:rsidR="008E088A" w:rsidRPr="00807ABC">
        <w:rPr>
          <w:rFonts w:ascii="Calibri" w:hAnsi="Calibri" w:cs="Calibri"/>
        </w:rPr>
        <w:t xml:space="preserve"> or service or process</w:t>
      </w:r>
      <w:r w:rsidRPr="00807ABC">
        <w:rPr>
          <w:rFonts w:ascii="Calibri" w:hAnsi="Calibri" w:cs="Calibri"/>
        </w:rPr>
        <w:t>;</w:t>
      </w:r>
    </w:p>
    <w:p w14:paraId="16B2D8A5" w14:textId="67A4BA89" w:rsidR="005105CE" w:rsidRPr="00807ABC" w:rsidRDefault="005105CE" w:rsidP="007133B1">
      <w:pPr>
        <w:pStyle w:val="ListParagraph"/>
        <w:numPr>
          <w:ilvl w:val="1"/>
          <w:numId w:val="5"/>
        </w:numPr>
        <w:spacing w:before="240"/>
        <w:jc w:val="both"/>
        <w:rPr>
          <w:rFonts w:ascii="Calibri" w:hAnsi="Calibri" w:cs="Calibri"/>
        </w:rPr>
      </w:pPr>
      <w:r w:rsidRPr="00807ABC">
        <w:rPr>
          <w:rFonts w:ascii="Calibri" w:hAnsi="Calibri" w:cs="Calibri"/>
        </w:rPr>
        <w:t xml:space="preserve">The length of the planning period reported in the template, as well </w:t>
      </w:r>
      <w:r w:rsidR="002D1A89" w:rsidRPr="00807ABC">
        <w:rPr>
          <w:rFonts w:ascii="Calibri" w:hAnsi="Calibri" w:cs="Calibri"/>
        </w:rPr>
        <w:t xml:space="preserve">the </w:t>
      </w:r>
      <w:r w:rsidRPr="00807ABC">
        <w:rPr>
          <w:rFonts w:ascii="Calibri" w:hAnsi="Calibri" w:cs="Calibri"/>
        </w:rPr>
        <w:t>duration of the R&amp;D, FID and mass production phases, are just examples and not suggestions</w:t>
      </w:r>
      <w:r w:rsidR="00A22486" w:rsidRPr="00807ABC">
        <w:rPr>
          <w:rFonts w:ascii="Calibri" w:hAnsi="Calibri" w:cs="Calibri"/>
        </w:rPr>
        <w:t xml:space="preserve">. </w:t>
      </w:r>
      <w:r w:rsidR="002D1A89" w:rsidRPr="00807ABC">
        <w:rPr>
          <w:rFonts w:ascii="Calibri" w:hAnsi="Calibri" w:cs="Calibri"/>
        </w:rPr>
        <w:t xml:space="preserve">Companies </w:t>
      </w:r>
      <w:r w:rsidR="002D1A89" w:rsidRPr="00807ABC">
        <w:rPr>
          <w:rFonts w:ascii="Calibri" w:hAnsi="Calibri" w:cs="Calibri"/>
          <w:u w:val="single"/>
        </w:rPr>
        <w:t>must adjust these parameters</w:t>
      </w:r>
      <w:r w:rsidR="002D1A89" w:rsidRPr="00807ABC">
        <w:rPr>
          <w:rFonts w:ascii="Calibri" w:hAnsi="Calibri" w:cs="Calibri"/>
        </w:rPr>
        <w:t xml:space="preserve"> depending on the characteristics of their </w:t>
      </w:r>
      <w:r w:rsidR="00351489" w:rsidRPr="00807ABC">
        <w:rPr>
          <w:rFonts w:ascii="Calibri" w:hAnsi="Calibri" w:cs="Calibri"/>
        </w:rPr>
        <w:t xml:space="preserve">own </w:t>
      </w:r>
      <w:r w:rsidR="002D1A89" w:rsidRPr="00807ABC">
        <w:rPr>
          <w:rFonts w:ascii="Calibri" w:hAnsi="Calibri" w:cs="Calibri"/>
        </w:rPr>
        <w:t xml:space="preserve">projects, which have </w:t>
      </w:r>
      <w:r w:rsidR="00041AEC" w:rsidRPr="00807ABC">
        <w:rPr>
          <w:rFonts w:ascii="Calibri" w:hAnsi="Calibri" w:cs="Calibri"/>
        </w:rPr>
        <w:t>to be duly justified (see also 4</w:t>
      </w:r>
      <w:r w:rsidR="002D1A89" w:rsidRPr="00807ABC">
        <w:rPr>
          <w:rFonts w:ascii="Calibri" w:hAnsi="Calibri" w:cs="Calibri"/>
        </w:rPr>
        <w:t>.b.</w:t>
      </w:r>
      <w:r w:rsidR="003A743B" w:rsidRPr="00807ABC">
        <w:rPr>
          <w:rFonts w:ascii="Calibri" w:hAnsi="Calibri" w:cs="Calibri"/>
        </w:rPr>
        <w:t>v</w:t>
      </w:r>
      <w:r w:rsidR="004668FA" w:rsidRPr="00807ABC">
        <w:rPr>
          <w:rFonts w:ascii="Calibri" w:hAnsi="Calibri" w:cs="Calibri"/>
        </w:rPr>
        <w:t xml:space="preserve"> and </w:t>
      </w:r>
      <w:r w:rsidR="00041AEC" w:rsidRPr="00807ABC">
        <w:rPr>
          <w:rFonts w:ascii="Calibri" w:hAnsi="Calibri" w:cs="Calibri"/>
        </w:rPr>
        <w:t>4</w:t>
      </w:r>
      <w:r w:rsidR="004668FA" w:rsidRPr="00807ABC">
        <w:rPr>
          <w:rFonts w:ascii="Calibri" w:hAnsi="Calibri" w:cs="Calibri"/>
        </w:rPr>
        <w:t>.b.v</w:t>
      </w:r>
      <w:r w:rsidR="003A743B" w:rsidRPr="00807ABC">
        <w:rPr>
          <w:rFonts w:ascii="Calibri" w:hAnsi="Calibri" w:cs="Calibri"/>
        </w:rPr>
        <w:t>i</w:t>
      </w:r>
      <w:r w:rsidR="002D1A89" w:rsidRPr="00807ABC">
        <w:rPr>
          <w:rFonts w:ascii="Calibri" w:hAnsi="Calibri" w:cs="Calibri"/>
        </w:rPr>
        <w:t>)</w:t>
      </w:r>
      <w:r w:rsidR="005B4CCF" w:rsidRPr="00807ABC">
        <w:rPr>
          <w:rFonts w:ascii="Calibri" w:hAnsi="Calibri" w:cs="Calibri"/>
        </w:rPr>
        <w:t>;</w:t>
      </w:r>
    </w:p>
    <w:p w14:paraId="662DE437" w14:textId="2ABEDB4C" w:rsidR="005105CE" w:rsidRPr="00807ABC" w:rsidRDefault="005105CE" w:rsidP="005B4CCF">
      <w:pPr>
        <w:pStyle w:val="ListParagraph"/>
        <w:numPr>
          <w:ilvl w:val="1"/>
          <w:numId w:val="5"/>
        </w:numPr>
        <w:spacing w:before="240"/>
        <w:jc w:val="both"/>
        <w:rPr>
          <w:rFonts w:ascii="Calibri" w:hAnsi="Calibri" w:cs="Calibri"/>
        </w:rPr>
      </w:pPr>
      <w:r w:rsidRPr="00807ABC">
        <w:rPr>
          <w:rFonts w:ascii="Calibri" w:hAnsi="Calibri" w:cs="Calibri"/>
        </w:rPr>
        <w:t xml:space="preserve">The </w:t>
      </w:r>
      <w:r w:rsidR="00946D4E" w:rsidRPr="00807ABC">
        <w:rPr>
          <w:rFonts w:ascii="Calibri" w:hAnsi="Calibri" w:cs="Calibri"/>
        </w:rPr>
        <w:t xml:space="preserve">excel </w:t>
      </w:r>
      <w:r w:rsidRPr="00807ABC">
        <w:rPr>
          <w:rFonts w:ascii="Calibri" w:hAnsi="Calibri" w:cs="Calibri"/>
        </w:rPr>
        <w:t xml:space="preserve">template </w:t>
      </w:r>
      <w:r w:rsidR="00041AEC" w:rsidRPr="00807ABC">
        <w:rPr>
          <w:rFonts w:ascii="Calibri" w:hAnsi="Calibri" w:cs="Calibri"/>
        </w:rPr>
        <w:t>contains</w:t>
      </w:r>
      <w:r w:rsidRPr="00807ABC">
        <w:rPr>
          <w:rFonts w:ascii="Calibri" w:hAnsi="Calibri" w:cs="Calibri"/>
        </w:rPr>
        <w:t xml:space="preserve"> input data, input formula and built-in formula cells. </w:t>
      </w:r>
      <w:r w:rsidR="002D1A89" w:rsidRPr="00807ABC">
        <w:rPr>
          <w:rFonts w:ascii="Calibri" w:hAnsi="Calibri" w:cs="Calibri"/>
        </w:rPr>
        <w:t>Company must insert their own data in the</w:t>
      </w:r>
      <w:r w:rsidRPr="00807ABC">
        <w:rPr>
          <w:rFonts w:ascii="Calibri" w:hAnsi="Calibri" w:cs="Calibri"/>
        </w:rPr>
        <w:t xml:space="preserve"> first type of cel</w:t>
      </w:r>
      <w:r w:rsidR="002D1A89" w:rsidRPr="00807ABC">
        <w:rPr>
          <w:rFonts w:ascii="Calibri" w:hAnsi="Calibri" w:cs="Calibri"/>
        </w:rPr>
        <w:t xml:space="preserve">l, their own formulas in the second type, </w:t>
      </w:r>
      <w:r w:rsidRPr="00807ABC">
        <w:rPr>
          <w:rFonts w:ascii="Calibri" w:hAnsi="Calibri" w:cs="Calibri"/>
        </w:rPr>
        <w:t xml:space="preserve">while the third type will automatically populate once the necessary data </w:t>
      </w:r>
      <w:r w:rsidR="002D1A89" w:rsidRPr="00807ABC">
        <w:rPr>
          <w:rFonts w:ascii="Calibri" w:hAnsi="Calibri" w:cs="Calibri"/>
        </w:rPr>
        <w:t>become available</w:t>
      </w:r>
      <w:r w:rsidRPr="00807ABC">
        <w:rPr>
          <w:rFonts w:ascii="Calibri" w:hAnsi="Calibri" w:cs="Calibri"/>
        </w:rPr>
        <w:t>. Please do not alter this cell classification.</w:t>
      </w:r>
    </w:p>
    <w:p w14:paraId="09990D9E" w14:textId="77777777" w:rsidR="005105CE" w:rsidRPr="00807ABC" w:rsidRDefault="0056760E" w:rsidP="005B4CCF">
      <w:pPr>
        <w:pStyle w:val="ListParagraph"/>
        <w:numPr>
          <w:ilvl w:val="0"/>
          <w:numId w:val="5"/>
        </w:numPr>
        <w:spacing w:before="240"/>
        <w:jc w:val="both"/>
        <w:rPr>
          <w:rFonts w:ascii="Calibri" w:hAnsi="Calibri" w:cs="Calibri"/>
        </w:rPr>
      </w:pPr>
      <w:r w:rsidRPr="00807ABC">
        <w:rPr>
          <w:rFonts w:ascii="Calibri" w:hAnsi="Calibri" w:cs="Calibri"/>
        </w:rPr>
        <w:t xml:space="preserve">In addition to the information to be </w:t>
      </w:r>
      <w:r w:rsidR="00A22486" w:rsidRPr="00807ABC">
        <w:rPr>
          <w:rFonts w:ascii="Calibri" w:hAnsi="Calibri" w:cs="Calibri"/>
        </w:rPr>
        <w:t>reported in the project portfolio, p</w:t>
      </w:r>
      <w:r w:rsidR="005105CE" w:rsidRPr="00807ABC">
        <w:rPr>
          <w:rFonts w:ascii="Calibri" w:hAnsi="Calibri" w:cs="Calibri"/>
        </w:rPr>
        <w:t>lease accompany the excel template with</w:t>
      </w:r>
      <w:r w:rsidR="00F70286" w:rsidRPr="00807ABC">
        <w:rPr>
          <w:rFonts w:ascii="Calibri" w:hAnsi="Calibri" w:cs="Calibri"/>
        </w:rPr>
        <w:t>:</w:t>
      </w:r>
    </w:p>
    <w:p w14:paraId="4FAC0EA2" w14:textId="4DEAD2A9" w:rsidR="005105CE" w:rsidRPr="00807ABC" w:rsidRDefault="005105CE" w:rsidP="005B4CCF">
      <w:pPr>
        <w:pStyle w:val="ListParagraph"/>
        <w:numPr>
          <w:ilvl w:val="1"/>
          <w:numId w:val="5"/>
        </w:numPr>
        <w:spacing w:before="240"/>
        <w:jc w:val="both"/>
        <w:rPr>
          <w:rFonts w:ascii="Calibri" w:hAnsi="Calibri" w:cs="Calibri"/>
        </w:rPr>
      </w:pPr>
      <w:r w:rsidRPr="00807ABC">
        <w:rPr>
          <w:rFonts w:ascii="Calibri" w:hAnsi="Calibri" w:cs="Calibri"/>
        </w:rPr>
        <w:t>Authentic and genuine internal company documents</w:t>
      </w:r>
      <w:r w:rsidR="0056760E" w:rsidRPr="00807ABC">
        <w:rPr>
          <w:rFonts w:ascii="Calibri" w:hAnsi="Calibri" w:cs="Calibri"/>
        </w:rPr>
        <w:t xml:space="preserve"> (should these documents contain sensitive information, please rest assured that they will be treated</w:t>
      </w:r>
      <w:r w:rsidR="00351489" w:rsidRPr="00807ABC">
        <w:rPr>
          <w:rFonts w:ascii="Calibri" w:hAnsi="Calibri" w:cs="Calibri"/>
        </w:rPr>
        <w:t xml:space="preserve"> strictly</w:t>
      </w:r>
      <w:r w:rsidR="0056760E" w:rsidRPr="00807ABC">
        <w:rPr>
          <w:rFonts w:ascii="Calibri" w:hAnsi="Calibri" w:cs="Calibri"/>
        </w:rPr>
        <w:t xml:space="preserve"> confidentially)</w:t>
      </w:r>
      <w:r w:rsidRPr="00807ABC">
        <w:rPr>
          <w:rFonts w:ascii="Calibri" w:hAnsi="Calibri" w:cs="Calibri"/>
        </w:rPr>
        <w:t xml:space="preserve"> to justify:</w:t>
      </w:r>
    </w:p>
    <w:p w14:paraId="16BA4B73" w14:textId="77777777" w:rsidR="005105CE" w:rsidRPr="00807ABC" w:rsidRDefault="005B4CCF" w:rsidP="005B4CCF">
      <w:pPr>
        <w:pStyle w:val="ListParagraph"/>
        <w:numPr>
          <w:ilvl w:val="2"/>
          <w:numId w:val="5"/>
        </w:numPr>
        <w:spacing w:before="240"/>
        <w:jc w:val="both"/>
        <w:rPr>
          <w:rFonts w:ascii="Calibri" w:hAnsi="Calibri" w:cs="Calibri"/>
        </w:rPr>
      </w:pPr>
      <w:r w:rsidRPr="00807ABC">
        <w:rPr>
          <w:rFonts w:ascii="Calibri" w:hAnsi="Calibri" w:cs="Calibri"/>
        </w:rPr>
        <w:lastRenderedPageBreak/>
        <w:t>Costs, revenues and capex (e.g. internal business plan, minutes of board meetings, presentations to the board, etc.)</w:t>
      </w:r>
    </w:p>
    <w:p w14:paraId="03ED3227" w14:textId="77777777" w:rsidR="005B4CCF" w:rsidRPr="00807ABC" w:rsidRDefault="002D1A89" w:rsidP="005B4CCF">
      <w:pPr>
        <w:pStyle w:val="ListParagraph"/>
        <w:numPr>
          <w:ilvl w:val="2"/>
          <w:numId w:val="5"/>
        </w:numPr>
        <w:spacing w:before="240"/>
        <w:jc w:val="both"/>
        <w:rPr>
          <w:rFonts w:ascii="Calibri" w:hAnsi="Calibri" w:cs="Calibri"/>
        </w:rPr>
      </w:pPr>
      <w:r w:rsidRPr="00807ABC">
        <w:rPr>
          <w:rFonts w:ascii="Calibri" w:hAnsi="Calibri" w:cs="Calibri"/>
        </w:rPr>
        <w:t>Q</w:t>
      </w:r>
      <w:r w:rsidR="005B4CCF" w:rsidRPr="00807ABC">
        <w:rPr>
          <w:rFonts w:ascii="Calibri" w:hAnsi="Calibri" w:cs="Calibri"/>
        </w:rPr>
        <w:t>uantities</w:t>
      </w:r>
      <w:r w:rsidRPr="00807ABC">
        <w:rPr>
          <w:rFonts w:ascii="Calibri" w:hAnsi="Calibri" w:cs="Calibri"/>
        </w:rPr>
        <w:t xml:space="preserve"> of products sold</w:t>
      </w:r>
      <w:r w:rsidR="005B4CCF" w:rsidRPr="00807ABC">
        <w:rPr>
          <w:rFonts w:ascii="Calibri" w:hAnsi="Calibri" w:cs="Calibri"/>
        </w:rPr>
        <w:t xml:space="preserve"> and </w:t>
      </w:r>
      <w:r w:rsidRPr="00807ABC">
        <w:rPr>
          <w:rFonts w:ascii="Calibri" w:hAnsi="Calibri" w:cs="Calibri"/>
        </w:rPr>
        <w:t xml:space="preserve">sales </w:t>
      </w:r>
      <w:r w:rsidR="005B4CCF" w:rsidRPr="00807ABC">
        <w:rPr>
          <w:rFonts w:ascii="Calibri" w:hAnsi="Calibri" w:cs="Calibri"/>
        </w:rPr>
        <w:t>prices (e.g. market studies and analysis, own market intelligence, company surveys to customers, etc.)</w:t>
      </w:r>
    </w:p>
    <w:p w14:paraId="3DA9BE90" w14:textId="77777777" w:rsidR="005105CE" w:rsidRPr="00807ABC" w:rsidRDefault="005B4CCF" w:rsidP="005B4CCF">
      <w:pPr>
        <w:pStyle w:val="ListParagraph"/>
        <w:numPr>
          <w:ilvl w:val="1"/>
          <w:numId w:val="5"/>
        </w:numPr>
        <w:spacing w:before="240"/>
        <w:jc w:val="both"/>
        <w:rPr>
          <w:rFonts w:ascii="Calibri" w:hAnsi="Calibri" w:cs="Calibri"/>
        </w:rPr>
      </w:pPr>
      <w:r w:rsidRPr="00807ABC">
        <w:rPr>
          <w:rFonts w:ascii="Calibri" w:hAnsi="Calibri" w:cs="Calibri"/>
        </w:rPr>
        <w:t>A text</w:t>
      </w:r>
      <w:r w:rsidR="005105CE" w:rsidRPr="00807ABC">
        <w:rPr>
          <w:rFonts w:ascii="Calibri" w:hAnsi="Calibri" w:cs="Calibri"/>
        </w:rPr>
        <w:t xml:space="preserve"> (e.g. an additional annex to the project portfolio)</w:t>
      </w:r>
      <w:r w:rsidRPr="00807ABC">
        <w:rPr>
          <w:rFonts w:ascii="Calibri" w:hAnsi="Calibri" w:cs="Calibri"/>
        </w:rPr>
        <w:t>, as well as additional documents if necessary,</w:t>
      </w:r>
      <w:r w:rsidR="005105CE" w:rsidRPr="00807ABC">
        <w:rPr>
          <w:rFonts w:ascii="Calibri" w:hAnsi="Calibri" w:cs="Calibri"/>
        </w:rPr>
        <w:t xml:space="preserve"> providing explanations on the following</w:t>
      </w:r>
    </w:p>
    <w:p w14:paraId="34005D39" w14:textId="77777777" w:rsidR="005B4CCF" w:rsidRPr="00807ABC" w:rsidRDefault="005B4CCF" w:rsidP="00B74BFB">
      <w:pPr>
        <w:pStyle w:val="ListParagraph"/>
        <w:numPr>
          <w:ilvl w:val="2"/>
          <w:numId w:val="9"/>
        </w:numPr>
        <w:spacing w:before="240"/>
        <w:jc w:val="both"/>
        <w:rPr>
          <w:rFonts w:ascii="Calibri" w:hAnsi="Calibri" w:cs="Calibri"/>
        </w:rPr>
      </w:pPr>
      <w:r w:rsidRPr="00807ABC">
        <w:rPr>
          <w:rFonts w:ascii="Calibri" w:hAnsi="Calibri" w:cs="Calibri"/>
        </w:rPr>
        <w:t>Depreciation criteria;</w:t>
      </w:r>
    </w:p>
    <w:p w14:paraId="080EFC42" w14:textId="77777777" w:rsidR="00D864A6" w:rsidRPr="00807ABC" w:rsidRDefault="00D864A6" w:rsidP="00B74BFB">
      <w:pPr>
        <w:pStyle w:val="ListParagraph"/>
        <w:numPr>
          <w:ilvl w:val="2"/>
          <w:numId w:val="9"/>
        </w:numPr>
        <w:spacing w:before="240"/>
        <w:jc w:val="both"/>
        <w:rPr>
          <w:rFonts w:ascii="Calibri" w:hAnsi="Calibri" w:cs="Calibri"/>
        </w:rPr>
      </w:pPr>
      <w:r w:rsidRPr="00807ABC">
        <w:rPr>
          <w:rFonts w:ascii="Calibri" w:hAnsi="Calibri" w:cs="Calibri"/>
        </w:rPr>
        <w:t>WACC. The Commission expects companies to use their own internal WACC and to justify it. The justification consists in demonstrating that the internal company WACC results from the following formula:</w:t>
      </w:r>
    </w:p>
    <w:p w14:paraId="41F0295F" w14:textId="77777777" w:rsidR="00D864A6" w:rsidRPr="00807ABC" w:rsidRDefault="00D864A6" w:rsidP="00B74BFB">
      <w:pPr>
        <w:spacing w:before="240"/>
        <w:ind w:left="1980"/>
        <w:jc w:val="center"/>
        <w:rPr>
          <w:rFonts w:ascii="Calibri" w:hAnsi="Calibri" w:cs="Calibri"/>
        </w:rPr>
      </w:pPr>
      <m:oMath>
        <m:r>
          <w:rPr>
            <w:rFonts w:ascii="Cambria Math" w:hAnsi="Cambria Math" w:cs="Calibri"/>
            <w:lang w:val="it-IT"/>
          </w:rPr>
          <m:t>WACC</m:t>
        </m:r>
        <m:r>
          <w:rPr>
            <w:rFonts w:ascii="Cambria Math" w:hAnsi="Cambria Math" w:cs="Calibri"/>
          </w:rPr>
          <m:t xml:space="preserve">= </m:t>
        </m:r>
        <m:f>
          <m:fPr>
            <m:ctrlPr>
              <w:rPr>
                <w:rFonts w:ascii="Cambria Math" w:hAnsi="Cambria Math" w:cs="Calibri"/>
                <w:i/>
                <w:lang w:val="it-IT"/>
              </w:rPr>
            </m:ctrlPr>
          </m:fPr>
          <m:num>
            <m:r>
              <w:rPr>
                <w:rFonts w:ascii="Cambria Math" w:hAnsi="Cambria Math" w:cs="Calibri"/>
                <w:lang w:val="it-IT"/>
              </w:rPr>
              <m:t>E</m:t>
            </m:r>
          </m:num>
          <m:den>
            <m:r>
              <w:rPr>
                <w:rFonts w:ascii="Cambria Math" w:hAnsi="Cambria Math" w:cs="Calibri"/>
                <w:lang w:val="it-IT"/>
              </w:rPr>
              <m:t>D</m:t>
            </m:r>
            <m:r>
              <w:rPr>
                <w:rFonts w:ascii="Cambria Math" w:hAnsi="Cambria Math" w:cs="Calibri"/>
              </w:rPr>
              <m:t>+</m:t>
            </m:r>
            <m:r>
              <w:rPr>
                <w:rFonts w:ascii="Cambria Math" w:hAnsi="Cambria Math" w:cs="Calibri"/>
                <w:lang w:val="it-IT"/>
              </w:rPr>
              <m:t>E</m:t>
            </m:r>
          </m:den>
        </m:f>
        <m:r>
          <w:rPr>
            <w:rFonts w:ascii="Cambria Math" w:hAnsi="Cambria Math" w:cs="Calibri"/>
          </w:rPr>
          <m:t>*</m:t>
        </m:r>
        <m:d>
          <m:dPr>
            <m:ctrlPr>
              <w:rPr>
                <w:rFonts w:ascii="Cambria Math" w:hAnsi="Cambria Math" w:cs="Calibri"/>
                <w:i/>
                <w:lang w:val="it-IT"/>
              </w:rPr>
            </m:ctrlPr>
          </m:dPr>
          <m:e>
            <m:sSub>
              <m:sSubPr>
                <m:ctrlPr>
                  <w:rPr>
                    <w:rFonts w:ascii="Cambria Math" w:hAnsi="Cambria Math" w:cs="Calibri"/>
                    <w:i/>
                    <w:lang w:val="it-IT"/>
                  </w:rPr>
                </m:ctrlPr>
              </m:sSubPr>
              <m:e>
                <m:r>
                  <w:rPr>
                    <w:rFonts w:ascii="Cambria Math" w:hAnsi="Cambria Math" w:cs="Calibri"/>
                    <w:lang w:val="it-IT"/>
                  </w:rPr>
                  <m:t>r</m:t>
                </m:r>
              </m:e>
              <m:sub>
                <m:r>
                  <w:rPr>
                    <w:rFonts w:ascii="Cambria Math" w:hAnsi="Cambria Math" w:cs="Calibri"/>
                    <w:lang w:val="it-IT"/>
                  </w:rPr>
                  <m:t>f</m:t>
                </m:r>
              </m:sub>
            </m:sSub>
            <m:r>
              <w:rPr>
                <w:rFonts w:ascii="Cambria Math" w:hAnsi="Cambria Math" w:cs="Calibri"/>
              </w:rPr>
              <m:t>+</m:t>
            </m:r>
            <m:r>
              <w:rPr>
                <w:rFonts w:ascii="Cambria Math" w:hAnsi="Cambria Math" w:cs="Calibri"/>
                <w:lang w:val="it-IT"/>
              </w:rPr>
              <m:t>β</m:t>
            </m:r>
            <m:r>
              <w:rPr>
                <w:rFonts w:ascii="Cambria Math" w:hAnsi="Cambria Math" w:cs="Calibri"/>
              </w:rPr>
              <m:t>*</m:t>
            </m:r>
            <m:r>
              <w:rPr>
                <w:rFonts w:ascii="Cambria Math" w:hAnsi="Cambria Math" w:cs="Calibri"/>
                <w:lang w:val="it-IT"/>
              </w:rPr>
              <m:t>ERP</m:t>
            </m:r>
          </m:e>
        </m:d>
        <m:r>
          <w:rPr>
            <w:rFonts w:ascii="Cambria Math" w:hAnsi="Cambria Math" w:cs="Calibri"/>
          </w:rPr>
          <m:t>+</m:t>
        </m:r>
        <m:f>
          <m:fPr>
            <m:ctrlPr>
              <w:rPr>
                <w:rFonts w:ascii="Cambria Math" w:hAnsi="Cambria Math" w:cs="Calibri"/>
                <w:i/>
                <w:lang w:val="it-IT"/>
              </w:rPr>
            </m:ctrlPr>
          </m:fPr>
          <m:num>
            <m:r>
              <w:rPr>
                <w:rFonts w:ascii="Cambria Math" w:hAnsi="Cambria Math" w:cs="Calibri"/>
                <w:lang w:val="it-IT"/>
              </w:rPr>
              <m:t>D</m:t>
            </m:r>
          </m:num>
          <m:den>
            <m:r>
              <w:rPr>
                <w:rFonts w:ascii="Cambria Math" w:hAnsi="Cambria Math" w:cs="Calibri"/>
                <w:lang w:val="it-IT"/>
              </w:rPr>
              <m:t>D</m:t>
            </m:r>
            <m:r>
              <w:rPr>
                <w:rFonts w:ascii="Cambria Math" w:hAnsi="Cambria Math" w:cs="Calibri"/>
              </w:rPr>
              <m:t>+</m:t>
            </m:r>
            <m:r>
              <w:rPr>
                <w:rFonts w:ascii="Cambria Math" w:hAnsi="Cambria Math" w:cs="Calibri"/>
                <w:lang w:val="it-IT"/>
              </w:rPr>
              <m:t>E</m:t>
            </m:r>
          </m:den>
        </m:f>
      </m:oMath>
      <w:r w:rsidRPr="00807ABC">
        <w:rPr>
          <w:rFonts w:ascii="Calibri" w:eastAsiaTheme="minorEastAsia" w:hAnsi="Calibri" w:cs="Calibri"/>
        </w:rPr>
        <w:t>*(</w:t>
      </w:r>
      <m:oMath>
        <m:sSub>
          <m:sSubPr>
            <m:ctrlPr>
              <w:rPr>
                <w:rFonts w:ascii="Cambria Math" w:hAnsi="Cambria Math" w:cs="Calibri"/>
                <w:i/>
                <w:lang w:val="it-IT"/>
              </w:rPr>
            </m:ctrlPr>
          </m:sSubPr>
          <m:e>
            <m:r>
              <w:rPr>
                <w:rFonts w:ascii="Cambria Math" w:hAnsi="Cambria Math" w:cs="Calibri"/>
                <w:lang w:val="it-IT"/>
              </w:rPr>
              <m:t>r</m:t>
            </m:r>
          </m:e>
          <m:sub>
            <m:r>
              <w:rPr>
                <w:rFonts w:ascii="Cambria Math" w:hAnsi="Cambria Math" w:cs="Calibri"/>
                <w:lang w:val="it-IT"/>
              </w:rPr>
              <m:t>f</m:t>
            </m:r>
          </m:sub>
        </m:sSub>
        <m:r>
          <w:rPr>
            <w:rFonts w:ascii="Cambria Math" w:hAnsi="Cambria Math" w:cs="Calibri"/>
          </w:rPr>
          <m:t>+</m:t>
        </m:r>
        <m:r>
          <w:rPr>
            <w:rFonts w:ascii="Cambria Math" w:hAnsi="Cambria Math" w:cs="Calibri"/>
            <w:lang w:val="it-IT"/>
          </w:rPr>
          <m:t>DP</m:t>
        </m:r>
        <m:r>
          <w:rPr>
            <w:rFonts w:ascii="Cambria Math" w:hAnsi="Cambria Math" w:cs="Calibri"/>
          </w:rPr>
          <m:t>)*(1-</m:t>
        </m:r>
        <m:r>
          <w:rPr>
            <w:rFonts w:ascii="Cambria Math" w:hAnsi="Cambria Math" w:cs="Calibri"/>
            <w:lang w:val="it-IT"/>
          </w:rPr>
          <m:t>T</m:t>
        </m:r>
        <m:r>
          <w:rPr>
            <w:rFonts w:ascii="Cambria Math" w:hAnsi="Cambria Math" w:cs="Calibri"/>
          </w:rPr>
          <m:t>)</m:t>
        </m:r>
      </m:oMath>
    </w:p>
    <w:p w14:paraId="35700099" w14:textId="77777777" w:rsidR="00D864A6" w:rsidRPr="00807ABC" w:rsidRDefault="00D864A6" w:rsidP="006F3591">
      <w:pPr>
        <w:spacing w:before="240"/>
        <w:ind w:left="2160"/>
        <w:jc w:val="both"/>
        <w:rPr>
          <w:rFonts w:ascii="Calibri" w:hAnsi="Calibri" w:cs="Calibri"/>
        </w:rPr>
      </w:pPr>
      <w:r w:rsidRPr="00807ABC">
        <w:rPr>
          <w:rFonts w:ascii="Calibri" w:hAnsi="Calibri" w:cs="Calibri"/>
        </w:rPr>
        <w:t xml:space="preserve">In addition, companies must also provide all the parameters in the formula above (E = equity, D = debt, </w:t>
      </w:r>
      <m:oMath>
        <m:sSub>
          <m:sSubPr>
            <m:ctrlPr>
              <w:rPr>
                <w:rFonts w:ascii="Cambria Math" w:hAnsi="Cambria Math" w:cs="Calibri"/>
                <w:i/>
                <w:lang w:val="it-IT"/>
              </w:rPr>
            </m:ctrlPr>
          </m:sSubPr>
          <m:e>
            <m:r>
              <w:rPr>
                <w:rFonts w:ascii="Cambria Math" w:hAnsi="Cambria Math" w:cs="Calibri"/>
                <w:lang w:val="it-IT"/>
              </w:rPr>
              <m:t>r</m:t>
            </m:r>
          </m:e>
          <m:sub>
            <m:r>
              <w:rPr>
                <w:rFonts w:ascii="Cambria Math" w:hAnsi="Cambria Math" w:cs="Calibri"/>
                <w:lang w:val="it-IT"/>
              </w:rPr>
              <m:t>f</m:t>
            </m:r>
          </m:sub>
        </m:sSub>
      </m:oMath>
      <w:r w:rsidRPr="00807ABC">
        <w:rPr>
          <w:rFonts w:ascii="Calibri" w:hAnsi="Calibri" w:cs="Calibri"/>
        </w:rPr>
        <w:t xml:space="preserve"> = risk-free rate, β = equity beta, ERP = equity risk premium, DP = debt premium and T = tax rate), together with their sources and the methodology to determine them.</w:t>
      </w:r>
    </w:p>
    <w:p w14:paraId="24D3B451" w14:textId="77777777" w:rsidR="00D864A6" w:rsidRPr="00807ABC" w:rsidRDefault="00D864A6" w:rsidP="006F3591">
      <w:pPr>
        <w:spacing w:before="240"/>
        <w:ind w:left="2160"/>
        <w:jc w:val="both"/>
        <w:rPr>
          <w:rFonts w:ascii="Calibri" w:hAnsi="Calibri" w:cs="Calibri"/>
        </w:rPr>
      </w:pPr>
      <w:r w:rsidRPr="00807ABC">
        <w:rPr>
          <w:rFonts w:ascii="Calibri" w:hAnsi="Calibri" w:cs="Calibri"/>
        </w:rPr>
        <w:t xml:space="preserve">We note that the use of the WACC formula above rules out the possibility to add a “top-up” risk factor to the discount rate to account for the specific characteristics of the project. </w:t>
      </w:r>
    </w:p>
    <w:p w14:paraId="68B94CE2" w14:textId="77777777" w:rsidR="00D864A6" w:rsidRPr="00807ABC" w:rsidRDefault="00D864A6" w:rsidP="00B74BFB">
      <w:pPr>
        <w:spacing w:before="240"/>
        <w:ind w:left="2160"/>
        <w:jc w:val="both"/>
        <w:rPr>
          <w:rFonts w:ascii="Calibri" w:hAnsi="Calibri" w:cs="Calibri"/>
        </w:rPr>
      </w:pPr>
      <w:r w:rsidRPr="00807ABC">
        <w:rPr>
          <w:rFonts w:ascii="Calibri" w:hAnsi="Calibri" w:cs="Calibri"/>
        </w:rPr>
        <w:t>If companies do not sufficiently justify their own WACC, the Commission services may construct a benchmark WACC based on publicly available data (at sectoral level) and use it to verify the reliability of the WACC provided by the company;</w:t>
      </w:r>
    </w:p>
    <w:p w14:paraId="1BDEF7F4" w14:textId="56D89E26" w:rsidR="003A743B" w:rsidRPr="00807ABC" w:rsidRDefault="0005639A" w:rsidP="00B74BFB">
      <w:pPr>
        <w:pStyle w:val="ListParagraph"/>
        <w:numPr>
          <w:ilvl w:val="2"/>
          <w:numId w:val="9"/>
        </w:numPr>
        <w:spacing w:before="240"/>
        <w:jc w:val="both"/>
        <w:rPr>
          <w:rFonts w:ascii="Calibri" w:hAnsi="Calibri" w:cs="Calibri"/>
        </w:rPr>
      </w:pPr>
      <w:r>
        <w:rPr>
          <w:rFonts w:ascii="Calibri" w:hAnsi="Calibri" w:cs="Calibri"/>
        </w:rPr>
        <w:t>Tax (line 97</w:t>
      </w:r>
      <w:r w:rsidR="003A743B" w:rsidRPr="00807ABC">
        <w:rPr>
          <w:rFonts w:ascii="Calibri" w:hAnsi="Calibri" w:cs="Calibri"/>
        </w:rPr>
        <w:t xml:space="preserve"> of the excel template);</w:t>
      </w:r>
    </w:p>
    <w:p w14:paraId="53DB1A50" w14:textId="148FD266" w:rsidR="003A743B" w:rsidRPr="00807ABC" w:rsidRDefault="003A743B" w:rsidP="00B74BFB">
      <w:pPr>
        <w:pStyle w:val="ListParagraph"/>
        <w:numPr>
          <w:ilvl w:val="2"/>
          <w:numId w:val="9"/>
        </w:numPr>
        <w:spacing w:before="240"/>
        <w:jc w:val="both"/>
        <w:rPr>
          <w:rFonts w:ascii="Calibri" w:hAnsi="Calibri" w:cs="Calibri"/>
        </w:rPr>
      </w:pPr>
      <w:r w:rsidRPr="00807ABC">
        <w:rPr>
          <w:rFonts w:ascii="Calibri" w:hAnsi="Calibri" w:cs="Calibri"/>
        </w:rPr>
        <w:t xml:space="preserve">Changes in net working capital (line </w:t>
      </w:r>
      <w:r w:rsidR="00DB4A42">
        <w:rPr>
          <w:rFonts w:ascii="Calibri" w:hAnsi="Calibri" w:cs="Calibri"/>
        </w:rPr>
        <w:t>98</w:t>
      </w:r>
      <w:r w:rsidRPr="00807ABC">
        <w:rPr>
          <w:rFonts w:ascii="Calibri" w:hAnsi="Calibri" w:cs="Calibri"/>
        </w:rPr>
        <w:t xml:space="preserve"> of the excel template), if any;</w:t>
      </w:r>
    </w:p>
    <w:p w14:paraId="178D64A1" w14:textId="77777777" w:rsidR="005B4CCF" w:rsidRPr="00807ABC" w:rsidRDefault="005B4CCF" w:rsidP="00B74BFB">
      <w:pPr>
        <w:pStyle w:val="ListParagraph"/>
        <w:numPr>
          <w:ilvl w:val="2"/>
          <w:numId w:val="9"/>
        </w:numPr>
        <w:spacing w:before="240"/>
        <w:jc w:val="both"/>
        <w:rPr>
          <w:rFonts w:ascii="Calibri" w:hAnsi="Calibri" w:cs="Calibri"/>
        </w:rPr>
      </w:pPr>
      <w:r w:rsidRPr="00807ABC">
        <w:rPr>
          <w:rFonts w:ascii="Calibri" w:hAnsi="Calibri" w:cs="Calibri"/>
        </w:rPr>
        <w:t>Product lifecycle, from its launch to the projected last year of sales</w:t>
      </w:r>
      <w:r w:rsidR="00F70286" w:rsidRPr="00807ABC">
        <w:rPr>
          <w:rFonts w:ascii="Calibri" w:hAnsi="Calibri" w:cs="Calibri"/>
        </w:rPr>
        <w:t xml:space="preserve"> (including the duration of the R&amp;D, FID and mass production phases)</w:t>
      </w:r>
      <w:r w:rsidRPr="00807ABC">
        <w:rPr>
          <w:rFonts w:ascii="Calibri" w:hAnsi="Calibri" w:cs="Calibri"/>
        </w:rPr>
        <w:t>;</w:t>
      </w:r>
    </w:p>
    <w:p w14:paraId="265A27BE" w14:textId="4A75120B" w:rsidR="005B4CCF" w:rsidRPr="00807ABC" w:rsidRDefault="005B4CCF" w:rsidP="00B74BFB">
      <w:pPr>
        <w:pStyle w:val="ListParagraph"/>
        <w:numPr>
          <w:ilvl w:val="2"/>
          <w:numId w:val="9"/>
        </w:numPr>
        <w:spacing w:before="240"/>
        <w:jc w:val="both"/>
        <w:rPr>
          <w:rFonts w:ascii="Calibri" w:hAnsi="Calibri" w:cs="Calibri"/>
        </w:rPr>
      </w:pPr>
      <w:r w:rsidRPr="00807ABC">
        <w:rPr>
          <w:rFonts w:ascii="Calibri" w:hAnsi="Calibri" w:cs="Calibri"/>
        </w:rPr>
        <w:t>Calculation of the terminal value</w:t>
      </w:r>
      <w:r w:rsidR="00A22486" w:rsidRPr="00807ABC">
        <w:rPr>
          <w:rFonts w:ascii="Calibri" w:hAnsi="Calibri" w:cs="Calibri"/>
        </w:rPr>
        <w:t xml:space="preserve">. Since the Commission services expect companies to report the cash flows of the project for its whole lifetime (from the start of R&amp;D to the last year of sales), the terminal value can be calculated as the value of long-term assets at the end of the planning period. Companies may use the residual book value of assets as a proxy. </w:t>
      </w:r>
      <w:r w:rsidR="00D864A6" w:rsidRPr="00807ABC">
        <w:rPr>
          <w:rFonts w:ascii="Calibri" w:hAnsi="Calibri" w:cs="Calibri"/>
        </w:rPr>
        <w:t>If the cash flows in the excel template do not cover the entire lifetime of the project, for example because companies find it difficult to make</w:t>
      </w:r>
      <w:r w:rsidR="008E088A" w:rsidRPr="00807ABC">
        <w:rPr>
          <w:rFonts w:ascii="Calibri" w:hAnsi="Calibri" w:cs="Calibri"/>
        </w:rPr>
        <w:t xml:space="preserve"> credible</w:t>
      </w:r>
      <w:r w:rsidR="00D864A6" w:rsidRPr="00807ABC">
        <w:rPr>
          <w:rFonts w:ascii="Calibri" w:hAnsi="Calibri" w:cs="Calibri"/>
        </w:rPr>
        <w:t xml:space="preserve"> forecasts at long horizons, the Commission services </w:t>
      </w:r>
      <w:r w:rsidR="008E088A" w:rsidRPr="00807ABC">
        <w:rPr>
          <w:rFonts w:ascii="Calibri" w:hAnsi="Calibri" w:cs="Calibri"/>
        </w:rPr>
        <w:t>may also</w:t>
      </w:r>
      <w:r w:rsidR="00D864A6" w:rsidRPr="00807ABC">
        <w:rPr>
          <w:rFonts w:ascii="Calibri" w:hAnsi="Calibri" w:cs="Calibri"/>
        </w:rPr>
        <w:t xml:space="preserve"> </w:t>
      </w:r>
      <w:r w:rsidR="008E088A" w:rsidRPr="00807ABC">
        <w:rPr>
          <w:rFonts w:ascii="Calibri" w:hAnsi="Calibri" w:cs="Calibri"/>
        </w:rPr>
        <w:t>consider as appropriate</w:t>
      </w:r>
      <w:r w:rsidR="00D864A6" w:rsidRPr="00807ABC">
        <w:rPr>
          <w:rFonts w:ascii="Calibri" w:hAnsi="Calibri" w:cs="Calibri"/>
        </w:rPr>
        <w:t xml:space="preserve"> the use of a project terminal value instead of the asset terminal value indicated above. The project terminal value </w:t>
      </w:r>
      <w:r w:rsidR="006F3591" w:rsidRPr="00807ABC">
        <w:rPr>
          <w:rFonts w:ascii="Calibri" w:hAnsi="Calibri" w:cs="Calibri"/>
        </w:rPr>
        <w:t>is the result of the</w:t>
      </w:r>
      <w:r w:rsidR="00D864A6" w:rsidRPr="00807ABC">
        <w:rPr>
          <w:rFonts w:ascii="Calibri" w:hAnsi="Calibri" w:cs="Calibri"/>
        </w:rPr>
        <w:t xml:space="preserve"> following formula (Gordon’s growth formula):</w:t>
      </w:r>
    </w:p>
    <w:p w14:paraId="17023B1D" w14:textId="3D96A0E0" w:rsidR="00D864A6" w:rsidRPr="00807ABC" w:rsidRDefault="00D864A6" w:rsidP="00B74BFB">
      <w:pPr>
        <w:pStyle w:val="ListParagraph"/>
        <w:spacing w:before="240"/>
        <w:ind w:left="2160"/>
        <w:jc w:val="center"/>
        <w:rPr>
          <w:rFonts w:ascii="Calibri" w:hAnsi="Calibri" w:cs="Calibri"/>
        </w:rPr>
      </w:pPr>
      <m:oMathPara>
        <m:oMath>
          <m:r>
            <w:rPr>
              <w:rFonts w:ascii="Cambria Math" w:hAnsi="Cambria Math" w:cs="Calibri"/>
            </w:rPr>
            <m:t xml:space="preserve">TV= </m:t>
          </m:r>
          <m:sSub>
            <m:sSubPr>
              <m:ctrlPr>
                <w:rPr>
                  <w:rFonts w:ascii="Cambria Math" w:hAnsi="Cambria Math" w:cs="Calibri"/>
                  <w:i/>
                </w:rPr>
              </m:ctrlPr>
            </m:sSubPr>
            <m:e>
              <m:r>
                <w:rPr>
                  <w:rFonts w:ascii="Cambria Math" w:hAnsi="Cambria Math" w:cs="Calibri"/>
                </w:rPr>
                <m:t>CF</m:t>
              </m:r>
            </m:e>
            <m:sub>
              <m:r>
                <w:rPr>
                  <w:rFonts w:ascii="Cambria Math" w:hAnsi="Cambria Math" w:cs="Calibri"/>
                </w:rPr>
                <m:t>T</m:t>
              </m:r>
            </m:sub>
          </m:sSub>
          <m:f>
            <m:fPr>
              <m:ctrlPr>
                <w:rPr>
                  <w:rFonts w:ascii="Cambria Math" w:hAnsi="Cambria Math" w:cs="Calibri"/>
                  <w:i/>
                </w:rPr>
              </m:ctrlPr>
            </m:fPr>
            <m:num>
              <m:r>
                <w:rPr>
                  <w:rFonts w:ascii="Cambria Math" w:hAnsi="Cambria Math" w:cs="Calibri"/>
                </w:rPr>
                <m:t>(1+g)</m:t>
              </m:r>
            </m:num>
            <m:den>
              <m:r>
                <w:rPr>
                  <w:rFonts w:ascii="Cambria Math" w:hAnsi="Cambria Math" w:cs="Calibri"/>
                </w:rPr>
                <m:t>WACC-g</m:t>
              </m:r>
            </m:den>
          </m:f>
        </m:oMath>
      </m:oMathPara>
    </w:p>
    <w:p w14:paraId="08739C3B" w14:textId="178E41DA" w:rsidR="00D864A6" w:rsidRPr="00807ABC" w:rsidRDefault="00D864A6" w:rsidP="00B74BFB">
      <w:pPr>
        <w:ind w:left="2160"/>
      </w:pPr>
      <w:r w:rsidRPr="00807ABC">
        <w:lastRenderedPageBreak/>
        <w:t xml:space="preserve">Where TV is the project terminal value, </w:t>
      </w:r>
      <m:oMath>
        <m:sSub>
          <m:sSubPr>
            <m:ctrlPr>
              <w:rPr>
                <w:rFonts w:ascii="Cambria Math" w:hAnsi="Cambria Math"/>
                <w:i/>
              </w:rPr>
            </m:ctrlPr>
          </m:sSubPr>
          <m:e>
            <m:r>
              <w:rPr>
                <w:rFonts w:ascii="Cambria Math" w:hAnsi="Cambria Math"/>
              </w:rPr>
              <m:t>CF</m:t>
            </m:r>
          </m:e>
          <m:sub>
            <m:r>
              <w:rPr>
                <w:rFonts w:ascii="Cambria Math" w:hAnsi="Cambria Math"/>
              </w:rPr>
              <m:t>T</m:t>
            </m:r>
          </m:sub>
        </m:sSub>
      </m:oMath>
      <w:r w:rsidRPr="00807ABC">
        <w:rPr>
          <w:rFonts w:eastAsiaTheme="minorEastAsia"/>
        </w:rPr>
        <w:t xml:space="preserve"> </w:t>
      </w:r>
      <w:r w:rsidRPr="00807ABC">
        <w:t>is the after tax cash flow in the last year of the business plan, g is the perpetual growth rate of cash flows starting from the last year of the plan and WACC is the company’s internal WACC used to calculate the funding gap.</w:t>
      </w:r>
    </w:p>
    <w:p w14:paraId="6BB360CA" w14:textId="64ED8E29" w:rsidR="005B4CCF" w:rsidRPr="00807ABC" w:rsidRDefault="005B4CCF" w:rsidP="00B74BFB">
      <w:pPr>
        <w:pStyle w:val="ListParagraph"/>
        <w:numPr>
          <w:ilvl w:val="2"/>
          <w:numId w:val="9"/>
        </w:numPr>
        <w:spacing w:before="240"/>
        <w:jc w:val="both"/>
        <w:rPr>
          <w:rFonts w:ascii="Calibri" w:hAnsi="Calibri" w:cs="Calibri"/>
        </w:rPr>
      </w:pPr>
      <w:r w:rsidRPr="00807ABC">
        <w:rPr>
          <w:rFonts w:ascii="Calibri" w:hAnsi="Calibri" w:cs="Calibri"/>
        </w:rPr>
        <w:t xml:space="preserve">Link between the internal company documents in 3.a and the data reported in the excel template. The company </w:t>
      </w:r>
      <w:r w:rsidR="002D1A89" w:rsidRPr="00807ABC">
        <w:rPr>
          <w:rFonts w:ascii="Calibri" w:hAnsi="Calibri" w:cs="Calibri"/>
        </w:rPr>
        <w:t>must</w:t>
      </w:r>
      <w:r w:rsidRPr="00807ABC">
        <w:rPr>
          <w:rFonts w:ascii="Calibri" w:hAnsi="Calibri" w:cs="Calibri"/>
        </w:rPr>
        <w:t xml:space="preserve"> elaborate on how to translate </w:t>
      </w:r>
      <w:r w:rsidR="002D1A89" w:rsidRPr="00807ABC">
        <w:rPr>
          <w:rFonts w:ascii="Calibri" w:hAnsi="Calibri" w:cs="Calibri"/>
        </w:rPr>
        <w:t xml:space="preserve">their own </w:t>
      </w:r>
      <w:r w:rsidRPr="00807ABC">
        <w:rPr>
          <w:rFonts w:ascii="Calibri" w:hAnsi="Calibri" w:cs="Calibri"/>
        </w:rPr>
        <w:t>documents</w:t>
      </w:r>
      <w:r w:rsidR="002D1A89" w:rsidRPr="00807ABC">
        <w:rPr>
          <w:rFonts w:ascii="Calibri" w:hAnsi="Calibri" w:cs="Calibri"/>
        </w:rPr>
        <w:t>,</w:t>
      </w:r>
      <w:r w:rsidRPr="00807ABC">
        <w:rPr>
          <w:rFonts w:ascii="Calibri" w:hAnsi="Calibri" w:cs="Calibri"/>
        </w:rPr>
        <w:t xml:space="preserve"> such as </w:t>
      </w:r>
      <w:r w:rsidR="002D1A89" w:rsidRPr="00807ABC">
        <w:rPr>
          <w:rFonts w:ascii="Calibri" w:hAnsi="Calibri" w:cs="Calibri"/>
        </w:rPr>
        <w:t xml:space="preserve">the </w:t>
      </w:r>
      <w:r w:rsidRPr="00807ABC">
        <w:rPr>
          <w:rFonts w:ascii="Calibri" w:hAnsi="Calibri" w:cs="Calibri"/>
        </w:rPr>
        <w:t>internal business plan and market studies</w:t>
      </w:r>
      <w:r w:rsidR="002D1A89" w:rsidRPr="00807ABC">
        <w:rPr>
          <w:rFonts w:ascii="Calibri" w:hAnsi="Calibri" w:cs="Calibri"/>
        </w:rPr>
        <w:t>,</w:t>
      </w:r>
      <w:r w:rsidRPr="00807ABC">
        <w:rPr>
          <w:rFonts w:ascii="Calibri" w:hAnsi="Calibri" w:cs="Calibri"/>
        </w:rPr>
        <w:t xml:space="preserve"> into the costs, sales and capex figures reported in the excel template.</w:t>
      </w:r>
    </w:p>
    <w:p w14:paraId="5B950B22" w14:textId="26749C04" w:rsidR="005A4316" w:rsidRPr="00807ABC" w:rsidRDefault="005A4316" w:rsidP="005A4316">
      <w:pPr>
        <w:pStyle w:val="ListParagraph"/>
        <w:numPr>
          <w:ilvl w:val="0"/>
          <w:numId w:val="5"/>
        </w:numPr>
        <w:spacing w:before="240"/>
        <w:jc w:val="both"/>
        <w:rPr>
          <w:rFonts w:ascii="Calibri" w:hAnsi="Calibri" w:cs="Calibri"/>
        </w:rPr>
      </w:pPr>
      <w:r w:rsidRPr="00807ABC">
        <w:rPr>
          <w:rFonts w:ascii="Calibri" w:hAnsi="Calibri" w:cs="Calibri"/>
        </w:rPr>
        <w:t xml:space="preserve">Since the Commission services expect the figures in the excel template to result from internal company documents prepared for the decision to undertake the IPCEI project, subsequent changes to the numbers in the excel template will not be accepted except </w:t>
      </w:r>
      <w:r w:rsidR="00E07F69" w:rsidRPr="00807ABC">
        <w:rPr>
          <w:rFonts w:ascii="Calibri" w:hAnsi="Calibri" w:cs="Calibri"/>
        </w:rPr>
        <w:t>in case of</w:t>
      </w:r>
      <w:r w:rsidRPr="00807ABC">
        <w:rPr>
          <w:rFonts w:ascii="Calibri" w:hAnsi="Calibri" w:cs="Calibri"/>
        </w:rPr>
        <w:t xml:space="preserve"> genuine errors. </w:t>
      </w:r>
    </w:p>
    <w:p w14:paraId="62921C98" w14:textId="6C4EDAFE" w:rsidR="00D5001C" w:rsidRPr="00807ABC" w:rsidRDefault="00D5001C" w:rsidP="005A4316">
      <w:pPr>
        <w:pStyle w:val="ListParagraph"/>
        <w:numPr>
          <w:ilvl w:val="0"/>
          <w:numId w:val="5"/>
        </w:numPr>
        <w:spacing w:before="240"/>
        <w:jc w:val="both"/>
        <w:rPr>
          <w:rFonts w:ascii="Calibri" w:hAnsi="Calibri" w:cs="Calibri"/>
        </w:rPr>
      </w:pPr>
      <w:r w:rsidRPr="00807ABC">
        <w:rPr>
          <w:rFonts w:ascii="Calibri" w:hAnsi="Calibri" w:cs="Calibri"/>
        </w:rPr>
        <w:t>The maximum amount of aid according to the IPCEI Communication is equal to the funding gap (cell C</w:t>
      </w:r>
      <w:r w:rsidR="0005639A">
        <w:rPr>
          <w:rFonts w:ascii="Calibri" w:hAnsi="Calibri" w:cs="Calibri"/>
        </w:rPr>
        <w:t>105</w:t>
      </w:r>
      <w:r w:rsidRPr="00807ABC">
        <w:rPr>
          <w:rFonts w:ascii="Calibri" w:hAnsi="Calibri" w:cs="Calibri"/>
        </w:rPr>
        <w:t xml:space="preserve">), subject to the eligible costs cap. If Member States intend to grant aid through instruments different from grants (e.g. loans, repayable advances), they </w:t>
      </w:r>
      <w:r w:rsidR="009E2EC1" w:rsidRPr="00807ABC">
        <w:rPr>
          <w:rFonts w:ascii="Calibri" w:hAnsi="Calibri" w:cs="Calibri"/>
        </w:rPr>
        <w:t>must</w:t>
      </w:r>
      <w:r w:rsidRPr="00807ABC">
        <w:rPr>
          <w:rFonts w:ascii="Calibri" w:hAnsi="Calibri" w:cs="Calibri"/>
        </w:rPr>
        <w:t xml:space="preserve"> demonstrate that the gross grant equivalent of these aid instruments (GGE) is not higher than the maximum </w:t>
      </w:r>
      <w:r w:rsidR="009E2EC1" w:rsidRPr="00807ABC">
        <w:rPr>
          <w:rFonts w:ascii="Calibri" w:hAnsi="Calibri" w:cs="Calibri"/>
        </w:rPr>
        <w:t xml:space="preserve">aid </w:t>
      </w:r>
      <w:r w:rsidRPr="00807ABC">
        <w:rPr>
          <w:rFonts w:ascii="Calibri" w:hAnsi="Calibri" w:cs="Calibri"/>
        </w:rPr>
        <w:t xml:space="preserve">amount according to the IPCEI Communication. Member states </w:t>
      </w:r>
      <w:r w:rsidR="009E2EC1" w:rsidRPr="00807ABC">
        <w:rPr>
          <w:rFonts w:ascii="Calibri" w:hAnsi="Calibri" w:cs="Calibri"/>
        </w:rPr>
        <w:t>must</w:t>
      </w:r>
      <w:r w:rsidRPr="00807ABC">
        <w:rPr>
          <w:rFonts w:ascii="Calibri" w:hAnsi="Calibri" w:cs="Calibri"/>
        </w:rPr>
        <w:t xml:space="preserve"> also explain the calculation of the GGE.</w:t>
      </w:r>
    </w:p>
    <w:p w14:paraId="7FD90AF6" w14:textId="33C8A7EE" w:rsidR="00D864A6" w:rsidRPr="00807ABC" w:rsidRDefault="00D864A6">
      <w:r w:rsidRPr="00807ABC">
        <w:br w:type="page"/>
      </w:r>
    </w:p>
    <w:p w14:paraId="33DF22A3" w14:textId="09D3A1E4" w:rsidR="00BA7536" w:rsidRPr="00807ABC" w:rsidRDefault="00D864A6">
      <w:pPr>
        <w:rPr>
          <w:b/>
        </w:rPr>
      </w:pPr>
      <w:r w:rsidRPr="00807ABC">
        <w:rPr>
          <w:b/>
        </w:rPr>
        <w:lastRenderedPageBreak/>
        <w:t>ANNEX</w:t>
      </w:r>
      <w:r w:rsidR="007578E7">
        <w:rPr>
          <w:b/>
        </w:rPr>
        <w:t xml:space="preserve"> I</w:t>
      </w:r>
      <w:r w:rsidRPr="00807ABC">
        <w:rPr>
          <w:b/>
        </w:rPr>
        <w:t>: TEMPLATE SHOWING THE LINK BETWEEN RD</w:t>
      </w:r>
      <w:r w:rsidR="008F5447" w:rsidRPr="00807ABC">
        <w:rPr>
          <w:b/>
        </w:rPr>
        <w:t>I</w:t>
      </w:r>
      <w:r w:rsidRPr="00807ABC">
        <w:rPr>
          <w:b/>
        </w:rPr>
        <w:t>, FID AND FINAL PRODUCT</w:t>
      </w:r>
    </w:p>
    <w:p w14:paraId="5D6E4F68" w14:textId="084C1469" w:rsidR="00D864A6" w:rsidRPr="00807ABC" w:rsidRDefault="00D864A6" w:rsidP="00B74BFB">
      <w:pPr>
        <w:jc w:val="both"/>
      </w:pPr>
      <w:r w:rsidRPr="00807ABC">
        <w:t xml:space="preserve">The templates below aim to facilitate the understanding of a company’s project, especially when it is composed of multiple work packages (WPs) and leads to multiple final products. </w:t>
      </w:r>
      <w:r w:rsidR="000D53F2" w:rsidRPr="00807ABC">
        <w:t>The Commission services expect</w:t>
      </w:r>
      <w:r w:rsidRPr="00807ABC">
        <w:t xml:space="preserve"> companies to show the</w:t>
      </w:r>
      <w:r w:rsidR="006F3591" w:rsidRPr="00807ABC">
        <w:t xml:space="preserve"> structure and</w:t>
      </w:r>
      <w:r w:rsidRPr="00807ABC">
        <w:t xml:space="preserve"> timeline of their projects, from the RD</w:t>
      </w:r>
      <w:r w:rsidR="008F5447" w:rsidRPr="00807ABC">
        <w:t>I</w:t>
      </w:r>
      <w:r w:rsidRPr="00807ABC">
        <w:t xml:space="preserve"> phase to the commercialization of the final product. To illustrate the template, please consider the three examples below.</w:t>
      </w:r>
    </w:p>
    <w:p w14:paraId="30360C9F" w14:textId="7CA21E2E" w:rsidR="00D864A6" w:rsidRPr="00807ABC" w:rsidRDefault="00D864A6" w:rsidP="00B74BFB">
      <w:pPr>
        <w:jc w:val="both"/>
        <w:rPr>
          <w:u w:val="single"/>
        </w:rPr>
      </w:pPr>
      <w:r w:rsidRPr="00807ABC">
        <w:rPr>
          <w:u w:val="single"/>
        </w:rPr>
        <w:t>Example 1: Company with one RD</w:t>
      </w:r>
      <w:r w:rsidR="008F5447" w:rsidRPr="00807ABC">
        <w:rPr>
          <w:u w:val="single"/>
        </w:rPr>
        <w:t>I</w:t>
      </w:r>
      <w:r w:rsidRPr="00807ABC">
        <w:rPr>
          <w:u w:val="single"/>
        </w:rPr>
        <w:t xml:space="preserve"> and FID WPs and one product</w:t>
      </w:r>
    </w:p>
    <w:tbl>
      <w:tblPr>
        <w:tblStyle w:val="TableGrid"/>
        <w:tblW w:w="0" w:type="auto"/>
        <w:tblLook w:val="04A0" w:firstRow="1" w:lastRow="0" w:firstColumn="1" w:lastColumn="0" w:noHBand="0" w:noVBand="1"/>
      </w:tblPr>
      <w:tblGrid>
        <w:gridCol w:w="3096"/>
        <w:gridCol w:w="3096"/>
        <w:gridCol w:w="3096"/>
      </w:tblGrid>
      <w:tr w:rsidR="00807ABC" w:rsidRPr="00807ABC" w14:paraId="77AB744E" w14:textId="77777777" w:rsidTr="002B6578">
        <w:tc>
          <w:tcPr>
            <w:tcW w:w="3096" w:type="dxa"/>
          </w:tcPr>
          <w:p w14:paraId="248F06E8" w14:textId="7B5265BE" w:rsidR="00D864A6" w:rsidRPr="00807ABC" w:rsidRDefault="00D864A6" w:rsidP="00B74BFB">
            <w:pPr>
              <w:jc w:val="both"/>
              <w:rPr>
                <w:b/>
              </w:rPr>
            </w:pPr>
            <w:r w:rsidRPr="00807ABC">
              <w:rPr>
                <w:b/>
              </w:rPr>
              <w:t>RD</w:t>
            </w:r>
            <w:r w:rsidR="008F5447" w:rsidRPr="00807ABC">
              <w:rPr>
                <w:b/>
              </w:rPr>
              <w:t>I</w:t>
            </w:r>
          </w:p>
        </w:tc>
        <w:tc>
          <w:tcPr>
            <w:tcW w:w="3096" w:type="dxa"/>
          </w:tcPr>
          <w:p w14:paraId="1E08AF46" w14:textId="77777777" w:rsidR="00D864A6" w:rsidRPr="00807ABC" w:rsidRDefault="00D864A6" w:rsidP="00B74BFB">
            <w:pPr>
              <w:jc w:val="both"/>
              <w:rPr>
                <w:b/>
              </w:rPr>
            </w:pPr>
            <w:r w:rsidRPr="00807ABC">
              <w:rPr>
                <w:b/>
              </w:rPr>
              <w:t>FID</w:t>
            </w:r>
          </w:p>
        </w:tc>
        <w:tc>
          <w:tcPr>
            <w:tcW w:w="3096" w:type="dxa"/>
          </w:tcPr>
          <w:p w14:paraId="4E38E4B9" w14:textId="77777777" w:rsidR="00D864A6" w:rsidRPr="00807ABC" w:rsidRDefault="00D864A6" w:rsidP="00B74BFB">
            <w:pPr>
              <w:jc w:val="both"/>
              <w:rPr>
                <w:b/>
              </w:rPr>
            </w:pPr>
            <w:r w:rsidRPr="00807ABC">
              <w:rPr>
                <w:b/>
              </w:rPr>
              <w:t>PRODUCT</w:t>
            </w:r>
          </w:p>
        </w:tc>
      </w:tr>
      <w:tr w:rsidR="00807ABC" w:rsidRPr="00807ABC" w14:paraId="54B495B2" w14:textId="77777777" w:rsidTr="002B6578">
        <w:tc>
          <w:tcPr>
            <w:tcW w:w="3096" w:type="dxa"/>
          </w:tcPr>
          <w:p w14:paraId="0799D225" w14:textId="77777777" w:rsidR="00D864A6" w:rsidRPr="00807ABC" w:rsidRDefault="00D864A6" w:rsidP="00B74BFB">
            <w:pPr>
              <w:jc w:val="both"/>
            </w:pPr>
            <w:r w:rsidRPr="00807ABC">
              <w:t>WP1 (2020-2022)</w:t>
            </w:r>
          </w:p>
        </w:tc>
        <w:tc>
          <w:tcPr>
            <w:tcW w:w="3096" w:type="dxa"/>
          </w:tcPr>
          <w:p w14:paraId="331F8805" w14:textId="77777777" w:rsidR="00D864A6" w:rsidRPr="00807ABC" w:rsidRDefault="00D864A6" w:rsidP="00B74BFB">
            <w:pPr>
              <w:jc w:val="both"/>
            </w:pPr>
            <w:r w:rsidRPr="00807ABC">
              <w:t>WP2 (2023-2026)</w:t>
            </w:r>
          </w:p>
        </w:tc>
        <w:tc>
          <w:tcPr>
            <w:tcW w:w="3096" w:type="dxa"/>
          </w:tcPr>
          <w:p w14:paraId="5BB1F298" w14:textId="6525F55C" w:rsidR="00D864A6" w:rsidRPr="00807ABC" w:rsidRDefault="00D864A6" w:rsidP="00B74BFB">
            <w:pPr>
              <w:jc w:val="both"/>
            </w:pPr>
            <w:r w:rsidRPr="00807ABC">
              <w:t>A (2027-2035)</w:t>
            </w:r>
          </w:p>
        </w:tc>
      </w:tr>
    </w:tbl>
    <w:p w14:paraId="1028A02C" w14:textId="1B3FCB0B" w:rsidR="00D864A6" w:rsidRPr="00807ABC" w:rsidRDefault="00D864A6" w:rsidP="00B74BFB">
      <w:pPr>
        <w:jc w:val="both"/>
      </w:pPr>
      <w:r w:rsidRPr="00807ABC">
        <w:t>Example 1 refers to a company with just one RD</w:t>
      </w:r>
      <w:r w:rsidR="008F5447" w:rsidRPr="00807ABC">
        <w:t>I</w:t>
      </w:r>
      <w:r w:rsidRPr="00807ABC">
        <w:t xml:space="preserve"> work package (WP1) and one FID work package (WP2), which result in a final product that will be in mass production phase from 2027 to 2035. </w:t>
      </w:r>
    </w:p>
    <w:p w14:paraId="587F8B20" w14:textId="538ECDC1" w:rsidR="00D864A6" w:rsidRPr="00807ABC" w:rsidRDefault="00D864A6" w:rsidP="00B74BFB">
      <w:pPr>
        <w:jc w:val="both"/>
        <w:rPr>
          <w:u w:val="single"/>
        </w:rPr>
      </w:pPr>
      <w:r w:rsidRPr="00807ABC">
        <w:rPr>
          <w:u w:val="single"/>
        </w:rPr>
        <w:t>Example 2: Company with two RD</w:t>
      </w:r>
      <w:r w:rsidR="008648A6" w:rsidRPr="00807ABC">
        <w:rPr>
          <w:u w:val="single"/>
        </w:rPr>
        <w:t>I</w:t>
      </w:r>
      <w:r w:rsidRPr="00807ABC">
        <w:rPr>
          <w:u w:val="single"/>
        </w:rPr>
        <w:t xml:space="preserve"> WPs, one FID WP and one final product</w:t>
      </w:r>
    </w:p>
    <w:tbl>
      <w:tblPr>
        <w:tblStyle w:val="TableGrid"/>
        <w:tblW w:w="0" w:type="auto"/>
        <w:tblLook w:val="04A0" w:firstRow="1" w:lastRow="0" w:firstColumn="1" w:lastColumn="0" w:noHBand="0" w:noVBand="1"/>
      </w:tblPr>
      <w:tblGrid>
        <w:gridCol w:w="3096"/>
        <w:gridCol w:w="3096"/>
        <w:gridCol w:w="3096"/>
      </w:tblGrid>
      <w:tr w:rsidR="00807ABC" w:rsidRPr="00807ABC" w14:paraId="1ABE62A5" w14:textId="77777777" w:rsidTr="002B6578">
        <w:tc>
          <w:tcPr>
            <w:tcW w:w="3096" w:type="dxa"/>
          </w:tcPr>
          <w:p w14:paraId="300927B0" w14:textId="23161C97" w:rsidR="00D864A6" w:rsidRPr="00807ABC" w:rsidRDefault="00D864A6" w:rsidP="00B74BFB">
            <w:pPr>
              <w:jc w:val="both"/>
              <w:rPr>
                <w:b/>
              </w:rPr>
            </w:pPr>
            <w:r w:rsidRPr="00807ABC">
              <w:rPr>
                <w:b/>
              </w:rPr>
              <w:t>RD</w:t>
            </w:r>
            <w:r w:rsidR="008F5447" w:rsidRPr="00807ABC">
              <w:rPr>
                <w:b/>
              </w:rPr>
              <w:t>I</w:t>
            </w:r>
          </w:p>
        </w:tc>
        <w:tc>
          <w:tcPr>
            <w:tcW w:w="3096" w:type="dxa"/>
          </w:tcPr>
          <w:p w14:paraId="6A445557" w14:textId="77777777" w:rsidR="00D864A6" w:rsidRPr="00807ABC" w:rsidRDefault="00D864A6" w:rsidP="00B74BFB">
            <w:pPr>
              <w:jc w:val="both"/>
              <w:rPr>
                <w:b/>
              </w:rPr>
            </w:pPr>
            <w:r w:rsidRPr="00807ABC">
              <w:rPr>
                <w:b/>
              </w:rPr>
              <w:t>FID</w:t>
            </w:r>
          </w:p>
        </w:tc>
        <w:tc>
          <w:tcPr>
            <w:tcW w:w="3096" w:type="dxa"/>
          </w:tcPr>
          <w:p w14:paraId="5A8AD29B" w14:textId="77777777" w:rsidR="00D864A6" w:rsidRPr="00807ABC" w:rsidRDefault="00D864A6" w:rsidP="00B74BFB">
            <w:pPr>
              <w:jc w:val="both"/>
              <w:rPr>
                <w:b/>
              </w:rPr>
            </w:pPr>
            <w:r w:rsidRPr="00807ABC">
              <w:rPr>
                <w:b/>
              </w:rPr>
              <w:t>PRODUCT</w:t>
            </w:r>
          </w:p>
        </w:tc>
      </w:tr>
      <w:tr w:rsidR="00807ABC" w:rsidRPr="00807ABC" w14:paraId="0312EFDD" w14:textId="77777777" w:rsidTr="002B6578">
        <w:tc>
          <w:tcPr>
            <w:tcW w:w="3096" w:type="dxa"/>
          </w:tcPr>
          <w:p w14:paraId="14DB21B8" w14:textId="77777777" w:rsidR="00D864A6" w:rsidRPr="00807ABC" w:rsidRDefault="00D864A6" w:rsidP="00B74BFB">
            <w:pPr>
              <w:jc w:val="both"/>
            </w:pPr>
            <w:r w:rsidRPr="00807ABC">
              <w:t>WP1 (2020-2022)</w:t>
            </w:r>
          </w:p>
        </w:tc>
        <w:tc>
          <w:tcPr>
            <w:tcW w:w="3096" w:type="dxa"/>
            <w:vMerge w:val="restart"/>
            <w:vAlign w:val="center"/>
          </w:tcPr>
          <w:p w14:paraId="35A95827" w14:textId="77777777" w:rsidR="00D864A6" w:rsidRPr="00807ABC" w:rsidRDefault="00D864A6" w:rsidP="00B74BFB">
            <w:pPr>
              <w:jc w:val="both"/>
            </w:pPr>
            <w:r w:rsidRPr="00807ABC">
              <w:t>WP3 (2023-2026)</w:t>
            </w:r>
          </w:p>
        </w:tc>
        <w:tc>
          <w:tcPr>
            <w:tcW w:w="3096" w:type="dxa"/>
            <w:vMerge w:val="restart"/>
            <w:vAlign w:val="center"/>
          </w:tcPr>
          <w:p w14:paraId="3CA78E82" w14:textId="6D974927" w:rsidR="00D864A6" w:rsidRPr="00807ABC" w:rsidRDefault="00D864A6" w:rsidP="00B74BFB">
            <w:pPr>
              <w:jc w:val="both"/>
            </w:pPr>
            <w:r w:rsidRPr="00807ABC">
              <w:t>A (2027-2035)</w:t>
            </w:r>
          </w:p>
        </w:tc>
      </w:tr>
      <w:tr w:rsidR="00807ABC" w:rsidRPr="00807ABC" w14:paraId="6DA2028D" w14:textId="77777777" w:rsidTr="002B6578">
        <w:tc>
          <w:tcPr>
            <w:tcW w:w="3096" w:type="dxa"/>
          </w:tcPr>
          <w:p w14:paraId="0888B493" w14:textId="77777777" w:rsidR="00D864A6" w:rsidRPr="00807ABC" w:rsidRDefault="00D864A6" w:rsidP="00B74BFB">
            <w:pPr>
              <w:jc w:val="both"/>
            </w:pPr>
            <w:r w:rsidRPr="00807ABC">
              <w:t>WP2 (2020-2022)</w:t>
            </w:r>
          </w:p>
        </w:tc>
        <w:tc>
          <w:tcPr>
            <w:tcW w:w="3096" w:type="dxa"/>
            <w:vMerge/>
          </w:tcPr>
          <w:p w14:paraId="7F842339" w14:textId="77777777" w:rsidR="00D864A6" w:rsidRPr="00807ABC" w:rsidRDefault="00D864A6" w:rsidP="00B74BFB">
            <w:pPr>
              <w:jc w:val="both"/>
            </w:pPr>
          </w:p>
        </w:tc>
        <w:tc>
          <w:tcPr>
            <w:tcW w:w="3096" w:type="dxa"/>
            <w:vMerge/>
          </w:tcPr>
          <w:p w14:paraId="0B483EE8" w14:textId="77777777" w:rsidR="00D864A6" w:rsidRPr="00807ABC" w:rsidRDefault="00D864A6" w:rsidP="00B74BFB">
            <w:pPr>
              <w:jc w:val="both"/>
            </w:pPr>
          </w:p>
        </w:tc>
      </w:tr>
    </w:tbl>
    <w:p w14:paraId="7C629470" w14:textId="795D3877" w:rsidR="00D864A6" w:rsidRPr="00807ABC" w:rsidRDefault="00D864A6" w:rsidP="00B74BFB">
      <w:pPr>
        <w:jc w:val="both"/>
      </w:pPr>
      <w:r w:rsidRPr="00807ABC">
        <w:t>Example 2 refers to a company with two RD</w:t>
      </w:r>
      <w:r w:rsidR="008F5447" w:rsidRPr="00807ABC">
        <w:t>I</w:t>
      </w:r>
      <w:r w:rsidRPr="00807ABC">
        <w:t xml:space="preserve"> work packages (WP1 and WP2) whose outcomes are aimed to be used for one FID work package (WP3). This FID work package will then result in a final product that will be in mass production phase from 2027 to 2035.</w:t>
      </w:r>
    </w:p>
    <w:p w14:paraId="31B57D59" w14:textId="519D512B" w:rsidR="00D864A6" w:rsidRPr="00807ABC" w:rsidRDefault="00D864A6" w:rsidP="00B74BFB">
      <w:pPr>
        <w:jc w:val="both"/>
        <w:rPr>
          <w:u w:val="single"/>
        </w:rPr>
      </w:pPr>
      <w:r w:rsidRPr="00807ABC">
        <w:rPr>
          <w:u w:val="single"/>
        </w:rPr>
        <w:t>Example 3: Company with four RD</w:t>
      </w:r>
      <w:r w:rsidR="008F5447" w:rsidRPr="00807ABC">
        <w:rPr>
          <w:u w:val="single"/>
        </w:rPr>
        <w:t>I</w:t>
      </w:r>
      <w:r w:rsidRPr="00807ABC">
        <w:rPr>
          <w:u w:val="single"/>
        </w:rPr>
        <w:t xml:space="preserve"> WP, two FID WP and two final products</w:t>
      </w:r>
    </w:p>
    <w:tbl>
      <w:tblPr>
        <w:tblStyle w:val="TableGrid"/>
        <w:tblW w:w="0" w:type="auto"/>
        <w:tblLook w:val="04A0" w:firstRow="1" w:lastRow="0" w:firstColumn="1" w:lastColumn="0" w:noHBand="0" w:noVBand="1"/>
      </w:tblPr>
      <w:tblGrid>
        <w:gridCol w:w="3096"/>
        <w:gridCol w:w="3096"/>
        <w:gridCol w:w="3096"/>
      </w:tblGrid>
      <w:tr w:rsidR="00807ABC" w:rsidRPr="00807ABC" w14:paraId="425A7904" w14:textId="77777777" w:rsidTr="002B6578">
        <w:tc>
          <w:tcPr>
            <w:tcW w:w="3096" w:type="dxa"/>
          </w:tcPr>
          <w:p w14:paraId="1A968D2F" w14:textId="22539C5B" w:rsidR="00D864A6" w:rsidRPr="00807ABC" w:rsidRDefault="00D864A6" w:rsidP="00B74BFB">
            <w:pPr>
              <w:jc w:val="both"/>
              <w:rPr>
                <w:b/>
              </w:rPr>
            </w:pPr>
            <w:r w:rsidRPr="00807ABC">
              <w:rPr>
                <w:b/>
              </w:rPr>
              <w:t>RD</w:t>
            </w:r>
            <w:r w:rsidR="008F5447" w:rsidRPr="00807ABC">
              <w:rPr>
                <w:b/>
              </w:rPr>
              <w:t>I</w:t>
            </w:r>
          </w:p>
        </w:tc>
        <w:tc>
          <w:tcPr>
            <w:tcW w:w="3096" w:type="dxa"/>
          </w:tcPr>
          <w:p w14:paraId="1CB3135A" w14:textId="77777777" w:rsidR="00D864A6" w:rsidRPr="00807ABC" w:rsidRDefault="00D864A6" w:rsidP="00B74BFB">
            <w:pPr>
              <w:jc w:val="both"/>
              <w:rPr>
                <w:b/>
              </w:rPr>
            </w:pPr>
            <w:r w:rsidRPr="00807ABC">
              <w:rPr>
                <w:b/>
              </w:rPr>
              <w:t>FID</w:t>
            </w:r>
          </w:p>
        </w:tc>
        <w:tc>
          <w:tcPr>
            <w:tcW w:w="3096" w:type="dxa"/>
          </w:tcPr>
          <w:p w14:paraId="1CFA1DEB" w14:textId="77777777" w:rsidR="00D864A6" w:rsidRPr="00807ABC" w:rsidRDefault="00D864A6" w:rsidP="00B74BFB">
            <w:pPr>
              <w:jc w:val="both"/>
              <w:rPr>
                <w:b/>
              </w:rPr>
            </w:pPr>
            <w:r w:rsidRPr="00807ABC">
              <w:rPr>
                <w:b/>
              </w:rPr>
              <w:t>PRODUCT</w:t>
            </w:r>
          </w:p>
        </w:tc>
      </w:tr>
      <w:tr w:rsidR="00807ABC" w:rsidRPr="00807ABC" w14:paraId="39C33E52" w14:textId="77777777" w:rsidTr="002B6578">
        <w:tc>
          <w:tcPr>
            <w:tcW w:w="3096" w:type="dxa"/>
          </w:tcPr>
          <w:p w14:paraId="23E17495" w14:textId="77777777" w:rsidR="00D864A6" w:rsidRPr="00807ABC" w:rsidRDefault="00D864A6" w:rsidP="00B74BFB">
            <w:pPr>
              <w:jc w:val="both"/>
            </w:pPr>
            <w:r w:rsidRPr="00807ABC">
              <w:t>WP1 (2020-2022)</w:t>
            </w:r>
          </w:p>
        </w:tc>
        <w:tc>
          <w:tcPr>
            <w:tcW w:w="3096" w:type="dxa"/>
            <w:vMerge w:val="restart"/>
            <w:vAlign w:val="center"/>
          </w:tcPr>
          <w:p w14:paraId="1B4241B6" w14:textId="77777777" w:rsidR="00D864A6" w:rsidRPr="00807ABC" w:rsidRDefault="00D864A6" w:rsidP="00B74BFB">
            <w:pPr>
              <w:jc w:val="both"/>
            </w:pPr>
            <w:r w:rsidRPr="00807ABC">
              <w:t>WP5 (2023-2026)</w:t>
            </w:r>
          </w:p>
        </w:tc>
        <w:tc>
          <w:tcPr>
            <w:tcW w:w="3096" w:type="dxa"/>
            <w:vMerge w:val="restart"/>
            <w:vAlign w:val="center"/>
          </w:tcPr>
          <w:p w14:paraId="57DFA4D4" w14:textId="6E9D0F42" w:rsidR="00D864A6" w:rsidRPr="00807ABC" w:rsidRDefault="00D864A6" w:rsidP="00B74BFB">
            <w:pPr>
              <w:jc w:val="both"/>
            </w:pPr>
            <w:r w:rsidRPr="00807ABC">
              <w:t>A (2027-2035)</w:t>
            </w:r>
          </w:p>
        </w:tc>
      </w:tr>
      <w:tr w:rsidR="00807ABC" w:rsidRPr="00807ABC" w14:paraId="1927A806" w14:textId="77777777" w:rsidTr="002B6578">
        <w:tc>
          <w:tcPr>
            <w:tcW w:w="3096" w:type="dxa"/>
          </w:tcPr>
          <w:p w14:paraId="123A9972" w14:textId="77777777" w:rsidR="00D864A6" w:rsidRPr="00807ABC" w:rsidRDefault="00D864A6" w:rsidP="00B74BFB">
            <w:pPr>
              <w:jc w:val="both"/>
            </w:pPr>
            <w:r w:rsidRPr="00807ABC">
              <w:t>WP2 (2020-2022)</w:t>
            </w:r>
          </w:p>
        </w:tc>
        <w:tc>
          <w:tcPr>
            <w:tcW w:w="3096" w:type="dxa"/>
            <w:vMerge/>
          </w:tcPr>
          <w:p w14:paraId="6D1D7318" w14:textId="77777777" w:rsidR="00D864A6" w:rsidRPr="00807ABC" w:rsidRDefault="00D864A6" w:rsidP="00B74BFB">
            <w:pPr>
              <w:jc w:val="both"/>
            </w:pPr>
          </w:p>
        </w:tc>
        <w:tc>
          <w:tcPr>
            <w:tcW w:w="3096" w:type="dxa"/>
            <w:vMerge/>
          </w:tcPr>
          <w:p w14:paraId="1DD540E7" w14:textId="77777777" w:rsidR="00D864A6" w:rsidRPr="00807ABC" w:rsidRDefault="00D864A6" w:rsidP="00B74BFB">
            <w:pPr>
              <w:jc w:val="both"/>
            </w:pPr>
          </w:p>
        </w:tc>
      </w:tr>
      <w:tr w:rsidR="00807ABC" w:rsidRPr="00807ABC" w14:paraId="3DFFB698" w14:textId="77777777" w:rsidTr="002B6578">
        <w:tc>
          <w:tcPr>
            <w:tcW w:w="3096" w:type="dxa"/>
          </w:tcPr>
          <w:p w14:paraId="2165BA4F" w14:textId="77777777" w:rsidR="00D864A6" w:rsidRPr="00807ABC" w:rsidRDefault="00D864A6" w:rsidP="00B74BFB">
            <w:pPr>
              <w:jc w:val="both"/>
            </w:pPr>
            <w:r w:rsidRPr="00807ABC">
              <w:t>WP3 (2020-2022)</w:t>
            </w:r>
          </w:p>
        </w:tc>
        <w:tc>
          <w:tcPr>
            <w:tcW w:w="3096" w:type="dxa"/>
            <w:vMerge/>
          </w:tcPr>
          <w:p w14:paraId="56A93127" w14:textId="77777777" w:rsidR="00D864A6" w:rsidRPr="00807ABC" w:rsidRDefault="00D864A6" w:rsidP="00B74BFB">
            <w:pPr>
              <w:jc w:val="both"/>
            </w:pPr>
          </w:p>
        </w:tc>
        <w:tc>
          <w:tcPr>
            <w:tcW w:w="3096" w:type="dxa"/>
            <w:vMerge/>
          </w:tcPr>
          <w:p w14:paraId="33CF97CF" w14:textId="77777777" w:rsidR="00D864A6" w:rsidRPr="00807ABC" w:rsidRDefault="00D864A6" w:rsidP="00B74BFB">
            <w:pPr>
              <w:jc w:val="both"/>
            </w:pPr>
          </w:p>
        </w:tc>
      </w:tr>
      <w:tr w:rsidR="00807ABC" w:rsidRPr="00807ABC" w14:paraId="274E840A" w14:textId="77777777" w:rsidTr="002B6578">
        <w:tc>
          <w:tcPr>
            <w:tcW w:w="3096" w:type="dxa"/>
          </w:tcPr>
          <w:p w14:paraId="160CA942" w14:textId="77777777" w:rsidR="00D864A6" w:rsidRPr="00807ABC" w:rsidRDefault="00D864A6" w:rsidP="00B74BFB">
            <w:pPr>
              <w:jc w:val="both"/>
            </w:pPr>
            <w:r w:rsidRPr="00807ABC">
              <w:t>WP4 (2020-2024)</w:t>
            </w:r>
          </w:p>
        </w:tc>
        <w:tc>
          <w:tcPr>
            <w:tcW w:w="3096" w:type="dxa"/>
          </w:tcPr>
          <w:p w14:paraId="7EC5F9C0" w14:textId="77777777" w:rsidR="00D864A6" w:rsidRPr="00807ABC" w:rsidRDefault="00D864A6" w:rsidP="00B74BFB">
            <w:pPr>
              <w:jc w:val="both"/>
            </w:pPr>
            <w:r w:rsidRPr="00807ABC">
              <w:t>WP6 (2025-2028)</w:t>
            </w:r>
          </w:p>
        </w:tc>
        <w:tc>
          <w:tcPr>
            <w:tcW w:w="3096" w:type="dxa"/>
          </w:tcPr>
          <w:p w14:paraId="0C0B4479" w14:textId="5C327F23" w:rsidR="00D864A6" w:rsidRPr="00807ABC" w:rsidRDefault="00D864A6" w:rsidP="00B74BFB">
            <w:pPr>
              <w:jc w:val="both"/>
            </w:pPr>
            <w:r w:rsidRPr="00807ABC">
              <w:t>B (2029-2037)</w:t>
            </w:r>
          </w:p>
        </w:tc>
      </w:tr>
    </w:tbl>
    <w:p w14:paraId="6BD3F00A" w14:textId="28784B64" w:rsidR="00D864A6" w:rsidRPr="00807ABC" w:rsidRDefault="00D864A6" w:rsidP="00B74BFB">
      <w:pPr>
        <w:jc w:val="both"/>
      </w:pPr>
      <w:r w:rsidRPr="00807ABC">
        <w:t>Example 3 refers to a company with two sub-projects. The first consists of three RD</w:t>
      </w:r>
      <w:r w:rsidR="008648A6" w:rsidRPr="00807ABC">
        <w:t>I</w:t>
      </w:r>
      <w:r w:rsidRPr="00807ABC">
        <w:t xml:space="preserve"> work packages (WP1, WP2 and WP3) followed by a FID work package (WP5) and resulting in product A. The second sub-project consists of one RD</w:t>
      </w:r>
      <w:r w:rsidR="008F5447" w:rsidRPr="00807ABC">
        <w:t>I</w:t>
      </w:r>
      <w:r w:rsidRPr="00807ABC">
        <w:t xml:space="preserve"> work packages (WP4) and one FID work package (WP6), which will lead to final product B. For this type of company, the Commission services expect a separate template for each of the two sub-projects.</w:t>
      </w:r>
    </w:p>
    <w:p w14:paraId="3ECE64DD" w14:textId="11758F98" w:rsidR="00D864A6" w:rsidRPr="00807ABC" w:rsidRDefault="00D864A6" w:rsidP="00B74BFB">
      <w:pPr>
        <w:jc w:val="both"/>
      </w:pPr>
      <w:r w:rsidRPr="00807ABC">
        <w:t>Please note the following:</w:t>
      </w:r>
    </w:p>
    <w:p w14:paraId="66126E41" w14:textId="1D1F8ED6" w:rsidR="00D864A6" w:rsidRPr="00807ABC" w:rsidRDefault="00D864A6" w:rsidP="00B74BFB">
      <w:pPr>
        <w:pStyle w:val="ListParagraph"/>
        <w:numPr>
          <w:ilvl w:val="0"/>
          <w:numId w:val="10"/>
        </w:numPr>
        <w:jc w:val="both"/>
      </w:pPr>
      <w:r w:rsidRPr="00807ABC">
        <w:t xml:space="preserve">The </w:t>
      </w:r>
      <w:r w:rsidR="006F3591" w:rsidRPr="00807ABC">
        <w:t>template must include all the work packages described in the project portfolio</w:t>
      </w:r>
      <w:r w:rsidRPr="00807ABC">
        <w:t>;</w:t>
      </w:r>
    </w:p>
    <w:p w14:paraId="1EF4661E" w14:textId="0E7A9AD5" w:rsidR="00D864A6" w:rsidRPr="00807ABC" w:rsidRDefault="00D864A6" w:rsidP="00B74BFB">
      <w:pPr>
        <w:pStyle w:val="ListParagraph"/>
        <w:numPr>
          <w:ilvl w:val="0"/>
          <w:numId w:val="10"/>
        </w:numPr>
        <w:jc w:val="both"/>
      </w:pPr>
      <w:r w:rsidRPr="00807ABC">
        <w:t xml:space="preserve">The final </w:t>
      </w:r>
      <w:r w:rsidR="008E088A" w:rsidRPr="00807ABC">
        <w:t xml:space="preserve">innovative </w:t>
      </w:r>
      <w:r w:rsidRPr="00807ABC">
        <w:t>product</w:t>
      </w:r>
      <w:r w:rsidR="008E088A" w:rsidRPr="00807ABC">
        <w:t>/service or process (whichever is applicable)</w:t>
      </w:r>
      <w:r w:rsidRPr="00807ABC">
        <w:t xml:space="preserve"> must be described in sufficient detail (e.g. </w:t>
      </w:r>
      <w:r w:rsidR="006E637C">
        <w:t>materials</w:t>
      </w:r>
      <w:r w:rsidRPr="00807ABC">
        <w:t xml:space="preserve">, </w:t>
      </w:r>
      <w:r w:rsidR="006E637C">
        <w:t>chips, packaging</w:t>
      </w:r>
      <w:r w:rsidRPr="00807ABC">
        <w:t>,</w:t>
      </w:r>
      <w:r w:rsidR="008E088A" w:rsidRPr="00807ABC">
        <w:t xml:space="preserve"> </w:t>
      </w:r>
      <w:r w:rsidRPr="00807ABC">
        <w:t>etc.);</w:t>
      </w:r>
    </w:p>
    <w:p w14:paraId="39F90D9B" w14:textId="16F64E58" w:rsidR="00D864A6" w:rsidRDefault="00D864A6" w:rsidP="00B74BFB">
      <w:pPr>
        <w:pStyle w:val="ListParagraph"/>
        <w:numPr>
          <w:ilvl w:val="0"/>
          <w:numId w:val="10"/>
        </w:numPr>
        <w:jc w:val="both"/>
      </w:pPr>
      <w:r w:rsidRPr="00807ABC">
        <w:t xml:space="preserve">The duration of the work packages and commercialization phase are only for illustration purposes. Companies must fill </w:t>
      </w:r>
      <w:r w:rsidR="006F3591" w:rsidRPr="00807ABC">
        <w:t xml:space="preserve">in </w:t>
      </w:r>
      <w:r w:rsidRPr="00807ABC">
        <w:t xml:space="preserve">the template </w:t>
      </w:r>
      <w:r w:rsidR="006F3591" w:rsidRPr="00807ABC">
        <w:t>based on the characteristics of the work packages they intend to carry out</w:t>
      </w:r>
      <w:r w:rsidRPr="00807ABC">
        <w:t xml:space="preserve">. With regard to the mass production phase, its duration must correspond to the whole expected lifetime of the </w:t>
      </w:r>
      <w:r w:rsidR="006F3591" w:rsidRPr="00807ABC">
        <w:t>product</w:t>
      </w:r>
      <w:r w:rsidRPr="00807ABC">
        <w:t xml:space="preserve"> (see 4.b.v and 4.b.vi above)</w:t>
      </w:r>
      <w:r w:rsidR="006F3591" w:rsidRPr="00807ABC">
        <w:t>.</w:t>
      </w:r>
    </w:p>
    <w:p w14:paraId="02284763" w14:textId="4F16959E" w:rsidR="007578E7" w:rsidRDefault="007578E7">
      <w:r>
        <w:br w:type="page"/>
      </w:r>
    </w:p>
    <w:p w14:paraId="3076BB58" w14:textId="26A525D2" w:rsidR="007578E7" w:rsidRPr="007578E7" w:rsidRDefault="007578E7" w:rsidP="007578E7">
      <w:pPr>
        <w:jc w:val="both"/>
        <w:rPr>
          <w:b/>
        </w:rPr>
      </w:pPr>
      <w:r w:rsidRPr="007578E7">
        <w:rPr>
          <w:b/>
        </w:rPr>
        <w:lastRenderedPageBreak/>
        <w:t>ANNEX II: Interlinks between the new elements of the template and the funding gap calculation</w:t>
      </w:r>
    </w:p>
    <w:p w14:paraId="00A8F2F5" w14:textId="4D233262" w:rsidR="009D0683" w:rsidRDefault="009D0683" w:rsidP="007578E7">
      <w:pPr>
        <w:jc w:val="both"/>
      </w:pPr>
      <w:r>
        <w:t>Tab “WACC”</w:t>
      </w:r>
    </w:p>
    <w:p w14:paraId="5A50BFBA" w14:textId="635E0CAA" w:rsidR="009D0683" w:rsidRDefault="009D0683" w:rsidP="007578E7">
      <w:pPr>
        <w:jc w:val="both"/>
      </w:pPr>
      <w:r>
        <w:t>WACC is calculated automatically in the new tab “WACC” based on the elements input by the companies. The resulting WACC (cell B53 in the “WACC” tab)</w:t>
      </w:r>
      <w:r w:rsidR="000D589A">
        <w:t xml:space="preserve"> flows through to the “Funding Gap” tab (cell B153).</w:t>
      </w:r>
      <w:bookmarkStart w:id="0" w:name="_GoBack"/>
      <w:bookmarkEnd w:id="0"/>
    </w:p>
    <w:p w14:paraId="5195ED7B" w14:textId="4AE9A698" w:rsidR="007578E7" w:rsidRDefault="007578E7" w:rsidP="007578E7">
      <w:pPr>
        <w:jc w:val="both"/>
      </w:pPr>
      <w:r>
        <w:t>Tab “Terminal Value”</w:t>
      </w:r>
    </w:p>
    <w:p w14:paraId="7FC472C1" w14:textId="3AA51E6B" w:rsidR="007578E7" w:rsidRDefault="007578E7" w:rsidP="007578E7">
      <w:pPr>
        <w:jc w:val="both"/>
      </w:pPr>
      <w:r>
        <w:t>Companies need to select their preferred methodology (Residual value of assets or Gordon Growth Formula) and then provide the input need</w:t>
      </w:r>
      <w:r>
        <w:t>ed</w:t>
      </w:r>
      <w:r>
        <w:t xml:space="preserve"> (in the form of data and/or in the form of explanations). Calculations are linked and feed into the “Funding gap” tab.</w:t>
      </w:r>
    </w:p>
    <w:p w14:paraId="2E73459C" w14:textId="6B8CB6A6" w:rsidR="007578E7" w:rsidRDefault="007578E7" w:rsidP="007578E7">
      <w:pPr>
        <w:jc w:val="both"/>
      </w:pPr>
      <w:r>
        <w:t>Tab “Depreciation”</w:t>
      </w:r>
    </w:p>
    <w:p w14:paraId="17422FF1" w14:textId="2E84B2ED" w:rsidR="007578E7" w:rsidRDefault="007578E7" w:rsidP="007578E7">
      <w:pPr>
        <w:jc w:val="both"/>
      </w:pPr>
      <w:r>
        <w:t>Please find a</w:t>
      </w:r>
      <w:r>
        <w:t xml:space="preserve">t the top of the tab the guidance and instructions for the companies to follow </w:t>
      </w:r>
      <w:r>
        <w:t xml:space="preserve">and </w:t>
      </w:r>
      <w:r>
        <w:t xml:space="preserve">insert </w:t>
      </w:r>
      <w:r>
        <w:t xml:space="preserve">the </w:t>
      </w:r>
      <w:r>
        <w:t>explanations and length of depreciation period</w:t>
      </w:r>
      <w:r>
        <w:t>.</w:t>
      </w:r>
    </w:p>
    <w:p w14:paraId="6135E1DA" w14:textId="78206592" w:rsidR="007578E7" w:rsidRDefault="007578E7" w:rsidP="007578E7">
      <w:pPr>
        <w:jc w:val="both"/>
      </w:pPr>
      <w:r>
        <w:t>F</w:t>
      </w:r>
      <w:r>
        <w:t>or each of the three project phases (R&amp;D, FID and mass production), a depreciation table for equipment/instrument and one for buildings</w:t>
      </w:r>
      <w:r>
        <w:t xml:space="preserve"> are provided</w:t>
      </w:r>
      <w:r>
        <w:t xml:space="preserve">, for a total of 6 tables. The depreciation </w:t>
      </w:r>
      <w:r>
        <w:t>i</w:t>
      </w:r>
      <w:r>
        <w:t xml:space="preserve">s calculated automatically, once the input data is inserted. The total depreciations (column U) flows through to the “Funding gap tab” (rows </w:t>
      </w:r>
      <w:r w:rsidR="009D0683">
        <w:t>30</w:t>
      </w:r>
      <w:r>
        <w:t>, 3</w:t>
      </w:r>
      <w:r w:rsidR="009D0683">
        <w:t>4</w:t>
      </w:r>
      <w:r>
        <w:t xml:space="preserve">, </w:t>
      </w:r>
      <w:r w:rsidR="009D0683">
        <w:t>50</w:t>
      </w:r>
      <w:r>
        <w:t>, 5</w:t>
      </w:r>
      <w:r w:rsidR="009D0683">
        <w:t>4</w:t>
      </w:r>
      <w:r>
        <w:t xml:space="preserve">, </w:t>
      </w:r>
      <w:r w:rsidR="009D0683">
        <w:t>70</w:t>
      </w:r>
      <w:r>
        <w:t xml:space="preserve"> and 7</w:t>
      </w:r>
      <w:r w:rsidR="009D0683">
        <w:t>4</w:t>
      </w:r>
      <w:r>
        <w:t xml:space="preserve">). </w:t>
      </w:r>
    </w:p>
    <w:p w14:paraId="6B2655F7" w14:textId="03A68B1D" w:rsidR="007578E7" w:rsidRDefault="007578E7" w:rsidP="007578E7">
      <w:pPr>
        <w:jc w:val="both"/>
      </w:pPr>
      <w:r>
        <w:t>Tab “Funding gap”</w:t>
      </w:r>
    </w:p>
    <w:p w14:paraId="38BCC28B" w14:textId="55759813" w:rsidR="007578E7" w:rsidRDefault="007578E7" w:rsidP="007578E7">
      <w:pPr>
        <w:jc w:val="both"/>
      </w:pPr>
      <w:r>
        <w:t>The depreciation rows (</w:t>
      </w:r>
      <w:r w:rsidR="009D0683">
        <w:t>rows 30, 34, 50, 54, 70 and 74</w:t>
      </w:r>
      <w:r>
        <w:t xml:space="preserve">) are now linked to the “Depreciation” tab, as explained above. The depreciation on this tab follows the rules detailed below: </w:t>
      </w:r>
    </w:p>
    <w:p w14:paraId="3C8011DB" w14:textId="13C68AF4" w:rsidR="007578E7" w:rsidRDefault="007578E7" w:rsidP="007578E7">
      <w:pPr>
        <w:pStyle w:val="ListParagraph"/>
        <w:numPr>
          <w:ilvl w:val="0"/>
          <w:numId w:val="11"/>
        </w:numPr>
        <w:jc w:val="both"/>
      </w:pPr>
      <w:r>
        <w:t>for R&amp;D, the depreciation is shown in the R&amp;D depreciation rows (</w:t>
      </w:r>
      <w:r w:rsidR="009D0683">
        <w:t>30</w:t>
      </w:r>
      <w:r>
        <w:t xml:space="preserve"> and 3</w:t>
      </w:r>
      <w:r w:rsidR="009D0683">
        <w:t>4</w:t>
      </w:r>
      <w:r>
        <w:t xml:space="preserve">) just in the R&amp;D years, irrespective of how long the depreciation lasts for ( i.e., if R&amp;D is from 2020 to 2023, then depreciation is reported under R&amp;D from 2020 to 2023). Once the R&amp;D phase is over (following our example, after 2023), any </w:t>
      </w:r>
      <w:r>
        <w:t>remaining</w:t>
      </w:r>
      <w:r>
        <w:t xml:space="preserve"> depreciation belonging to the R&amp;D phase </w:t>
      </w:r>
      <w:r>
        <w:t>i</w:t>
      </w:r>
      <w:r>
        <w:t>s</w:t>
      </w:r>
      <w:r>
        <w:t xml:space="preserve"> then</w:t>
      </w:r>
      <w:r>
        <w:t xml:space="preserve"> added on to the FID depreciation and the R&amp;D depreciation rows are left empty.</w:t>
      </w:r>
    </w:p>
    <w:p w14:paraId="1839E3B7" w14:textId="4736FDA7" w:rsidR="007578E7" w:rsidRDefault="007578E7" w:rsidP="007578E7">
      <w:pPr>
        <w:pStyle w:val="ListParagraph"/>
        <w:numPr>
          <w:ilvl w:val="0"/>
          <w:numId w:val="11"/>
        </w:numPr>
        <w:jc w:val="both"/>
      </w:pPr>
      <w:r>
        <w:t xml:space="preserve">for FID, the depreciation is shown in the </w:t>
      </w:r>
      <w:r w:rsidR="009D0683">
        <w:t>FID depreciation rows (50 and 54</w:t>
      </w:r>
      <w:r>
        <w:t xml:space="preserve">) just in the FID years, irrespective of how long the depreciation lasts for ( i.e., if FID is from 2024 to 2027, then depreciation is reported under FID from 2024 to 2027). Once the FID phase is over (following our example, after 2027), any </w:t>
      </w:r>
      <w:r>
        <w:t>remaining</w:t>
      </w:r>
      <w:r>
        <w:t xml:space="preserve"> depreciation belonging to the FID phase </w:t>
      </w:r>
      <w:r>
        <w:t>i</w:t>
      </w:r>
      <w:r>
        <w:t>s added on to the mass production depreciation and the FID depreciation rows are left empty.</w:t>
      </w:r>
    </w:p>
    <w:p w14:paraId="7FE19F32" w14:textId="6DEA2711" w:rsidR="007578E7" w:rsidRDefault="007578E7" w:rsidP="007578E7">
      <w:pPr>
        <w:pStyle w:val="ListParagraph"/>
        <w:numPr>
          <w:ilvl w:val="0"/>
          <w:numId w:val="11"/>
        </w:numPr>
        <w:jc w:val="both"/>
      </w:pPr>
      <w:r>
        <w:t xml:space="preserve">For mass production, the depreciation is shown in rows </w:t>
      </w:r>
      <w:r w:rsidR="009D0683">
        <w:t>70</w:t>
      </w:r>
      <w:r>
        <w:t xml:space="preserve"> and 7</w:t>
      </w:r>
      <w:r w:rsidR="009D0683">
        <w:t>4</w:t>
      </w:r>
      <w:r>
        <w:t xml:space="preserve"> and captures the depreciation belonging to the mass production phase, as well as any </w:t>
      </w:r>
      <w:r>
        <w:t xml:space="preserve">remaining </w:t>
      </w:r>
      <w:r>
        <w:t>depreciation from the two other phases.</w:t>
      </w:r>
    </w:p>
    <w:p w14:paraId="6F6A90E0" w14:textId="77777777" w:rsidR="007578E7" w:rsidRDefault="007578E7" w:rsidP="007578E7">
      <w:pPr>
        <w:jc w:val="both"/>
      </w:pPr>
    </w:p>
    <w:p w14:paraId="28A8B126" w14:textId="06CF0B9D" w:rsidR="007578E7" w:rsidRDefault="007578E7" w:rsidP="007578E7">
      <w:pPr>
        <w:jc w:val="both"/>
      </w:pPr>
      <w:r>
        <w:t>D</w:t>
      </w:r>
      <w:r>
        <w:t>ates – rows 12 to 16 now give companies the possibility to select their own start and end year for the various phases, as well as their chosen valuation date (we are simplifying here and only asking companies to provide the year). The valuation da</w:t>
      </w:r>
      <w:r w:rsidR="00D7104A">
        <w:t>te feeds into the discounted cash flows</w:t>
      </w:r>
      <w:r>
        <w:t xml:space="preserve"> calculation.</w:t>
      </w:r>
    </w:p>
    <w:p w14:paraId="3300D907" w14:textId="77777777" w:rsidR="007578E7" w:rsidRPr="00807ABC" w:rsidRDefault="007578E7" w:rsidP="007578E7">
      <w:pPr>
        <w:jc w:val="both"/>
      </w:pPr>
    </w:p>
    <w:sectPr w:rsidR="007578E7" w:rsidRPr="00807ABC">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DC4C6A" w14:textId="77777777" w:rsidR="00D012B5" w:rsidRDefault="00D012B5" w:rsidP="009F712B">
      <w:pPr>
        <w:spacing w:after="0" w:line="240" w:lineRule="auto"/>
      </w:pPr>
      <w:r>
        <w:separator/>
      </w:r>
    </w:p>
  </w:endnote>
  <w:endnote w:type="continuationSeparator" w:id="0">
    <w:p w14:paraId="59B0E70B" w14:textId="77777777" w:rsidR="00D012B5" w:rsidRDefault="00D012B5" w:rsidP="009F7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43345" w14:textId="77777777" w:rsidR="009E2EC1" w:rsidRDefault="009E2E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4BBE4" w14:textId="77777777" w:rsidR="009E2EC1" w:rsidRDefault="009E2E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8E8D9" w14:textId="77777777" w:rsidR="009E2EC1" w:rsidRDefault="009E2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08F908" w14:textId="77777777" w:rsidR="00D012B5" w:rsidRDefault="00D012B5" w:rsidP="009F712B">
      <w:pPr>
        <w:spacing w:after="0" w:line="240" w:lineRule="auto"/>
      </w:pPr>
      <w:r>
        <w:separator/>
      </w:r>
    </w:p>
  </w:footnote>
  <w:footnote w:type="continuationSeparator" w:id="0">
    <w:p w14:paraId="56950CF4" w14:textId="77777777" w:rsidR="00D012B5" w:rsidRDefault="00D012B5" w:rsidP="009F7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87E22" w14:textId="77777777" w:rsidR="009E2EC1" w:rsidRDefault="009E2E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7F2FD" w14:textId="77777777" w:rsidR="009E2EC1" w:rsidRDefault="009E2E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90FD1" w14:textId="77777777" w:rsidR="009E2EC1" w:rsidRDefault="009E2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0787"/>
    <w:multiLevelType w:val="hybridMultilevel"/>
    <w:tmpl w:val="EA429B3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EDEE4C10">
      <w:start w:val="1"/>
      <w:numFmt w:val="lowerRoman"/>
      <w:lvlText w:val="%3."/>
      <w:lvlJc w:val="right"/>
      <w:pPr>
        <w:ind w:left="2160" w:hanging="180"/>
      </w:pPr>
      <w:rPr>
        <w:color w:val="auto"/>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B6FD2"/>
    <w:multiLevelType w:val="hybridMultilevel"/>
    <w:tmpl w:val="3808DB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9706C6"/>
    <w:multiLevelType w:val="hybridMultilevel"/>
    <w:tmpl w:val="0772E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4165F"/>
    <w:multiLevelType w:val="hybridMultilevel"/>
    <w:tmpl w:val="F38622DE"/>
    <w:lvl w:ilvl="0" w:tplc="BEA681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8E4056"/>
    <w:multiLevelType w:val="hybridMultilevel"/>
    <w:tmpl w:val="EAFC7FB6"/>
    <w:lvl w:ilvl="0" w:tplc="08090001">
      <w:start w:val="1"/>
      <w:numFmt w:val="bullet"/>
      <w:lvlText w:val=""/>
      <w:lvlJc w:val="left"/>
      <w:pPr>
        <w:ind w:left="2340" w:hanging="360"/>
      </w:pPr>
      <w:rPr>
        <w:rFonts w:ascii="Symbol" w:hAnsi="Symbol"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5" w15:restartNumberingAfterBreak="0">
    <w:nsid w:val="3F1D0003"/>
    <w:multiLevelType w:val="hybridMultilevel"/>
    <w:tmpl w:val="4F4C88EC"/>
    <w:lvl w:ilvl="0" w:tplc="08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6B76E574" w:tentative="1">
      <w:start w:val="1"/>
      <w:numFmt w:val="decimal"/>
      <w:lvlText w:val="%3)"/>
      <w:lvlJc w:val="left"/>
      <w:pPr>
        <w:tabs>
          <w:tab w:val="num" w:pos="2160"/>
        </w:tabs>
        <w:ind w:left="2160" w:hanging="360"/>
      </w:pPr>
    </w:lvl>
    <w:lvl w:ilvl="3" w:tplc="1396A6E6" w:tentative="1">
      <w:start w:val="1"/>
      <w:numFmt w:val="decimal"/>
      <w:lvlText w:val="%4)"/>
      <w:lvlJc w:val="left"/>
      <w:pPr>
        <w:tabs>
          <w:tab w:val="num" w:pos="2880"/>
        </w:tabs>
        <w:ind w:left="2880" w:hanging="360"/>
      </w:pPr>
    </w:lvl>
    <w:lvl w:ilvl="4" w:tplc="31283624" w:tentative="1">
      <w:start w:val="1"/>
      <w:numFmt w:val="decimal"/>
      <w:lvlText w:val="%5)"/>
      <w:lvlJc w:val="left"/>
      <w:pPr>
        <w:tabs>
          <w:tab w:val="num" w:pos="3600"/>
        </w:tabs>
        <w:ind w:left="3600" w:hanging="360"/>
      </w:pPr>
    </w:lvl>
    <w:lvl w:ilvl="5" w:tplc="8158825A" w:tentative="1">
      <w:start w:val="1"/>
      <w:numFmt w:val="decimal"/>
      <w:lvlText w:val="%6)"/>
      <w:lvlJc w:val="left"/>
      <w:pPr>
        <w:tabs>
          <w:tab w:val="num" w:pos="4320"/>
        </w:tabs>
        <w:ind w:left="4320" w:hanging="360"/>
      </w:pPr>
    </w:lvl>
    <w:lvl w:ilvl="6" w:tplc="3D02BEBA" w:tentative="1">
      <w:start w:val="1"/>
      <w:numFmt w:val="decimal"/>
      <w:lvlText w:val="%7)"/>
      <w:lvlJc w:val="left"/>
      <w:pPr>
        <w:tabs>
          <w:tab w:val="num" w:pos="5040"/>
        </w:tabs>
        <w:ind w:left="5040" w:hanging="360"/>
      </w:pPr>
    </w:lvl>
    <w:lvl w:ilvl="7" w:tplc="69D4407E" w:tentative="1">
      <w:start w:val="1"/>
      <w:numFmt w:val="decimal"/>
      <w:lvlText w:val="%8)"/>
      <w:lvlJc w:val="left"/>
      <w:pPr>
        <w:tabs>
          <w:tab w:val="num" w:pos="5760"/>
        </w:tabs>
        <w:ind w:left="5760" w:hanging="360"/>
      </w:pPr>
    </w:lvl>
    <w:lvl w:ilvl="8" w:tplc="76BED1B0" w:tentative="1">
      <w:start w:val="1"/>
      <w:numFmt w:val="decimal"/>
      <w:lvlText w:val="%9)"/>
      <w:lvlJc w:val="left"/>
      <w:pPr>
        <w:tabs>
          <w:tab w:val="num" w:pos="6480"/>
        </w:tabs>
        <w:ind w:left="6480" w:hanging="360"/>
      </w:pPr>
    </w:lvl>
  </w:abstractNum>
  <w:abstractNum w:abstractNumId="6"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429923E4"/>
    <w:multiLevelType w:val="hybridMultilevel"/>
    <w:tmpl w:val="4678F6FE"/>
    <w:lvl w:ilvl="0" w:tplc="08090001">
      <w:start w:val="1"/>
      <w:numFmt w:val="bullet"/>
      <w:lvlText w:val=""/>
      <w:lvlJc w:val="left"/>
      <w:pPr>
        <w:ind w:left="2700" w:hanging="360"/>
      </w:pPr>
      <w:rPr>
        <w:rFonts w:ascii="Symbol" w:hAnsi="Symbol" w:hint="default"/>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8" w15:restartNumberingAfterBreak="0">
    <w:nsid w:val="6C1B2226"/>
    <w:multiLevelType w:val="hybridMultilevel"/>
    <w:tmpl w:val="A9583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390FD0"/>
    <w:multiLevelType w:val="hybridMultilevel"/>
    <w:tmpl w:val="EAC65A82"/>
    <w:lvl w:ilvl="0" w:tplc="0809000F">
      <w:start w:val="1"/>
      <w:numFmt w:val="decimal"/>
      <w:lvlText w:val="%1."/>
      <w:lvlJc w:val="left"/>
      <w:pPr>
        <w:ind w:left="720" w:hanging="360"/>
      </w:pPr>
    </w:lvl>
    <w:lvl w:ilvl="1" w:tplc="A5BCA212">
      <w:start w:val="1"/>
      <w:numFmt w:val="lowerLetter"/>
      <w:lvlText w:val="%2."/>
      <w:lvlJc w:val="left"/>
      <w:pPr>
        <w:ind w:left="1440" w:hanging="360"/>
      </w:pPr>
      <w:rPr>
        <w:color w:val="auto"/>
      </w:rPr>
    </w:lvl>
    <w:lvl w:ilvl="2" w:tplc="08090001">
      <w:start w:val="1"/>
      <w:numFmt w:val="bullet"/>
      <w:lvlText w:val=""/>
      <w:lvlJc w:val="left"/>
      <w:pPr>
        <w:ind w:left="2160" w:hanging="180"/>
      </w:pPr>
      <w:rPr>
        <w:rFonts w:ascii="Symbol" w:hAnsi="Symbol" w:hint="default"/>
        <w:color w:val="auto"/>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174360"/>
    <w:multiLevelType w:val="hybridMultilevel"/>
    <w:tmpl w:val="F1F6F4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9"/>
  </w:num>
  <w:num w:numId="6">
    <w:abstractNumId w:val="3"/>
  </w:num>
  <w:num w:numId="7">
    <w:abstractNumId w:val="7"/>
  </w:num>
  <w:num w:numId="8">
    <w:abstractNumId w:val="4"/>
  </w:num>
  <w:num w:numId="9">
    <w:abstractNumId w:val="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9F712B"/>
    <w:rsid w:val="00007A5F"/>
    <w:rsid w:val="00041AEC"/>
    <w:rsid w:val="0005639A"/>
    <w:rsid w:val="000D53F2"/>
    <w:rsid w:val="000D589A"/>
    <w:rsid w:val="001336C4"/>
    <w:rsid w:val="002D1A89"/>
    <w:rsid w:val="00351489"/>
    <w:rsid w:val="003A743B"/>
    <w:rsid w:val="003B1E67"/>
    <w:rsid w:val="00451AF6"/>
    <w:rsid w:val="004668FA"/>
    <w:rsid w:val="00505014"/>
    <w:rsid w:val="005105CE"/>
    <w:rsid w:val="0056760E"/>
    <w:rsid w:val="005762C7"/>
    <w:rsid w:val="005A4316"/>
    <w:rsid w:val="005B4CCF"/>
    <w:rsid w:val="005D1D16"/>
    <w:rsid w:val="005D44AE"/>
    <w:rsid w:val="005F337A"/>
    <w:rsid w:val="006077E4"/>
    <w:rsid w:val="00643E62"/>
    <w:rsid w:val="006730F9"/>
    <w:rsid w:val="006E637C"/>
    <w:rsid w:val="006F3591"/>
    <w:rsid w:val="007069EF"/>
    <w:rsid w:val="007578E7"/>
    <w:rsid w:val="007B00F7"/>
    <w:rsid w:val="007F3FF0"/>
    <w:rsid w:val="00807ABC"/>
    <w:rsid w:val="008138C3"/>
    <w:rsid w:val="00815B39"/>
    <w:rsid w:val="00833D49"/>
    <w:rsid w:val="008648A6"/>
    <w:rsid w:val="008E088A"/>
    <w:rsid w:val="008F5447"/>
    <w:rsid w:val="009074B9"/>
    <w:rsid w:val="00946D4E"/>
    <w:rsid w:val="00954C8B"/>
    <w:rsid w:val="009D0683"/>
    <w:rsid w:val="009E1AA2"/>
    <w:rsid w:val="009E2EC1"/>
    <w:rsid w:val="009F2D28"/>
    <w:rsid w:val="009F712B"/>
    <w:rsid w:val="00A22486"/>
    <w:rsid w:val="00A96844"/>
    <w:rsid w:val="00B05B84"/>
    <w:rsid w:val="00B74BFB"/>
    <w:rsid w:val="00BA7536"/>
    <w:rsid w:val="00C51A17"/>
    <w:rsid w:val="00CB6C5B"/>
    <w:rsid w:val="00D012B5"/>
    <w:rsid w:val="00D5001C"/>
    <w:rsid w:val="00D52F59"/>
    <w:rsid w:val="00D54DA9"/>
    <w:rsid w:val="00D7104A"/>
    <w:rsid w:val="00D864A6"/>
    <w:rsid w:val="00DB4A42"/>
    <w:rsid w:val="00DD200A"/>
    <w:rsid w:val="00DD6166"/>
    <w:rsid w:val="00E07F69"/>
    <w:rsid w:val="00F01F76"/>
    <w:rsid w:val="00F37107"/>
    <w:rsid w:val="00F70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0A07C36"/>
  <w15:chartTrackingRefBased/>
  <w15:docId w15:val="{7F91FE61-740B-4EF2-A22A-1B618CDB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1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2B"/>
    <w:pPr>
      <w:ind w:left="720"/>
      <w:contextualSpacing/>
    </w:pPr>
  </w:style>
  <w:style w:type="character" w:styleId="CommentReference">
    <w:name w:val="annotation reference"/>
    <w:basedOn w:val="DefaultParagraphFont"/>
    <w:uiPriority w:val="99"/>
    <w:semiHidden/>
    <w:unhideWhenUsed/>
    <w:rsid w:val="009F712B"/>
    <w:rPr>
      <w:sz w:val="16"/>
      <w:szCs w:val="16"/>
    </w:rPr>
  </w:style>
  <w:style w:type="paragraph" w:styleId="CommentText">
    <w:name w:val="annotation text"/>
    <w:basedOn w:val="Normal"/>
    <w:link w:val="CommentTextChar"/>
    <w:uiPriority w:val="99"/>
    <w:unhideWhenUsed/>
    <w:rsid w:val="009F712B"/>
    <w:pPr>
      <w:spacing w:line="240" w:lineRule="auto"/>
    </w:pPr>
    <w:rPr>
      <w:sz w:val="20"/>
      <w:szCs w:val="20"/>
    </w:rPr>
  </w:style>
  <w:style w:type="character" w:customStyle="1" w:styleId="CommentTextChar">
    <w:name w:val="Comment Text Char"/>
    <w:basedOn w:val="DefaultParagraphFont"/>
    <w:link w:val="CommentText"/>
    <w:uiPriority w:val="99"/>
    <w:rsid w:val="009F712B"/>
    <w:rPr>
      <w:sz w:val="20"/>
      <w:szCs w:val="20"/>
    </w:rPr>
  </w:style>
  <w:style w:type="paragraph" w:styleId="BalloonText">
    <w:name w:val="Balloon Text"/>
    <w:basedOn w:val="Normal"/>
    <w:link w:val="BalloonTextChar"/>
    <w:uiPriority w:val="99"/>
    <w:semiHidden/>
    <w:unhideWhenUsed/>
    <w:rsid w:val="009F71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12B"/>
    <w:rPr>
      <w:rFonts w:ascii="Segoe UI" w:hAnsi="Segoe UI" w:cs="Segoe UI"/>
      <w:sz w:val="18"/>
      <w:szCs w:val="18"/>
    </w:rPr>
  </w:style>
  <w:style w:type="character" w:customStyle="1" w:styleId="ListNumberChar">
    <w:name w:val="List Number Char"/>
    <w:basedOn w:val="DefaultParagraphFont"/>
    <w:link w:val="ListNumber"/>
    <w:semiHidden/>
    <w:locked/>
    <w:rsid w:val="009F712B"/>
  </w:style>
  <w:style w:type="paragraph" w:styleId="ListNumber">
    <w:name w:val="List Number"/>
    <w:basedOn w:val="Normal"/>
    <w:link w:val="ListNumberChar"/>
    <w:semiHidden/>
    <w:unhideWhenUsed/>
    <w:rsid w:val="009F712B"/>
    <w:pPr>
      <w:numPr>
        <w:numId w:val="3"/>
      </w:numPr>
      <w:spacing w:after="240" w:line="240" w:lineRule="auto"/>
      <w:jc w:val="both"/>
    </w:pPr>
  </w:style>
  <w:style w:type="paragraph" w:customStyle="1" w:styleId="ListNumberLevel2">
    <w:name w:val="List Number (Level 2)"/>
    <w:basedOn w:val="Normal"/>
    <w:uiPriority w:val="99"/>
    <w:rsid w:val="009F712B"/>
    <w:pPr>
      <w:numPr>
        <w:ilvl w:val="1"/>
        <w:numId w:val="3"/>
      </w:numPr>
      <w:spacing w:after="240" w:line="240" w:lineRule="auto"/>
      <w:jc w:val="both"/>
    </w:pPr>
    <w:rPr>
      <w:rFonts w:ascii="Times New Roman" w:hAnsi="Times New Roman" w:cs="Times New Roman"/>
      <w:sz w:val="24"/>
      <w:szCs w:val="24"/>
    </w:rPr>
  </w:style>
  <w:style w:type="paragraph" w:customStyle="1" w:styleId="ListNumberLevel3">
    <w:name w:val="List Number (Level 3)"/>
    <w:basedOn w:val="Normal"/>
    <w:uiPriority w:val="99"/>
    <w:rsid w:val="009F712B"/>
    <w:pPr>
      <w:numPr>
        <w:ilvl w:val="2"/>
        <w:numId w:val="3"/>
      </w:numPr>
      <w:spacing w:after="240" w:line="240" w:lineRule="auto"/>
      <w:jc w:val="both"/>
    </w:pPr>
    <w:rPr>
      <w:rFonts w:ascii="Times New Roman" w:hAnsi="Times New Roman" w:cs="Times New Roman"/>
      <w:sz w:val="24"/>
      <w:szCs w:val="24"/>
    </w:rPr>
  </w:style>
  <w:style w:type="paragraph" w:customStyle="1" w:styleId="ListNumberLevel4">
    <w:name w:val="List Number (Level 4)"/>
    <w:basedOn w:val="Normal"/>
    <w:uiPriority w:val="99"/>
    <w:rsid w:val="009F712B"/>
    <w:pPr>
      <w:numPr>
        <w:ilvl w:val="3"/>
        <w:numId w:val="3"/>
      </w:numPr>
      <w:spacing w:after="240" w:line="240" w:lineRule="auto"/>
      <w:jc w:val="both"/>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9F71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712B"/>
    <w:rPr>
      <w:sz w:val="20"/>
      <w:szCs w:val="20"/>
    </w:rPr>
  </w:style>
  <w:style w:type="character" w:styleId="FootnoteReference">
    <w:name w:val="footnote reference"/>
    <w:basedOn w:val="DefaultParagraphFont"/>
    <w:uiPriority w:val="99"/>
    <w:semiHidden/>
    <w:unhideWhenUsed/>
    <w:rsid w:val="009F712B"/>
    <w:rPr>
      <w:vertAlign w:val="superscript"/>
    </w:rPr>
  </w:style>
  <w:style w:type="paragraph" w:styleId="Header">
    <w:name w:val="header"/>
    <w:basedOn w:val="Normal"/>
    <w:link w:val="HeaderChar"/>
    <w:uiPriority w:val="99"/>
    <w:unhideWhenUsed/>
    <w:rsid w:val="009F71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12B"/>
  </w:style>
  <w:style w:type="paragraph" w:styleId="Footer">
    <w:name w:val="footer"/>
    <w:basedOn w:val="Normal"/>
    <w:link w:val="FooterChar"/>
    <w:uiPriority w:val="99"/>
    <w:unhideWhenUsed/>
    <w:rsid w:val="009F71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12B"/>
  </w:style>
  <w:style w:type="paragraph" w:styleId="CommentSubject">
    <w:name w:val="annotation subject"/>
    <w:basedOn w:val="CommentText"/>
    <w:next w:val="CommentText"/>
    <w:link w:val="CommentSubjectChar"/>
    <w:uiPriority w:val="99"/>
    <w:semiHidden/>
    <w:unhideWhenUsed/>
    <w:rsid w:val="00CB6C5B"/>
    <w:rPr>
      <w:b/>
      <w:bCs/>
    </w:rPr>
  </w:style>
  <w:style w:type="character" w:customStyle="1" w:styleId="CommentSubjectChar">
    <w:name w:val="Comment Subject Char"/>
    <w:basedOn w:val="CommentTextChar"/>
    <w:link w:val="CommentSubject"/>
    <w:uiPriority w:val="99"/>
    <w:semiHidden/>
    <w:rsid w:val="00CB6C5B"/>
    <w:rPr>
      <w:b/>
      <w:bCs/>
      <w:sz w:val="20"/>
      <w:szCs w:val="20"/>
    </w:rPr>
  </w:style>
  <w:style w:type="character" w:styleId="PlaceholderText">
    <w:name w:val="Placeholder Text"/>
    <w:basedOn w:val="DefaultParagraphFont"/>
    <w:uiPriority w:val="99"/>
    <w:semiHidden/>
    <w:rsid w:val="00D864A6"/>
    <w:rPr>
      <w:color w:val="808080"/>
    </w:rPr>
  </w:style>
  <w:style w:type="table" w:styleId="TableGrid">
    <w:name w:val="Table Grid"/>
    <w:basedOn w:val="TableNormal"/>
    <w:uiPriority w:val="59"/>
    <w:rsid w:val="00D86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F35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216095">
      <w:bodyDiv w:val="1"/>
      <w:marLeft w:val="0"/>
      <w:marRight w:val="0"/>
      <w:marTop w:val="0"/>
      <w:marBottom w:val="0"/>
      <w:divBdr>
        <w:top w:val="none" w:sz="0" w:space="0" w:color="auto"/>
        <w:left w:val="none" w:sz="0" w:space="0" w:color="auto"/>
        <w:bottom w:val="none" w:sz="0" w:space="0" w:color="auto"/>
        <w:right w:val="none" w:sz="0" w:space="0" w:color="auto"/>
      </w:divBdr>
    </w:div>
    <w:div w:id="145367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DFA0B96-D042-4D73-B284-4B054355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1983</Words>
  <Characters>10238</Characters>
  <Application>Microsoft Office Word</Application>
  <DocSecurity>0</DocSecurity>
  <Lines>204</Lines>
  <Paragraphs>104</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PEDUZZI Rodrigo (COMP)</dc:creator>
  <cp:keywords/>
  <dc:description/>
  <cp:lastModifiedBy>KAUKIEL Kamila (COMP)</cp:lastModifiedBy>
  <cp:revision>5</cp:revision>
  <cp:lastPrinted>2019-11-07T09:32:00Z</cp:lastPrinted>
  <dcterms:created xsi:type="dcterms:W3CDTF">2021-07-16T04:35:00Z</dcterms:created>
  <dcterms:modified xsi:type="dcterms:W3CDTF">2021-07-16T04:46:00Z</dcterms:modified>
</cp:coreProperties>
</file>