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:rsidR="00EA378C" w:rsidRPr="00A274BD" w:rsidRDefault="00EA378C" w:rsidP="00A274BD">
      <w:pPr>
        <w:spacing w:after="120" w:line="240" w:lineRule="auto"/>
        <w:jc w:val="center"/>
        <w:rPr>
          <w:b/>
          <w:color w:val="000000" w:themeColor="text1"/>
          <w:sz w:val="32"/>
          <w:szCs w:val="22"/>
          <w:lang w:val="en-US"/>
        </w:rPr>
      </w:pPr>
    </w:p>
    <w:p w:rsidR="00A274BD" w:rsidRPr="00A16672" w:rsidRDefault="00A274BD" w:rsidP="00A274BD">
      <w:pPr>
        <w:spacing w:after="240" w:line="240" w:lineRule="auto"/>
        <w:jc w:val="center"/>
        <w:rPr>
          <w:b/>
          <w:color w:val="000000" w:themeColor="text1"/>
          <w:sz w:val="40"/>
          <w:lang w:val="en-US"/>
        </w:rPr>
      </w:pPr>
      <w:r w:rsidRPr="00A16672">
        <w:rPr>
          <w:b/>
          <w:color w:val="000000" w:themeColor="text1"/>
          <w:sz w:val="40"/>
          <w:lang w:val="en-US"/>
        </w:rPr>
        <w:t>Project Portfolio</w:t>
      </w:r>
    </w:p>
    <w:p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:rsidR="00EA378C" w:rsidRPr="00A16672" w:rsidRDefault="00277985" w:rsidP="00A274BD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  <w:r w:rsidRPr="00A16672">
        <w:rPr>
          <w:b/>
          <w:color w:val="000000" w:themeColor="text1"/>
          <w:sz w:val="32"/>
          <w:lang w:val="en-US"/>
        </w:rPr>
        <w:t>Company Name</w:t>
      </w:r>
    </w:p>
    <w:p w:rsidR="00FF51C7" w:rsidRPr="00A16672" w:rsidRDefault="00277985" w:rsidP="00FB71D8">
      <w:pPr>
        <w:spacing w:line="240" w:lineRule="auto"/>
        <w:jc w:val="center"/>
        <w:rPr>
          <w:color w:val="000000" w:themeColor="text1"/>
          <w:sz w:val="22"/>
          <w:lang w:val="en-US"/>
        </w:rPr>
      </w:pPr>
      <w:r w:rsidRPr="00A16672">
        <w:rPr>
          <w:color w:val="000000" w:themeColor="text1"/>
          <w:sz w:val="22"/>
          <w:lang w:val="en-US"/>
        </w:rPr>
        <w:t>City</w:t>
      </w:r>
      <w:r w:rsidR="00FF51C7" w:rsidRPr="00A16672">
        <w:rPr>
          <w:color w:val="000000" w:themeColor="text1"/>
          <w:sz w:val="22"/>
          <w:lang w:val="en-US"/>
        </w:rPr>
        <w:t xml:space="preserve">, </w:t>
      </w:r>
      <w:r w:rsidRPr="00A16672">
        <w:rPr>
          <w:color w:val="000000" w:themeColor="text1"/>
          <w:sz w:val="22"/>
          <w:lang w:val="en-US"/>
        </w:rPr>
        <w:t>State</w:t>
      </w:r>
    </w:p>
    <w:p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:rsidR="00B55D32" w:rsidRPr="00A16672" w:rsidRDefault="00D820E2" w:rsidP="00FB71D8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22225</wp:posOffset>
                </wp:positionV>
                <wp:extent cx="1988820" cy="640080"/>
                <wp:effectExtent l="0" t="0" r="0" b="762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882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85" w:rsidRPr="00277985" w:rsidRDefault="00277985" w:rsidP="0027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985">
                              <w:rPr>
                                <w:color w:val="000000" w:themeColor="text1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157.15pt;margin-top:1.75pt;width:156.6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" filled="f" strokecolor="black [3213]" strokeweight=".5pt">
                <v:path arrowok="t"/>
                <v:textbox>
                  <w:txbxContent>
                    <w:p w:rsidR="00277985" w:rsidRPr="00277985" w:rsidRDefault="00277985" w:rsidP="002779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985">
                        <w:rPr>
                          <w:color w:val="000000" w:themeColor="text1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:rsidR="00FF51C7" w:rsidRPr="00A16672" w:rsidRDefault="00FF51C7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:rsidR="00FB71D8" w:rsidRPr="00A16672" w:rsidRDefault="00FB71D8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:rsidR="00FB71D8" w:rsidRPr="00A16672" w:rsidRDefault="00FB71D8" w:rsidP="00B55D32">
      <w:pPr>
        <w:spacing w:after="120" w:line="240" w:lineRule="auto"/>
        <w:jc w:val="center"/>
        <w:rPr>
          <w:b/>
          <w:color w:val="000000" w:themeColor="text1"/>
          <w:sz w:val="22"/>
          <w:szCs w:val="22"/>
          <w:lang w:val="en-US"/>
        </w:rPr>
      </w:pPr>
    </w:p>
    <w:p w:rsidR="00B55D32" w:rsidRPr="00A16672" w:rsidRDefault="00B55D32" w:rsidP="00B55D32">
      <w:pPr>
        <w:spacing w:after="120" w:line="240" w:lineRule="auto"/>
        <w:jc w:val="center"/>
        <w:rPr>
          <w:rFonts w:cs="Arial"/>
          <w:b/>
          <w:sz w:val="22"/>
          <w:szCs w:val="22"/>
          <w:lang w:val="en-US"/>
        </w:rPr>
      </w:pPr>
      <w:r w:rsidRPr="00A16672">
        <w:rPr>
          <w:b/>
          <w:color w:val="000000" w:themeColor="text1"/>
          <w:sz w:val="22"/>
          <w:szCs w:val="22"/>
          <w:lang w:val="en-US"/>
        </w:rPr>
        <w:t>Technology field “</w:t>
      </w:r>
      <w:r w:rsidR="00277985" w:rsidRPr="00A16672">
        <w:rPr>
          <w:rFonts w:cs="Arial"/>
          <w:b/>
          <w:sz w:val="22"/>
          <w:szCs w:val="22"/>
          <w:lang w:val="en-US"/>
        </w:rPr>
        <w:t>XXX</w:t>
      </w:r>
      <w:r w:rsidRPr="00A16672">
        <w:rPr>
          <w:rFonts w:cs="Arial"/>
          <w:b/>
          <w:sz w:val="22"/>
          <w:szCs w:val="22"/>
          <w:lang w:val="en-US"/>
        </w:rPr>
        <w:t>”</w:t>
      </w:r>
    </w:p>
    <w:p w:rsidR="00B55D32" w:rsidRPr="00A16672" w:rsidRDefault="00B55D32" w:rsidP="00A274BD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</w:p>
    <w:p w:rsidR="00FB71D8" w:rsidRPr="00A16672" w:rsidRDefault="00FB71D8">
      <w:pPr>
        <w:spacing w:after="200"/>
        <w:rPr>
          <w:lang w:val="en-US"/>
        </w:rPr>
      </w:pPr>
      <w:r w:rsidRPr="00A16672">
        <w:rPr>
          <w:b/>
          <w:lang w:val="en-US"/>
        </w:rPr>
        <w:br w:type="page"/>
      </w:r>
    </w:p>
    <w:p w:rsidR="000D3006" w:rsidRPr="00A16672" w:rsidRDefault="000D3006" w:rsidP="001D6A22">
      <w:pPr>
        <w:pStyle w:val="ITberschriftAohneNr"/>
        <w:spacing w:beforeLines="60" w:before="144" w:afterLines="60" w:after="144"/>
        <w:rPr>
          <w:b w:val="0"/>
          <w:sz w:val="20"/>
          <w:lang w:val="en-US"/>
        </w:rPr>
      </w:pPr>
    </w:p>
    <w:sdt>
      <w:sdtPr>
        <w:rPr>
          <w:b w:val="0"/>
          <w:bCs w:val="0"/>
          <w:noProof w:val="0"/>
        </w:rPr>
        <w:id w:val="-295146957"/>
        <w:docPartObj>
          <w:docPartGallery w:val="Table of Contents"/>
          <w:docPartUnique/>
        </w:docPartObj>
      </w:sdtPr>
      <w:sdtEndPr/>
      <w:sdtContent>
        <w:p w:rsidR="002933AC" w:rsidRDefault="00BD1368">
          <w:pPr>
            <w:pStyle w:val="Verzeichnis1"/>
            <w:rPr>
              <w:sz w:val="24"/>
              <w:szCs w:val="24"/>
              <w:lang w:val="en-US"/>
            </w:rPr>
          </w:pPr>
          <w:r w:rsidRPr="00A16672">
            <w:rPr>
              <w:sz w:val="24"/>
              <w:szCs w:val="24"/>
              <w:lang w:val="en-US"/>
            </w:rPr>
            <w:t>Table of Content</w:t>
          </w:r>
        </w:p>
        <w:p w:rsidR="00504B99" w:rsidRPr="00504B99" w:rsidRDefault="000173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fr-FR"/>
            </w:rPr>
          </w:pPr>
          <w:r w:rsidRPr="00504B99">
            <w:rPr>
              <w:sz w:val="24"/>
              <w:szCs w:val="24"/>
            </w:rPr>
            <w:fldChar w:fldCharType="begin"/>
          </w:r>
          <w:r w:rsidR="00A274BD" w:rsidRPr="00A16672">
            <w:rPr>
              <w:sz w:val="24"/>
              <w:szCs w:val="24"/>
              <w:lang w:val="en-US"/>
            </w:rPr>
            <w:instrText xml:space="preserve"> TOC \o "1-3" \h \z \u </w:instrText>
          </w:r>
          <w:r w:rsidRPr="00504B99">
            <w:rPr>
              <w:sz w:val="24"/>
              <w:szCs w:val="24"/>
            </w:rPr>
            <w:fldChar w:fldCharType="separate"/>
          </w:r>
          <w:hyperlink w:anchor="_Toc529275637" w:history="1">
            <w:r w:rsidR="00504B99" w:rsidRPr="00C1678F">
              <w:rPr>
                <w:rStyle w:val="Hyperlink"/>
              </w:rPr>
              <w:t>1</w:t>
            </w:r>
            <w:r w:rsidR="00504B99" w:rsidRP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fr-FR"/>
              </w:rPr>
              <w:tab/>
            </w:r>
            <w:r w:rsidR="00504B99" w:rsidRPr="00C1678F">
              <w:rPr>
                <w:rStyle w:val="Hyperlink"/>
              </w:rPr>
              <w:t>Project Outline</w:t>
            </w:r>
            <w:r w:rsidR="00504B9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38" w:history="1">
            <w:r w:rsidR="00504B99" w:rsidRPr="00C1678F">
              <w:rPr>
                <w:rStyle w:val="Hyperlink"/>
                <w:lang w:val="en-US"/>
              </w:rPr>
              <w:t>1.1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US"/>
              </w:rPr>
              <w:t>Company Presentation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_Toc529275638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39" w:history="1">
            <w:r w:rsidR="00504B99" w:rsidRPr="00C1678F">
              <w:rPr>
                <w:rStyle w:val="Hyperlink"/>
                <w:lang w:val="en-US"/>
              </w:rPr>
              <w:t>1.2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US"/>
              </w:rPr>
              <w:t>Objectives of  the company in the IPCEI in all technical fields it’s involved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_Toc529275639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0" w:history="1">
            <w:r w:rsidR="00504B99" w:rsidRPr="00C1678F">
              <w:rPr>
                <w:rStyle w:val="Hyperlink"/>
                <w:lang w:val="en-GB"/>
              </w:rPr>
              <w:t>1.3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R&amp;D Projects Before IPCEI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_Toc529275640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1" w:history="1">
            <w:r w:rsidR="00504B99" w:rsidRPr="00C1678F">
              <w:rPr>
                <w:rStyle w:val="Hyperlink"/>
                <w:lang w:val="en-GB"/>
              </w:rPr>
              <w:t>1.4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Technology and Challenges – R&amp;D&amp;I Activities within IPCEI in all technical filds it’s involved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_Toc529275641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2" w:history="1">
            <w:r w:rsidR="00504B99" w:rsidRPr="00C1678F">
              <w:rPr>
                <w:rStyle w:val="Hyperlink"/>
                <w:lang w:val="en-GB"/>
              </w:rPr>
              <w:t>1.5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First Industrial Deployment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_Toc529275642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3" w:history="1">
            <w:r w:rsidR="00504B99" w:rsidRPr="00C1678F">
              <w:rPr>
                <w:rStyle w:val="Hyperlink"/>
                <w:lang w:val="en-GB"/>
              </w:rPr>
              <w:t>1.6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Intellectual Property Rights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_Toc529275643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4" w:history="1">
            <w:r w:rsidR="00504B99" w:rsidRPr="00C1678F">
              <w:rPr>
                <w:rStyle w:val="Hyperlink"/>
                <w:lang w:val="en-GB"/>
              </w:rPr>
              <w:t>1.7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Work Plan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_Toc529275644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5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5" w:history="1">
            <w:r w:rsidR="00504B99" w:rsidRPr="00C1678F">
              <w:rPr>
                <w:rStyle w:val="Hyperlink"/>
                <w:lang w:val="en-GB"/>
              </w:rPr>
              <w:t>1.8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Investment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_Toc529275645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6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46" w:history="1">
            <w:r w:rsidR="00504B99" w:rsidRPr="00C1678F">
              <w:rPr>
                <w:rStyle w:val="Hyperlink"/>
                <w:noProof/>
                <w:lang w:val="en-US"/>
              </w:rPr>
              <w:t>1.8.1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US"/>
              </w:rPr>
              <w:t>Tools and Equipment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_Toc529275646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6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47" w:history="1">
            <w:r w:rsidR="00504B99" w:rsidRPr="00C1678F">
              <w:rPr>
                <w:rStyle w:val="Hyperlink"/>
                <w:noProof/>
                <w:lang w:val="en-US"/>
              </w:rPr>
              <w:t>1.8.2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US"/>
              </w:rPr>
              <w:t>Construction of Buildings/Laboratory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_Toc529275647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6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48" w:history="1">
            <w:r w:rsidR="00504B99" w:rsidRPr="00C1678F">
              <w:rPr>
                <w:rStyle w:val="Hyperlink"/>
              </w:rPr>
              <w:t>2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</w:rPr>
              <w:t>Budget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_Toc529275648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7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49" w:history="1">
            <w:r w:rsidR="00504B99" w:rsidRPr="00C1678F">
              <w:rPr>
                <w:rStyle w:val="Hyperlink"/>
                <w:lang w:val="en-GB"/>
              </w:rPr>
              <w:t>2.1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Eligible Costs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_Toc529275649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7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0" w:history="1">
            <w:r w:rsidR="00504B99" w:rsidRPr="00C1678F">
              <w:rPr>
                <w:rStyle w:val="Hyperlink"/>
                <w:lang w:val="en-US"/>
              </w:rPr>
              <w:t>2.2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US"/>
              </w:rPr>
              <w:t>State Aid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_Toc529275650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7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51" w:history="1">
            <w:r w:rsidR="00504B99" w:rsidRPr="00C1678F">
              <w:rPr>
                <w:rStyle w:val="Hyperlink"/>
                <w:lang w:val="en-GB"/>
              </w:rPr>
              <w:t>3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Spill-over Effects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_Toc529275651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8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2" w:history="1">
            <w:r w:rsidR="00504B99" w:rsidRPr="00C1678F">
              <w:rPr>
                <w:rStyle w:val="Hyperlink"/>
                <w:lang w:val="en-GB"/>
              </w:rPr>
              <w:t>3.1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Spill-over by non-protected results diffusion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_Toc529275652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8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3" w:history="1">
            <w:r w:rsidR="00504B99" w:rsidRPr="00C1678F">
              <w:rPr>
                <w:rStyle w:val="Hyperlink"/>
                <w:lang w:val="en-GB"/>
              </w:rPr>
              <w:t>3.2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Spill-over by IP protected results diffusion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_Toc529275653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8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4" w:history="1">
            <w:r w:rsidR="00504B99" w:rsidRPr="00C1678F">
              <w:rPr>
                <w:rStyle w:val="Hyperlink"/>
                <w:lang w:val="en-GB"/>
              </w:rPr>
              <w:t>3.3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Spill-over in FID phases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_Toc529275654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8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55" w:history="1">
            <w:r w:rsidR="00504B99" w:rsidRPr="00C1678F">
              <w:rPr>
                <w:rStyle w:val="Hyperlink"/>
                <w:lang w:val="en-GB"/>
              </w:rPr>
              <w:t>4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Other positive effect on the market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_Toc529275655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6" w:history="1">
            <w:r w:rsidR="00504B99" w:rsidRPr="00C1678F">
              <w:rPr>
                <w:rStyle w:val="Hyperlink"/>
                <w:lang w:val="en-GB"/>
              </w:rPr>
              <w:t>4.2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Impact of the Project on Employment and New Investments in Europe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_Toc529275656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7" w:history="1">
            <w:r w:rsidR="00504B99" w:rsidRPr="00C1678F">
              <w:rPr>
                <w:rStyle w:val="Hyperlink"/>
                <w:lang w:val="en-GB"/>
              </w:rPr>
              <w:t>4.3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Environmental protection and energy dependence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_Toc529275657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8" w:history="1">
            <w:r w:rsidR="00504B99" w:rsidRPr="00C1678F">
              <w:rPr>
                <w:rStyle w:val="Hyperlink"/>
                <w:lang w:val="en-GB"/>
              </w:rPr>
              <w:t>4.4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Coordination problems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_Toc529275658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59" w:history="1">
            <w:r w:rsidR="00504B99" w:rsidRPr="00C1678F">
              <w:rPr>
                <w:rStyle w:val="Hyperlink"/>
                <w:lang w:val="en-GB"/>
              </w:rPr>
              <w:t>4.5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Imperfect and asymmetric information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_Toc529275659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60" w:history="1">
            <w:r w:rsidR="00504B99" w:rsidRPr="00C1678F">
              <w:rPr>
                <w:rStyle w:val="Hyperlink"/>
                <w:lang w:val="en-US"/>
              </w:rPr>
              <w:t>4.6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US"/>
              </w:rPr>
              <w:t>Adequacy of the state aid instrument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_Toc529275660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9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61" w:history="1">
            <w:r w:rsidR="00504B99" w:rsidRPr="00C1678F">
              <w:rPr>
                <w:rStyle w:val="Hyperlink"/>
                <w:lang w:val="en-GB"/>
              </w:rPr>
              <w:t>5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Necessity and Proportionality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_Toc529275661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10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62" w:history="1">
            <w:r w:rsidR="00504B99" w:rsidRPr="00C1678F">
              <w:rPr>
                <w:rStyle w:val="Hyperlink"/>
                <w:lang w:val="en-GB"/>
              </w:rPr>
              <w:t>5.1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- Absence of similar projects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_Toc529275662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10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63" w:history="1">
            <w:r w:rsidR="00504B99" w:rsidRPr="00C1678F">
              <w:rPr>
                <w:rStyle w:val="Hyperlink"/>
                <w:lang w:val="en-GB"/>
              </w:rPr>
              <w:t>5.2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Counterfactual scenario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_Toc529275663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10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64" w:history="1">
            <w:r w:rsidR="00504B99" w:rsidRPr="00C1678F">
              <w:rPr>
                <w:rStyle w:val="Hyperlink"/>
                <w:lang w:val="en-GB"/>
              </w:rPr>
              <w:t>6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Elaboration on Terms of the Funding Gap Questionnaire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_Toc529275664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12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65" w:history="1">
            <w:r w:rsidR="00504B99" w:rsidRPr="00C1678F">
              <w:rPr>
                <w:rStyle w:val="Hyperlink"/>
                <w:lang w:val="en-GB"/>
              </w:rPr>
              <w:t>6.1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Incentive effect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_Toc529275665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13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66" w:history="1">
            <w:r w:rsidR="00504B99" w:rsidRPr="00C1678F">
              <w:rPr>
                <w:rStyle w:val="Hyperlink"/>
                <w:noProof/>
                <w:lang w:val="en-GB"/>
              </w:rPr>
              <w:t>6.1.1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Start date of the project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_Toc529275666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67" w:history="1">
            <w:r w:rsidR="00504B99" w:rsidRPr="00C1678F">
              <w:rPr>
                <w:rStyle w:val="Hyperlink"/>
                <w:noProof/>
                <w:lang w:val="en-GB"/>
              </w:rPr>
              <w:t>6.1.2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Increase in R&amp;D and FID efforts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_Toc529275667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68" w:history="1">
            <w:r w:rsidR="00504B99" w:rsidRPr="00C1678F">
              <w:rPr>
                <w:rStyle w:val="Hyperlink"/>
                <w:noProof/>
                <w:lang w:val="en-GB"/>
              </w:rPr>
              <w:t>6.1.3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Risks affecting the project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_Toc529275668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69" w:history="1">
            <w:r w:rsidR="00504B99" w:rsidRPr="00C1678F">
              <w:rPr>
                <w:rStyle w:val="Hyperlink"/>
                <w:lang w:val="en-GB"/>
              </w:rPr>
              <w:t>6.2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Necessity of state aid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_Toc529275669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13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70" w:history="1">
            <w:r w:rsidR="00504B99" w:rsidRPr="00C1678F">
              <w:rPr>
                <w:rStyle w:val="Hyperlink"/>
                <w:lang w:val="en-GB"/>
              </w:rPr>
              <w:t>6.3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Proportionality of state aid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_Toc529275670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13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71" w:history="1">
            <w:r w:rsidR="00504B99" w:rsidRPr="00C1678F">
              <w:rPr>
                <w:rStyle w:val="Hyperlink"/>
                <w:noProof/>
                <w:lang w:val="en-GB"/>
              </w:rPr>
              <w:t>6.3.1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Costs and state aid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_Toc529275671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72" w:history="1">
            <w:r w:rsidR="00504B99" w:rsidRPr="00C1678F">
              <w:rPr>
                <w:rStyle w:val="Hyperlink"/>
                <w:noProof/>
                <w:lang w:val="en-GB"/>
              </w:rPr>
              <w:t>6.3.2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State aid cumulation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_Toc529275672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73" w:history="1">
            <w:r w:rsidR="00504B99" w:rsidRPr="00C1678F">
              <w:rPr>
                <w:rStyle w:val="Hyperlink"/>
                <w:noProof/>
                <w:lang w:val="en-GB"/>
              </w:rPr>
              <w:t>6.3.3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Open selection proceeding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_Toc529275673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13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74" w:history="1">
            <w:r w:rsidR="00504B99" w:rsidRPr="00C1678F">
              <w:rPr>
                <w:rStyle w:val="Hyperlink"/>
                <w:lang w:val="en-GB"/>
              </w:rPr>
              <w:t>7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Limitation of distortion of competition and trade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_Toc529275674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75" w:history="1">
            <w:r w:rsidR="00504B99" w:rsidRPr="00C1678F">
              <w:rPr>
                <w:rStyle w:val="Hyperlink"/>
                <w:lang w:val="en-GB"/>
              </w:rPr>
              <w:t>7.1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Market affected by the state aid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_Toc529275675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76" w:history="1">
            <w:r w:rsidR="00504B99" w:rsidRPr="00C1678F">
              <w:rPr>
                <w:rStyle w:val="Hyperlink"/>
                <w:noProof/>
                <w:lang w:val="en-GB"/>
              </w:rPr>
              <w:t>7.1.1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Current Industry Sector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_Toc529275676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14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29275677" w:history="1">
            <w:r w:rsidR="00504B99" w:rsidRPr="00C1678F">
              <w:rPr>
                <w:rStyle w:val="Hyperlink"/>
                <w:noProof/>
                <w:lang w:val="en-GB"/>
              </w:rPr>
              <w:t>7.1.2</w:t>
            </w:r>
            <w:r w:rsidR="00504B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noProof/>
                <w:lang w:val="en-GB"/>
              </w:rPr>
              <w:t>Market Situation / Share after IPCEI</w:t>
            </w:r>
            <w:r w:rsidR="00504B99">
              <w:rPr>
                <w:noProof/>
                <w:webHidden/>
              </w:rPr>
              <w:tab/>
            </w:r>
            <w:r w:rsidR="00017319">
              <w:rPr>
                <w:noProof/>
                <w:webHidden/>
              </w:rPr>
              <w:fldChar w:fldCharType="begin"/>
            </w:r>
            <w:r w:rsidR="00504B99">
              <w:rPr>
                <w:noProof/>
                <w:webHidden/>
              </w:rPr>
              <w:instrText xml:space="preserve"> PAGEREF _Toc529275677 \h </w:instrText>
            </w:r>
            <w:r w:rsidR="00017319">
              <w:rPr>
                <w:noProof/>
                <w:webHidden/>
              </w:rPr>
            </w:r>
            <w:r w:rsidR="00017319">
              <w:rPr>
                <w:noProof/>
                <w:webHidden/>
              </w:rPr>
              <w:fldChar w:fldCharType="separate"/>
            </w:r>
            <w:r w:rsidR="002933AC">
              <w:rPr>
                <w:noProof/>
                <w:webHidden/>
              </w:rPr>
              <w:t>14</w:t>
            </w:r>
            <w:r w:rsidR="00017319">
              <w:rPr>
                <w:noProof/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78" w:history="1">
            <w:r w:rsidR="00504B99" w:rsidRPr="00C1678F">
              <w:rPr>
                <w:rStyle w:val="Hyperlink"/>
                <w:lang w:val="en-GB"/>
              </w:rPr>
              <w:t>7.2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Limiting distorsion of dynamic incentives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_Toc529275678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79" w:history="1">
            <w:r w:rsidR="00504B99" w:rsidRPr="00C1678F">
              <w:rPr>
                <w:rStyle w:val="Hyperlink"/>
                <w:lang w:val="en-GB"/>
              </w:rPr>
              <w:t>7.3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No strengthening or creation of market power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_Toc529275679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80" w:history="1">
            <w:r w:rsidR="00504B99" w:rsidRPr="00C1678F">
              <w:rPr>
                <w:rStyle w:val="Hyperlink"/>
                <w:lang w:val="en-GB"/>
              </w:rPr>
              <w:t>7.4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Failure to maintain an inefficient market structure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_Toc529275680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fr-FR" w:eastAsia="fr-FR"/>
            </w:rPr>
          </w:pPr>
          <w:hyperlink w:anchor="_Toc529275681" w:history="1">
            <w:r w:rsidR="00504B99" w:rsidRPr="00C1678F">
              <w:rPr>
                <w:rStyle w:val="Hyperlink"/>
                <w:lang w:val="en-GB"/>
              </w:rPr>
              <w:t>7.5</w:t>
            </w:r>
            <w:r w:rsidR="00504B99">
              <w:rPr>
                <w:rFonts w:asciiTheme="minorHAnsi" w:eastAsiaTheme="minorEastAsia" w:hAnsiTheme="minorHAnsi" w:cstheme="minorBidi"/>
                <w:bCs w:val="0"/>
                <w:i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No effect on location activities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_Toc529275681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14</w:t>
            </w:r>
            <w:r w:rsidR="00017319">
              <w:rPr>
                <w:webHidden/>
              </w:rPr>
              <w:fldChar w:fldCharType="end"/>
            </w:r>
          </w:hyperlink>
        </w:p>
        <w:p w:rsidR="00504B99" w:rsidRDefault="0097185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fr-FR" w:eastAsia="fr-FR"/>
            </w:rPr>
          </w:pPr>
          <w:hyperlink w:anchor="_Toc529275682" w:history="1">
            <w:r w:rsidR="00504B99" w:rsidRPr="00C1678F">
              <w:rPr>
                <w:rStyle w:val="Hyperlink"/>
                <w:lang w:val="en-GB"/>
              </w:rPr>
              <w:t>8</w:t>
            </w:r>
            <w:r w:rsidR="00504B9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fr-FR" w:eastAsia="fr-FR"/>
              </w:rPr>
              <w:tab/>
            </w:r>
            <w:r w:rsidR="00504B99" w:rsidRPr="00C1678F">
              <w:rPr>
                <w:rStyle w:val="Hyperlink"/>
                <w:lang w:val="en-GB"/>
              </w:rPr>
              <w:t>Annex to the Portfolio</w:t>
            </w:r>
            <w:r w:rsidR="00504B99">
              <w:rPr>
                <w:webHidden/>
              </w:rPr>
              <w:tab/>
            </w:r>
            <w:r w:rsidR="00017319">
              <w:rPr>
                <w:webHidden/>
              </w:rPr>
              <w:fldChar w:fldCharType="begin"/>
            </w:r>
            <w:r w:rsidR="00504B99">
              <w:rPr>
                <w:webHidden/>
              </w:rPr>
              <w:instrText xml:space="preserve"> PAGEREF _Toc529275682 \h </w:instrText>
            </w:r>
            <w:r w:rsidR="00017319">
              <w:rPr>
                <w:webHidden/>
              </w:rPr>
            </w:r>
            <w:r w:rsidR="00017319">
              <w:rPr>
                <w:webHidden/>
              </w:rPr>
              <w:fldChar w:fldCharType="separate"/>
            </w:r>
            <w:r w:rsidR="002933AC">
              <w:rPr>
                <w:webHidden/>
              </w:rPr>
              <w:t>15</w:t>
            </w:r>
            <w:r w:rsidR="00017319">
              <w:rPr>
                <w:webHidden/>
              </w:rPr>
              <w:fldChar w:fldCharType="end"/>
            </w:r>
          </w:hyperlink>
        </w:p>
        <w:p w:rsidR="00A274BD" w:rsidRPr="00A16672" w:rsidRDefault="00017319" w:rsidP="001D6A22">
          <w:pPr>
            <w:spacing w:beforeLines="60" w:before="144" w:afterLines="60" w:after="144"/>
            <w:rPr>
              <w:sz w:val="28"/>
            </w:rPr>
          </w:pPr>
          <w:r w:rsidRPr="00504B99">
            <w:rPr>
              <w:b/>
              <w:sz w:val="24"/>
              <w:szCs w:val="24"/>
            </w:rPr>
            <w:fldChar w:fldCharType="end"/>
          </w:r>
        </w:p>
      </w:sdtContent>
    </w:sdt>
    <w:p w:rsidR="007C13B3" w:rsidRPr="00504B99" w:rsidRDefault="007C13B3">
      <w:pPr>
        <w:spacing w:after="200"/>
        <w:rPr>
          <w:sz w:val="28"/>
        </w:rPr>
      </w:pPr>
      <w:r w:rsidRPr="000956E9">
        <w:rPr>
          <w:sz w:val="28"/>
        </w:rPr>
        <w:lastRenderedPageBreak/>
        <w:br w:type="page"/>
      </w:r>
    </w:p>
    <w:p w:rsidR="00A274BD" w:rsidRPr="00504B99" w:rsidRDefault="00A274BD" w:rsidP="00A274BD">
      <w:pPr>
        <w:pStyle w:val="ITberschrift1"/>
      </w:pPr>
      <w:bookmarkStart w:id="0" w:name="_Toc495919885"/>
      <w:bookmarkStart w:id="1" w:name="_Toc529275637"/>
      <w:r w:rsidRPr="00504B99">
        <w:lastRenderedPageBreak/>
        <w:t>Project Outline</w:t>
      </w:r>
      <w:bookmarkEnd w:id="0"/>
      <w:bookmarkEnd w:id="1"/>
    </w:p>
    <w:p w:rsidR="00FB71D8" w:rsidRPr="00504B99" w:rsidRDefault="00F96B3D" w:rsidP="00A274BD">
      <w:pPr>
        <w:pStyle w:val="ITberschrift11"/>
        <w:rPr>
          <w:lang w:val="en-US"/>
        </w:rPr>
      </w:pPr>
      <w:bookmarkStart w:id="2" w:name="_Toc529275638"/>
      <w:r w:rsidRPr="00504B99">
        <w:rPr>
          <w:lang w:val="en-US"/>
        </w:rPr>
        <w:t xml:space="preserve">Company </w:t>
      </w:r>
      <w:r w:rsidR="00DD5ED5" w:rsidRPr="00504B99">
        <w:rPr>
          <w:lang w:val="en-US"/>
        </w:rPr>
        <w:t>P</w:t>
      </w:r>
      <w:r w:rsidRPr="00504B99">
        <w:rPr>
          <w:lang w:val="en-US"/>
        </w:rPr>
        <w:t>resentation</w:t>
      </w:r>
      <w:bookmarkEnd w:id="2"/>
    </w:p>
    <w:p w:rsidR="009C5620" w:rsidRPr="00A16672" w:rsidRDefault="00FB71D8" w:rsidP="00A16672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 xml:space="preserve">Please give a brief description of your company and type of company </w:t>
      </w:r>
    </w:p>
    <w:p w:rsidR="00A274BD" w:rsidRPr="00A16672" w:rsidRDefault="00FB71D8" w:rsidP="00A274BD">
      <w:pPr>
        <w:pStyle w:val="ITberschrift11"/>
        <w:rPr>
          <w:lang w:val="en-US"/>
        </w:rPr>
      </w:pPr>
      <w:bookmarkStart w:id="3" w:name="_Toc529275639"/>
      <w:r w:rsidRPr="00A16672">
        <w:rPr>
          <w:lang w:val="en-US"/>
        </w:rPr>
        <w:t>O</w:t>
      </w:r>
      <w:r w:rsidR="00DD5ED5" w:rsidRPr="00A16672">
        <w:rPr>
          <w:lang w:val="en-US"/>
        </w:rPr>
        <w:t xml:space="preserve">bjectives of </w:t>
      </w:r>
      <w:r w:rsidR="009C5620" w:rsidRPr="00A16672">
        <w:rPr>
          <w:lang w:val="en-US"/>
        </w:rPr>
        <w:t xml:space="preserve"> the company in the IPCEI in all technical fields it’s involved</w:t>
      </w:r>
      <w:bookmarkEnd w:id="3"/>
    </w:p>
    <w:p w:rsidR="00277985" w:rsidRPr="00A16672" w:rsidRDefault="00F96B3D" w:rsidP="00504B99">
      <w:pPr>
        <w:pStyle w:val="ITAbsatzohneNr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Please give a brief description of the overall objectives of </w:t>
      </w:r>
      <w:r w:rsidR="00F407AE" w:rsidRPr="00A16672">
        <w:rPr>
          <w:i/>
          <w:lang w:val="en-GB"/>
        </w:rPr>
        <w:t xml:space="preserve">activities in all technical fields you’re involved, linking objectives between technical field. </w:t>
      </w:r>
    </w:p>
    <w:p w:rsidR="00A274BD" w:rsidRPr="00504B99" w:rsidRDefault="00F96B3D" w:rsidP="00A274BD">
      <w:pPr>
        <w:pStyle w:val="ITberschrift11"/>
        <w:rPr>
          <w:lang w:val="en-GB"/>
        </w:rPr>
      </w:pPr>
      <w:bookmarkStart w:id="4" w:name="_Toc529275640"/>
      <w:r w:rsidRPr="000956E9">
        <w:rPr>
          <w:lang w:val="en-GB"/>
        </w:rPr>
        <w:t xml:space="preserve">R&amp;D </w:t>
      </w:r>
      <w:r w:rsidR="00DD5ED5" w:rsidRPr="00504B99">
        <w:rPr>
          <w:lang w:val="en-GB"/>
        </w:rPr>
        <w:t>P</w:t>
      </w:r>
      <w:r w:rsidRPr="00504B99">
        <w:rPr>
          <w:lang w:val="en-GB"/>
        </w:rPr>
        <w:t xml:space="preserve">rojects </w:t>
      </w:r>
      <w:r w:rsidR="00DD5ED5" w:rsidRPr="00504B99">
        <w:rPr>
          <w:lang w:val="en-GB"/>
        </w:rPr>
        <w:t>B</w:t>
      </w:r>
      <w:r w:rsidRPr="00504B99">
        <w:rPr>
          <w:lang w:val="en-GB"/>
        </w:rPr>
        <w:t>efore IPCEI</w:t>
      </w:r>
      <w:bookmarkEnd w:id="4"/>
    </w:p>
    <w:p w:rsidR="00277985" w:rsidRPr="00A16672" w:rsidRDefault="00F96B3D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R&amp;D-parts which were necessary for the IPCEI project and that were carried out before start of the project</w:t>
      </w:r>
      <w:r w:rsidR="00A16672">
        <w:rPr>
          <w:i/>
          <w:lang w:val="en-GB"/>
        </w:rPr>
        <w:t xml:space="preserve"> (background)</w:t>
      </w:r>
      <w:r w:rsidR="009C5620" w:rsidRPr="00A16672">
        <w:rPr>
          <w:i/>
          <w:lang w:val="en-GB"/>
        </w:rPr>
        <w:t>.</w:t>
      </w:r>
    </w:p>
    <w:p w:rsidR="00F96B3D" w:rsidRPr="000956E9" w:rsidRDefault="00F96B3D" w:rsidP="00504B99">
      <w:pPr>
        <w:pStyle w:val="ITberschrift11"/>
        <w:jc w:val="both"/>
        <w:rPr>
          <w:lang w:val="en-GB"/>
        </w:rPr>
      </w:pPr>
      <w:bookmarkStart w:id="5" w:name="_Toc529275641"/>
      <w:r w:rsidRPr="00A16672">
        <w:rPr>
          <w:lang w:val="en-GB"/>
        </w:rPr>
        <w:t>Technology and Challenges – R&amp;D&amp;I Activities within IPCEI</w:t>
      </w:r>
      <w:r w:rsidR="009C5620" w:rsidRPr="00A16672">
        <w:rPr>
          <w:lang w:val="en-GB"/>
        </w:rPr>
        <w:t xml:space="preserve"> in all technical fi</w:t>
      </w:r>
      <w:r w:rsidR="00C7449B">
        <w:rPr>
          <w:lang w:val="en-GB"/>
        </w:rPr>
        <w:t>e</w:t>
      </w:r>
      <w:r w:rsidR="009C5620" w:rsidRPr="00A16672">
        <w:rPr>
          <w:lang w:val="en-GB"/>
        </w:rPr>
        <w:t>lds it’s involved</w:t>
      </w:r>
      <w:bookmarkEnd w:id="5"/>
    </w:p>
    <w:p w:rsidR="00F96B3D" w:rsidRPr="00A16672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state of art, the technical locks, the objective and the technical challenge to solve de technical </w:t>
      </w:r>
      <w:r w:rsidR="00C7449B">
        <w:rPr>
          <w:i/>
          <w:lang w:val="en-GB"/>
        </w:rPr>
        <w:t>locks.</w:t>
      </w:r>
    </w:p>
    <w:p w:rsidR="008A6C79" w:rsidRPr="00A16672" w:rsidRDefault="008A6C79" w:rsidP="008A6C79">
      <w:pPr>
        <w:pStyle w:val="ITberschrift11"/>
        <w:rPr>
          <w:lang w:val="en-GB"/>
        </w:rPr>
      </w:pPr>
      <w:bookmarkStart w:id="6" w:name="_Toc529275642"/>
      <w:r w:rsidRPr="00A16672">
        <w:rPr>
          <w:lang w:val="en-GB"/>
        </w:rPr>
        <w:t>First Industrial Deployment</w:t>
      </w:r>
      <w:bookmarkEnd w:id="6"/>
      <w:r w:rsidR="00C7449B">
        <w:rPr>
          <w:lang w:val="en-GB"/>
        </w:rPr>
        <w:t xml:space="preserve"> (FID)</w:t>
      </w:r>
    </w:p>
    <w:p w:rsidR="00F96B3D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FID investment and linked </w:t>
      </w:r>
      <w:r w:rsidR="00C7449B">
        <w:rPr>
          <w:i/>
          <w:lang w:val="en-GB"/>
        </w:rPr>
        <w:t>O</w:t>
      </w:r>
      <w:r>
        <w:rPr>
          <w:i/>
          <w:lang w:val="en-GB"/>
        </w:rPr>
        <w:t xml:space="preserve">pex insisting on the description of beginning of FID (after R&amp;D phases) and the end of FID (before mass production). </w:t>
      </w:r>
    </w:p>
    <w:p w:rsidR="00A16672" w:rsidRPr="00A16672" w:rsidRDefault="000956E9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>Cf.</w:t>
      </w:r>
      <w:r w:rsidR="00A16672">
        <w:rPr>
          <w:i/>
          <w:lang w:val="en-GB"/>
        </w:rPr>
        <w:t xml:space="preserve"> FID definition in Guidelines. </w:t>
      </w:r>
    </w:p>
    <w:p w:rsidR="00B14044" w:rsidRPr="000956E9" w:rsidRDefault="00B14044" w:rsidP="00B14044">
      <w:pPr>
        <w:pStyle w:val="ITAbsatzohneNr"/>
        <w:rPr>
          <w:lang w:val="en-GB"/>
        </w:rPr>
      </w:pPr>
    </w:p>
    <w:p w:rsidR="00FB71D8" w:rsidRPr="00504B99" w:rsidRDefault="00FB71D8" w:rsidP="00FB71D8">
      <w:pPr>
        <w:pStyle w:val="ITberschrift11"/>
        <w:rPr>
          <w:lang w:val="en-GB"/>
        </w:rPr>
      </w:pPr>
      <w:bookmarkStart w:id="7" w:name="_Toc529275643"/>
      <w:r w:rsidRPr="00504B99">
        <w:rPr>
          <w:lang w:val="en-GB"/>
        </w:rPr>
        <w:t>I</w:t>
      </w:r>
      <w:r w:rsidR="00DD5ED5" w:rsidRPr="00504B99">
        <w:rPr>
          <w:lang w:val="en-GB"/>
        </w:rPr>
        <w:t>ntellectual Property Rights</w:t>
      </w:r>
      <w:bookmarkEnd w:id="7"/>
    </w:p>
    <w:p w:rsidR="000956E9" w:rsidRDefault="000956E9" w:rsidP="00FB71D8">
      <w:pPr>
        <w:pStyle w:val="ITAbsatzohneNr"/>
        <w:rPr>
          <w:i/>
          <w:lang w:val="fr-FR"/>
        </w:rPr>
      </w:pPr>
      <w:r w:rsidRPr="00504B99">
        <w:rPr>
          <w:i/>
          <w:lang w:val="fr-FR"/>
        </w:rPr>
        <w:t xml:space="preserve">IP </w:t>
      </w:r>
      <w:r>
        <w:rPr>
          <w:i/>
          <w:lang w:val="fr-FR"/>
        </w:rPr>
        <w:t>management principles</w:t>
      </w:r>
    </w:p>
    <w:p w:rsidR="00F407AE" w:rsidRPr="00504B99" w:rsidRDefault="000956E9" w:rsidP="00FB71D8">
      <w:pPr>
        <w:pStyle w:val="ITAbsatzohneNr"/>
        <w:rPr>
          <w:i/>
          <w:lang w:val="fr-FR"/>
        </w:rPr>
      </w:pPr>
      <w:r>
        <w:rPr>
          <w:i/>
          <w:lang w:val="fr-FR"/>
        </w:rPr>
        <w:t xml:space="preserve">IP </w:t>
      </w:r>
      <w:r w:rsidRPr="00504B99">
        <w:rPr>
          <w:i/>
          <w:lang w:val="fr-FR"/>
        </w:rPr>
        <w:t>protections principles</w:t>
      </w:r>
    </w:p>
    <w:p w:rsidR="000956E9" w:rsidRPr="00504B99" w:rsidRDefault="000956E9" w:rsidP="00FB71D8">
      <w:pPr>
        <w:pStyle w:val="ITAbsatzohneNr"/>
        <w:rPr>
          <w:i/>
          <w:lang w:val="fr-FR"/>
        </w:rPr>
      </w:pPr>
      <w:r w:rsidRPr="00504B99">
        <w:rPr>
          <w:i/>
          <w:lang w:val="fr-FR"/>
        </w:rPr>
        <w:t>IP exploitation principles</w:t>
      </w:r>
    </w:p>
    <w:p w:rsidR="00277985" w:rsidRPr="00504B99" w:rsidRDefault="00277985" w:rsidP="00B14044">
      <w:pPr>
        <w:pStyle w:val="ITAbsatzohneNr"/>
        <w:rPr>
          <w:lang w:val="fr-FR"/>
        </w:rPr>
      </w:pPr>
    </w:p>
    <w:p w:rsidR="00277985" w:rsidRPr="00504B99" w:rsidRDefault="00277985" w:rsidP="00B14044">
      <w:pPr>
        <w:pStyle w:val="ITAbsatzohneNr"/>
        <w:rPr>
          <w:lang w:val="fr-FR"/>
        </w:rPr>
      </w:pPr>
    </w:p>
    <w:p w:rsidR="00FB71D8" w:rsidRPr="00504B99" w:rsidRDefault="00FB71D8">
      <w:pPr>
        <w:spacing w:after="200"/>
        <w:rPr>
          <w:lang w:val="fr-FR"/>
        </w:rPr>
      </w:pPr>
      <w:r w:rsidRPr="00504B99">
        <w:rPr>
          <w:lang w:val="fr-FR"/>
        </w:rPr>
        <w:br w:type="page"/>
      </w:r>
    </w:p>
    <w:p w:rsidR="00EA378C" w:rsidRPr="00504B99" w:rsidRDefault="00EA378C" w:rsidP="00EA378C">
      <w:pPr>
        <w:pStyle w:val="ITberschrift11"/>
        <w:rPr>
          <w:lang w:val="en-GB"/>
        </w:rPr>
      </w:pPr>
      <w:bookmarkStart w:id="8" w:name="_Toc529275644"/>
      <w:r w:rsidRPr="000956E9">
        <w:rPr>
          <w:lang w:val="en-GB"/>
        </w:rPr>
        <w:lastRenderedPageBreak/>
        <w:t>Work P</w:t>
      </w:r>
      <w:r w:rsidR="008A6C79" w:rsidRPr="00504B99">
        <w:rPr>
          <w:lang w:val="en-GB"/>
        </w:rPr>
        <w:t>lan</w:t>
      </w:r>
      <w:bookmarkEnd w:id="8"/>
    </w:p>
    <w:p w:rsidR="00DD5ED5" w:rsidRPr="00504B99" w:rsidRDefault="00DD5ED5" w:rsidP="00DD5ED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describe your work plan in respect to the described work in the TF annex.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646"/>
        <w:gridCol w:w="689"/>
        <w:gridCol w:w="4751"/>
        <w:gridCol w:w="1436"/>
        <w:gridCol w:w="1432"/>
      </w:tblGrid>
      <w:tr w:rsidR="00F407AE" w:rsidRPr="00504B99" w:rsidTr="00504B99">
        <w:trPr>
          <w:trHeight w:val="765"/>
        </w:trPr>
        <w:tc>
          <w:tcPr>
            <w:tcW w:w="654" w:type="dxa"/>
          </w:tcPr>
          <w:p w:rsidR="00F407AE" w:rsidRPr="000956E9" w:rsidRDefault="00F407AE" w:rsidP="00FF51C7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0956E9">
              <w:rPr>
                <w:rFonts w:cs="Arial"/>
                <w:b/>
                <w:bCs/>
                <w:sz w:val="22"/>
                <w:szCs w:val="22"/>
                <w:lang w:val="en-GB"/>
              </w:rPr>
              <w:t>TF</w:t>
            </w:r>
          </w:p>
        </w:tc>
        <w:tc>
          <w:tcPr>
            <w:tcW w:w="694" w:type="dxa"/>
            <w:vAlign w:val="center"/>
            <w:hideMark/>
          </w:tcPr>
          <w:p w:rsidR="00F407AE" w:rsidRPr="00504B99" w:rsidRDefault="00F407AE" w:rsidP="00FF51C7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0956E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No.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of WP</w:t>
            </w:r>
          </w:p>
        </w:tc>
        <w:tc>
          <w:tcPr>
            <w:tcW w:w="4929" w:type="dxa"/>
            <w:vAlign w:val="center"/>
            <w:hideMark/>
          </w:tcPr>
          <w:p w:rsidR="00F407AE" w:rsidRPr="00504B99" w:rsidRDefault="00F407AE" w:rsidP="00FF51C7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Title</w:t>
            </w:r>
          </w:p>
        </w:tc>
        <w:tc>
          <w:tcPr>
            <w:tcW w:w="1455" w:type="dxa"/>
            <w:vAlign w:val="center"/>
            <w:hideMark/>
          </w:tcPr>
          <w:p w:rsidR="00F407AE" w:rsidRPr="00504B99" w:rsidRDefault="00F407AE" w:rsidP="008A6C7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Person Months (PM)</w:t>
            </w:r>
          </w:p>
        </w:tc>
        <w:tc>
          <w:tcPr>
            <w:tcW w:w="1448" w:type="dxa"/>
            <w:vAlign w:val="center"/>
            <w:hideMark/>
          </w:tcPr>
          <w:p w:rsidR="00F407AE" w:rsidRPr="00504B99" w:rsidRDefault="00F407AE" w:rsidP="00FF51C7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PM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br/>
              <w:t>(R&amp;D&amp;I)</w:t>
            </w:r>
          </w:p>
        </w:tc>
      </w:tr>
      <w:tr w:rsidR="00F407AE" w:rsidRPr="00504B99" w:rsidTr="00504B99">
        <w:trPr>
          <w:trHeight w:val="1272"/>
        </w:trPr>
        <w:tc>
          <w:tcPr>
            <w:tcW w:w="654" w:type="dxa"/>
          </w:tcPr>
          <w:p w:rsidR="00F407AE" w:rsidRPr="00504B99" w:rsidRDefault="00F407AE" w:rsidP="00FF51C7">
            <w:pPr>
              <w:pStyle w:val="ITAbsatzohneNr"/>
              <w:rPr>
                <w:rFonts w:cs="Arial"/>
                <w:bCs/>
                <w:sz w:val="22"/>
                <w:szCs w:val="22"/>
                <w:lang w:val="en-GB"/>
              </w:rPr>
            </w:pPr>
          </w:p>
        </w:tc>
        <w:tc>
          <w:tcPr>
            <w:tcW w:w="694" w:type="dxa"/>
            <w:vAlign w:val="center"/>
          </w:tcPr>
          <w:p w:rsidR="00F407AE" w:rsidRPr="00504B99" w:rsidRDefault="00F407AE" w:rsidP="00FF51C7">
            <w:pPr>
              <w:pStyle w:val="ITAbsatzohneNr"/>
              <w:rPr>
                <w:rFonts w:cs="Arial"/>
                <w:bCs/>
                <w:sz w:val="22"/>
                <w:szCs w:val="22"/>
                <w:lang w:val="en-GB"/>
              </w:rPr>
            </w:pPr>
          </w:p>
        </w:tc>
        <w:tc>
          <w:tcPr>
            <w:tcW w:w="4929" w:type="dxa"/>
            <w:vAlign w:val="center"/>
          </w:tcPr>
          <w:p w:rsidR="00F407AE" w:rsidRPr="00504B99" w:rsidRDefault="00F407AE" w:rsidP="00B14044">
            <w:pPr>
              <w:pStyle w:val="ITAbsatzohneNr"/>
              <w:rPr>
                <w:rFonts w:cs="Arial"/>
                <w:bCs/>
                <w:sz w:val="22"/>
                <w:szCs w:val="22"/>
                <w:lang w:val="en-GB"/>
              </w:rPr>
            </w:pPr>
          </w:p>
        </w:tc>
        <w:tc>
          <w:tcPr>
            <w:tcW w:w="1455" w:type="dxa"/>
            <w:vAlign w:val="center"/>
          </w:tcPr>
          <w:p w:rsidR="00F407AE" w:rsidRPr="00504B99" w:rsidRDefault="00F407AE" w:rsidP="00FF51C7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</w:tcPr>
          <w:p w:rsidR="00F407AE" w:rsidRPr="00504B99" w:rsidRDefault="00F407AE" w:rsidP="00FF51C7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</w:tr>
      <w:tr w:rsidR="00F407AE" w:rsidRPr="00504B99" w:rsidTr="00504B99">
        <w:trPr>
          <w:trHeight w:val="360"/>
        </w:trPr>
        <w:tc>
          <w:tcPr>
            <w:tcW w:w="654" w:type="dxa"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694" w:type="dxa"/>
            <w:hideMark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  <w:r w:rsidRPr="00504B99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4929" w:type="dxa"/>
            <w:hideMark/>
          </w:tcPr>
          <w:p w:rsidR="00F407AE" w:rsidRPr="00504B99" w:rsidRDefault="00F407AE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455" w:type="dxa"/>
            <w:vAlign w:val="center"/>
            <w:hideMark/>
          </w:tcPr>
          <w:p w:rsidR="00F407AE" w:rsidRPr="00504B99" w:rsidRDefault="00F407AE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  <w:hideMark/>
          </w:tcPr>
          <w:p w:rsidR="00F407AE" w:rsidRPr="00504B99" w:rsidRDefault="00F407AE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07AE" w:rsidRPr="00504B99" w:rsidTr="00504B99">
        <w:trPr>
          <w:trHeight w:val="360"/>
        </w:trPr>
        <w:tc>
          <w:tcPr>
            <w:tcW w:w="654" w:type="dxa"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694" w:type="dxa"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4929" w:type="dxa"/>
          </w:tcPr>
          <w:p w:rsidR="00F407AE" w:rsidRPr="00504B99" w:rsidRDefault="00F407AE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455" w:type="dxa"/>
            <w:vAlign w:val="center"/>
          </w:tcPr>
          <w:p w:rsidR="00F407AE" w:rsidRPr="00504B99" w:rsidRDefault="00F407AE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</w:tcPr>
          <w:p w:rsidR="00F407AE" w:rsidRPr="00504B99" w:rsidRDefault="00F407AE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07AE" w:rsidRPr="00504B99" w:rsidTr="00504B99">
        <w:trPr>
          <w:trHeight w:val="360"/>
        </w:trPr>
        <w:tc>
          <w:tcPr>
            <w:tcW w:w="654" w:type="dxa"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694" w:type="dxa"/>
          </w:tcPr>
          <w:p w:rsidR="00F407AE" w:rsidRPr="00504B99" w:rsidRDefault="00F407AE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4929" w:type="dxa"/>
          </w:tcPr>
          <w:p w:rsidR="00F407AE" w:rsidRPr="00504B99" w:rsidRDefault="00F407AE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  <w:r w:rsidRPr="00504B99">
              <w:rPr>
                <w:rFonts w:cs="Arial"/>
                <w:bCs/>
                <w:sz w:val="22"/>
                <w:szCs w:val="22"/>
              </w:rPr>
              <w:t>Total PM</w:t>
            </w:r>
          </w:p>
        </w:tc>
        <w:tc>
          <w:tcPr>
            <w:tcW w:w="1455" w:type="dxa"/>
            <w:vAlign w:val="center"/>
          </w:tcPr>
          <w:p w:rsidR="00F407AE" w:rsidRPr="00504B99" w:rsidRDefault="00F407AE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</w:tcPr>
          <w:p w:rsidR="00F407AE" w:rsidRPr="00504B99" w:rsidRDefault="00F407AE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</w:tbl>
    <w:p w:rsidR="00EA378C" w:rsidRPr="00504B99" w:rsidRDefault="00AD6721" w:rsidP="00AD6721">
      <w:pPr>
        <w:pStyle w:val="Beschriftung"/>
        <w:rPr>
          <w:sz w:val="24"/>
          <w:szCs w:val="24"/>
          <w:lang w:val="en-US"/>
        </w:rPr>
      </w:pPr>
      <w:r w:rsidRPr="00504B99">
        <w:rPr>
          <w:lang w:val="en-US"/>
        </w:rPr>
        <w:t xml:space="preserve">Table </w:t>
      </w:r>
      <w:r w:rsidR="00017319" w:rsidRPr="00504B99">
        <w:rPr>
          <w:lang w:val="en-US"/>
        </w:rPr>
        <w:fldChar w:fldCharType="begin"/>
      </w:r>
      <w:r w:rsidR="008A6C79" w:rsidRPr="00504B99">
        <w:rPr>
          <w:lang w:val="en-US"/>
        </w:rPr>
        <w:instrText xml:space="preserve"> SEQ Table \* ARABIC </w:instrText>
      </w:r>
      <w:r w:rsidR="00017319" w:rsidRPr="00504B99">
        <w:rPr>
          <w:lang w:val="en-US"/>
        </w:rPr>
        <w:fldChar w:fldCharType="separate"/>
      </w:r>
      <w:r w:rsidR="00D769DE" w:rsidRPr="00504B99">
        <w:rPr>
          <w:noProof/>
          <w:lang w:val="en-US"/>
        </w:rPr>
        <w:t>1</w:t>
      </w:r>
      <w:r w:rsidR="00017319" w:rsidRPr="00504B99">
        <w:rPr>
          <w:lang w:val="en-US"/>
        </w:rPr>
        <w:fldChar w:fldCharType="end"/>
      </w:r>
      <w:r w:rsidRPr="00504B99">
        <w:rPr>
          <w:lang w:val="en-US"/>
        </w:rPr>
        <w:t>: Work Packages</w:t>
      </w:r>
      <w:r w:rsidR="00FF51C7" w:rsidRPr="00504B99">
        <w:rPr>
          <w:lang w:val="en-US"/>
        </w:rPr>
        <w:t xml:space="preserve"> (WP)</w:t>
      </w:r>
      <w:r w:rsidRPr="00504B99">
        <w:rPr>
          <w:lang w:val="en-US"/>
        </w:rPr>
        <w:t xml:space="preserve"> vs. </w:t>
      </w:r>
      <w:r w:rsidR="008A6C79" w:rsidRPr="00504B99">
        <w:rPr>
          <w:lang w:val="en-US"/>
        </w:rPr>
        <w:t xml:space="preserve">Person </w:t>
      </w:r>
      <w:r w:rsidRPr="00504B99">
        <w:rPr>
          <w:lang w:val="en-US"/>
        </w:rPr>
        <w:t>Month</w:t>
      </w:r>
      <w:r w:rsidR="008A6C79" w:rsidRPr="00504B99">
        <w:rPr>
          <w:lang w:val="en-US"/>
        </w:rPr>
        <w:t>s</w:t>
      </w:r>
      <w:r w:rsidRPr="00504B99">
        <w:rPr>
          <w:lang w:val="en-US"/>
        </w:rPr>
        <w:t xml:space="preserve"> (</w:t>
      </w:r>
      <w:r w:rsidR="00F96B3D" w:rsidRPr="00504B99">
        <w:rPr>
          <w:lang w:val="en-US"/>
        </w:rPr>
        <w:t>P</w:t>
      </w:r>
      <w:r w:rsidRPr="00504B99">
        <w:rPr>
          <w:lang w:val="en-US"/>
        </w:rPr>
        <w:t xml:space="preserve">M) </w:t>
      </w:r>
    </w:p>
    <w:p w:rsidR="00EA378C" w:rsidRPr="00504B99" w:rsidRDefault="00EA378C">
      <w:pPr>
        <w:spacing w:after="200"/>
        <w:rPr>
          <w:sz w:val="24"/>
          <w:szCs w:val="24"/>
          <w:lang w:val="en-GB"/>
        </w:rPr>
      </w:pPr>
      <w:r w:rsidRPr="00504B99">
        <w:rPr>
          <w:sz w:val="24"/>
          <w:szCs w:val="24"/>
          <w:lang w:val="en-GB"/>
        </w:rPr>
        <w:br w:type="page"/>
      </w:r>
    </w:p>
    <w:p w:rsidR="00A274BD" w:rsidRPr="00504B99" w:rsidRDefault="00A274BD" w:rsidP="00A274BD">
      <w:pPr>
        <w:pStyle w:val="ITberschrift11"/>
        <w:rPr>
          <w:lang w:val="en-GB"/>
        </w:rPr>
      </w:pPr>
      <w:bookmarkStart w:id="9" w:name="_Toc529275645"/>
      <w:r w:rsidRPr="00504B99">
        <w:rPr>
          <w:lang w:val="en-GB"/>
        </w:rPr>
        <w:lastRenderedPageBreak/>
        <w:t>Investment</w:t>
      </w:r>
      <w:bookmarkEnd w:id="9"/>
    </w:p>
    <w:p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10" w:name="_Toc529275646"/>
      <w:r w:rsidRPr="00504B99">
        <w:rPr>
          <w:rStyle w:val="ITStandardZchn"/>
          <w:sz w:val="22"/>
          <w:szCs w:val="22"/>
          <w:lang w:val="en-US"/>
        </w:rPr>
        <w:t>Tools and Equipment</w:t>
      </w:r>
      <w:bookmarkEnd w:id="10"/>
    </w:p>
    <w:p w:rsidR="00F96B3D" w:rsidRPr="00A16672" w:rsidRDefault="00C26617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Please cluster your investment by technology classification</w:t>
      </w:r>
      <w:r w:rsidR="001D6A22" w:rsidRPr="00504B99">
        <w:rPr>
          <w:i/>
          <w:lang w:val="en-GB"/>
        </w:rPr>
        <w:t>.</w:t>
      </w:r>
      <w:r w:rsidR="004766EF" w:rsidRPr="00504B99">
        <w:rPr>
          <w:i/>
          <w:lang w:val="en-GB"/>
        </w:rPr>
        <w:t xml:space="preserve"> </w:t>
      </w:r>
      <w:r w:rsidRPr="00504B99">
        <w:rPr>
          <w:i/>
          <w:lang w:val="en-GB"/>
        </w:rPr>
        <w:t>Pleas</w:t>
      </w:r>
      <w:r w:rsidR="004766EF" w:rsidRPr="00504B99">
        <w:rPr>
          <w:i/>
          <w:lang w:val="en-GB"/>
        </w:rPr>
        <w:t>e</w:t>
      </w:r>
      <w:r w:rsidRPr="00504B99">
        <w:rPr>
          <w:i/>
          <w:lang w:val="en-GB"/>
        </w:rPr>
        <w:t xml:space="preserve"> provide also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is the purpose of the investment…). </w:t>
      </w:r>
    </w:p>
    <w:p w:rsidR="008F56E4" w:rsidRPr="000956E9" w:rsidRDefault="008F56E4" w:rsidP="008F56E4">
      <w:pPr>
        <w:pStyle w:val="ITAbsatzohneNr"/>
        <w:rPr>
          <w:lang w:val="en-GB"/>
        </w:rPr>
      </w:pPr>
    </w:p>
    <w:tbl>
      <w:tblPr>
        <w:tblStyle w:val="Tabellenraster"/>
        <w:tblW w:w="9889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260"/>
        <w:gridCol w:w="1623"/>
        <w:gridCol w:w="786"/>
        <w:gridCol w:w="851"/>
        <w:gridCol w:w="851"/>
      </w:tblGrid>
      <w:tr w:rsidR="00F407AE" w:rsidRPr="00504B99" w:rsidTr="00504B99">
        <w:trPr>
          <w:divId w:val="425922551"/>
          <w:trHeight w:val="540"/>
        </w:trPr>
        <w:tc>
          <w:tcPr>
            <w:tcW w:w="1668" w:type="dxa"/>
            <w:hideMark/>
          </w:tcPr>
          <w:p w:rsidR="00F407AE" w:rsidRPr="00504B99" w:rsidRDefault="00F407AE" w:rsidP="008F56E4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Technology </w:t>
            </w:r>
          </w:p>
          <w:p w:rsidR="00F407AE" w:rsidRPr="00504B99" w:rsidRDefault="00F407AE" w:rsidP="008F56E4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:rsidR="00F407AE" w:rsidRPr="00504B99" w:rsidRDefault="00F407AE" w:rsidP="008A6C79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No. of Tools </w:t>
            </w:r>
          </w:p>
        </w:tc>
        <w:tc>
          <w:tcPr>
            <w:tcW w:w="3260" w:type="dxa"/>
            <w:hideMark/>
          </w:tcPr>
          <w:p w:rsidR="00F407AE" w:rsidRPr="00504B99" w:rsidRDefault="00F407AE" w:rsidP="008F56E4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623" w:type="dxa"/>
            <w:hideMark/>
          </w:tcPr>
          <w:p w:rsidR="00F407AE" w:rsidRPr="00504B99" w:rsidRDefault="00F407AE" w:rsidP="008A6C79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786" w:type="dxa"/>
            <w:hideMark/>
          </w:tcPr>
          <w:p w:rsidR="00F407AE" w:rsidRPr="00504B99" w:rsidRDefault="00F407AE" w:rsidP="00DD5ED5">
            <w:pPr>
              <w:pStyle w:val="ITAbsatzohneN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 xml:space="preserve">Year* </w:t>
            </w:r>
          </w:p>
        </w:tc>
        <w:tc>
          <w:tcPr>
            <w:tcW w:w="851" w:type="dxa"/>
          </w:tcPr>
          <w:p w:rsidR="00F407AE" w:rsidRPr="00504B99" w:rsidRDefault="00F407AE" w:rsidP="008A6C79">
            <w:pPr>
              <w:pStyle w:val="ITAbsatzohneNr"/>
              <w:ind w:right="99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</w:p>
        </w:tc>
        <w:tc>
          <w:tcPr>
            <w:tcW w:w="851" w:type="dxa"/>
            <w:hideMark/>
          </w:tcPr>
          <w:p w:rsidR="00F407AE" w:rsidRPr="00504B99" w:rsidRDefault="00F407AE" w:rsidP="008A6C79">
            <w:pPr>
              <w:pStyle w:val="ITAbsatzohneNr"/>
              <w:ind w:right="99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</w:p>
        </w:tc>
      </w:tr>
      <w:tr w:rsidR="00F407AE" w:rsidRPr="00504B99" w:rsidTr="00504B99">
        <w:trPr>
          <w:divId w:val="425922551"/>
          <w:trHeight w:val="315"/>
        </w:trPr>
        <w:tc>
          <w:tcPr>
            <w:tcW w:w="1668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:rsidTr="00504B99">
        <w:trPr>
          <w:divId w:val="425922551"/>
          <w:trHeight w:val="540"/>
        </w:trPr>
        <w:tc>
          <w:tcPr>
            <w:tcW w:w="1668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:rsidTr="00504B99">
        <w:trPr>
          <w:divId w:val="425922551"/>
          <w:trHeight w:val="795"/>
        </w:trPr>
        <w:tc>
          <w:tcPr>
            <w:tcW w:w="1668" w:type="dxa"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F96B3D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1" w:type="dxa"/>
            <w:noWrap/>
            <w:vAlign w:val="center"/>
          </w:tcPr>
          <w:p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</w:tbl>
    <w:p w:rsidR="00DD5ED5" w:rsidRPr="00504B99" w:rsidRDefault="00DD5ED5">
      <w:pPr>
        <w:pStyle w:val="Beschriftung"/>
        <w:rPr>
          <w:lang w:val="en-GB"/>
        </w:rPr>
      </w:pPr>
      <w:r w:rsidRPr="00504B99">
        <w:rPr>
          <w:lang w:val="en-GB"/>
        </w:rPr>
        <w:t>*investment year</w:t>
      </w:r>
    </w:p>
    <w:p w:rsidR="008A6C79" w:rsidRPr="00504B99" w:rsidRDefault="008A6C79">
      <w:pPr>
        <w:pStyle w:val="Beschriftung"/>
        <w:rPr>
          <w:lang w:val="en-GB"/>
        </w:rPr>
      </w:pPr>
      <w:r w:rsidRPr="00504B99">
        <w:rPr>
          <w:lang w:val="en-GB"/>
        </w:rPr>
        <w:t xml:space="preserve">Table </w:t>
      </w:r>
      <w:r w:rsidR="00017319" w:rsidRPr="00504B99">
        <w:fldChar w:fldCharType="begin"/>
      </w:r>
      <w:r w:rsidRPr="00504B99">
        <w:rPr>
          <w:lang w:val="en-GB"/>
        </w:rPr>
        <w:instrText xml:space="preserve"> SEQ Table \* ARABIC </w:instrText>
      </w:r>
      <w:r w:rsidR="00017319" w:rsidRPr="00504B99">
        <w:fldChar w:fldCharType="separate"/>
      </w:r>
      <w:r w:rsidR="00D769DE" w:rsidRPr="00504B99">
        <w:rPr>
          <w:noProof/>
          <w:lang w:val="en-GB"/>
        </w:rPr>
        <w:t>2</w:t>
      </w:r>
      <w:r w:rsidR="00017319" w:rsidRPr="00504B99">
        <w:fldChar w:fldCharType="end"/>
      </w:r>
      <w:r w:rsidR="00B14044" w:rsidRPr="00504B99">
        <w:rPr>
          <w:lang w:val="en-GB"/>
        </w:rPr>
        <w:t xml:space="preserve">: Overview of investment </w:t>
      </w:r>
      <w:r w:rsidR="00F96B3D" w:rsidRPr="00504B99">
        <w:rPr>
          <w:lang w:val="en-GB"/>
        </w:rPr>
        <w:t>in tools and equipment</w:t>
      </w:r>
    </w:p>
    <w:p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11" w:name="_Toc529275647"/>
      <w:r w:rsidRPr="00504B99">
        <w:rPr>
          <w:rStyle w:val="ITStandardZchn"/>
          <w:sz w:val="22"/>
          <w:szCs w:val="22"/>
          <w:lang w:val="en-US"/>
        </w:rPr>
        <w:t>Construction of Buildings/Laboratory</w:t>
      </w:r>
      <w:bookmarkEnd w:id="11"/>
    </w:p>
    <w:p w:rsidR="00C26617" w:rsidRPr="00504B99" w:rsidRDefault="00C26617" w:rsidP="00C26617">
      <w:pPr>
        <w:pStyle w:val="ITAbsatzohneNr"/>
        <w:rPr>
          <w:i/>
          <w:lang w:val="en-GB"/>
        </w:rPr>
      </w:pPr>
    </w:p>
    <w:p w:rsidR="00C26617" w:rsidRPr="00A16672" w:rsidRDefault="00C26617" w:rsidP="00C26617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provide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kind of building? for what purpose…). Please cluster your investment so that the table does not exceed 1 page.</w:t>
      </w:r>
    </w:p>
    <w:p w:rsidR="00277985" w:rsidRPr="000956E9" w:rsidRDefault="00277985" w:rsidP="00277985">
      <w:pPr>
        <w:pStyle w:val="ITAbsatzohneNr"/>
        <w:rPr>
          <w:i/>
          <w:lang w:val="en-GB"/>
        </w:rPr>
      </w:pPr>
    </w:p>
    <w:tbl>
      <w:tblPr>
        <w:tblStyle w:val="Tabellenraster"/>
        <w:tblW w:w="9891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260"/>
        <w:gridCol w:w="1623"/>
        <w:gridCol w:w="786"/>
        <w:gridCol w:w="852"/>
        <w:gridCol w:w="852"/>
      </w:tblGrid>
      <w:tr w:rsidR="00F407AE" w:rsidRPr="00504B99" w:rsidTr="00504B99">
        <w:trPr>
          <w:trHeight w:val="540"/>
        </w:trPr>
        <w:tc>
          <w:tcPr>
            <w:tcW w:w="1668" w:type="dxa"/>
            <w:hideMark/>
          </w:tcPr>
          <w:p w:rsidR="00F407AE" w:rsidRPr="00504B99" w:rsidRDefault="00F407AE" w:rsidP="008E37EC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Technology </w:t>
            </w:r>
          </w:p>
          <w:p w:rsidR="00F407AE" w:rsidRPr="00504B99" w:rsidRDefault="00F407AE" w:rsidP="008E37EC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:rsidR="00F407AE" w:rsidRPr="00504B99" w:rsidRDefault="00F407AE" w:rsidP="008E37EC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No. of Tools </w:t>
            </w:r>
          </w:p>
        </w:tc>
        <w:tc>
          <w:tcPr>
            <w:tcW w:w="3260" w:type="dxa"/>
            <w:hideMark/>
          </w:tcPr>
          <w:p w:rsidR="00F407AE" w:rsidRPr="00504B99" w:rsidRDefault="00F407AE" w:rsidP="008E37EC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623" w:type="dxa"/>
            <w:hideMark/>
          </w:tcPr>
          <w:p w:rsidR="00F407AE" w:rsidRPr="00504B99" w:rsidRDefault="00F407AE" w:rsidP="008E37EC">
            <w:pPr>
              <w:pStyle w:val="ITAbsatzohneN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786" w:type="dxa"/>
            <w:hideMark/>
          </w:tcPr>
          <w:p w:rsidR="00F407AE" w:rsidRPr="00504B99" w:rsidRDefault="00F407AE" w:rsidP="008E37EC">
            <w:pPr>
              <w:pStyle w:val="ITAbsatzohneN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 xml:space="preserve">Year* </w:t>
            </w:r>
          </w:p>
        </w:tc>
        <w:tc>
          <w:tcPr>
            <w:tcW w:w="852" w:type="dxa"/>
          </w:tcPr>
          <w:p w:rsidR="00F407AE" w:rsidRPr="00504B99" w:rsidRDefault="00F407AE" w:rsidP="008E37EC">
            <w:pPr>
              <w:pStyle w:val="ITAbsatzohneNr"/>
              <w:ind w:right="99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</w:p>
        </w:tc>
        <w:tc>
          <w:tcPr>
            <w:tcW w:w="852" w:type="dxa"/>
            <w:hideMark/>
          </w:tcPr>
          <w:p w:rsidR="00F407AE" w:rsidRPr="00504B99" w:rsidRDefault="00F407AE" w:rsidP="008E37EC">
            <w:pPr>
              <w:pStyle w:val="ITAbsatzohneNr"/>
              <w:ind w:right="99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</w:p>
        </w:tc>
      </w:tr>
      <w:tr w:rsidR="00F407AE" w:rsidRPr="00504B99" w:rsidTr="00504B99">
        <w:trPr>
          <w:trHeight w:val="315"/>
        </w:trPr>
        <w:tc>
          <w:tcPr>
            <w:tcW w:w="1668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F407AE" w:rsidRPr="00504B99" w:rsidTr="00504B99">
        <w:trPr>
          <w:trHeight w:val="540"/>
        </w:trPr>
        <w:tc>
          <w:tcPr>
            <w:tcW w:w="1668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F407AE" w:rsidRPr="00504B99" w:rsidTr="00504B99">
        <w:trPr>
          <w:trHeight w:val="795"/>
        </w:trPr>
        <w:tc>
          <w:tcPr>
            <w:tcW w:w="1668" w:type="dxa"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fr-FR" w:eastAsia="en-US"/>
              </w:rPr>
            </w:pPr>
          </w:p>
        </w:tc>
        <w:tc>
          <w:tcPr>
            <w:tcW w:w="850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F407AE" w:rsidRPr="00504B99" w:rsidRDefault="00F407AE" w:rsidP="00F96B3D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623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786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jc w:val="right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noWrap/>
            <w:vAlign w:val="center"/>
          </w:tcPr>
          <w:p w:rsidR="00F407AE" w:rsidRPr="00504B99" w:rsidRDefault="00F407AE" w:rsidP="008E37EC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</w:tbl>
    <w:p w:rsidR="00DD5ED5" w:rsidRPr="00504B99" w:rsidRDefault="00DD5ED5" w:rsidP="00F96B3D">
      <w:pPr>
        <w:pStyle w:val="Beschriftung"/>
        <w:rPr>
          <w:lang w:val="en-GB"/>
        </w:rPr>
      </w:pPr>
      <w:r w:rsidRPr="00504B99">
        <w:rPr>
          <w:lang w:val="en-GB"/>
        </w:rPr>
        <w:t>*investment year</w:t>
      </w:r>
    </w:p>
    <w:p w:rsidR="00F96B3D" w:rsidRPr="00504B99" w:rsidRDefault="00F96B3D" w:rsidP="00F96B3D">
      <w:pPr>
        <w:pStyle w:val="Beschriftung"/>
        <w:rPr>
          <w:lang w:val="en-GB"/>
        </w:rPr>
      </w:pPr>
      <w:r w:rsidRPr="00504B99">
        <w:rPr>
          <w:lang w:val="en-GB"/>
        </w:rPr>
        <w:t xml:space="preserve">Table </w:t>
      </w:r>
      <w:r w:rsidRPr="00504B99">
        <w:rPr>
          <w:lang w:val="en-US"/>
        </w:rPr>
        <w:t>3</w:t>
      </w:r>
      <w:r w:rsidRPr="00504B99">
        <w:rPr>
          <w:lang w:val="en-GB"/>
        </w:rPr>
        <w:t>: Overview of investment in buildings or laboratories</w:t>
      </w:r>
    </w:p>
    <w:p w:rsidR="00277985" w:rsidRPr="00504B99" w:rsidRDefault="00277985" w:rsidP="00277985">
      <w:pPr>
        <w:pStyle w:val="ITAbsatzohneNr"/>
        <w:rPr>
          <w:lang w:val="en-GB"/>
        </w:rPr>
      </w:pPr>
    </w:p>
    <w:p w:rsidR="00EA378C" w:rsidRPr="00504B99" w:rsidRDefault="00EA378C" w:rsidP="00A274BD">
      <w:pPr>
        <w:pStyle w:val="ITAbsatzohneNr"/>
        <w:rPr>
          <w:sz w:val="24"/>
          <w:szCs w:val="24"/>
          <w:lang w:val="en-GB"/>
        </w:rPr>
      </w:pPr>
    </w:p>
    <w:p w:rsidR="000F4493" w:rsidRPr="00504B99" w:rsidRDefault="000F4493" w:rsidP="000F4493">
      <w:pPr>
        <w:pStyle w:val="ITberschrift1"/>
      </w:pPr>
      <w:bookmarkStart w:id="12" w:name="_Toc529275648"/>
      <w:r w:rsidRPr="00504B99">
        <w:t>Budget</w:t>
      </w:r>
      <w:bookmarkEnd w:id="12"/>
    </w:p>
    <w:p w:rsidR="007B000A" w:rsidRDefault="00EA378C" w:rsidP="007B000A">
      <w:pPr>
        <w:pStyle w:val="ITberschrift11"/>
        <w:rPr>
          <w:lang w:val="en-GB"/>
        </w:rPr>
      </w:pPr>
      <w:bookmarkStart w:id="13" w:name="_Toc529275649"/>
      <w:r w:rsidRPr="00504B99">
        <w:rPr>
          <w:lang w:val="en-GB"/>
        </w:rPr>
        <w:t>Eligible Costs</w:t>
      </w:r>
      <w:bookmarkEnd w:id="13"/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>Eligible costs only cover costs made for the purpose and the time span of the IPCEI</w:t>
      </w:r>
      <w:r>
        <w:rPr>
          <w:lang w:val="en-GB"/>
        </w:rPr>
        <w:t>: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>• The following costs should be listed in a disaggregate manner: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</w:t>
      </w:r>
      <w:r w:rsidR="00C7449B" w:rsidRPr="007B000A">
        <w:rPr>
          <w:lang w:val="en-GB"/>
        </w:rPr>
        <w:t>Costs</w:t>
      </w:r>
      <w:r w:rsidRPr="007B000A">
        <w:rPr>
          <w:lang w:val="en-GB"/>
        </w:rPr>
        <w:t xml:space="preserve"> for each of the R&amp;D activities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</w:t>
      </w:r>
      <w:r w:rsidR="00C7449B" w:rsidRPr="007B000A">
        <w:rPr>
          <w:lang w:val="en-GB"/>
        </w:rPr>
        <w:t>Costs</w:t>
      </w:r>
      <w:r w:rsidRPr="007B000A">
        <w:rPr>
          <w:lang w:val="en-GB"/>
        </w:rPr>
        <w:t xml:space="preserve"> for each of the FID activities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</w:t>
      </w:r>
      <w:r w:rsidR="00C7449B" w:rsidRPr="007B000A">
        <w:rPr>
          <w:lang w:val="en-GB"/>
        </w:rPr>
        <w:t>And</w:t>
      </w:r>
      <w:r w:rsidRPr="007B000A">
        <w:rPr>
          <w:lang w:val="en-GB"/>
        </w:rPr>
        <w:t xml:space="preserve">, within the FID costs, the costs of R&amp;D carried out in the FID phase should </w:t>
      </w:r>
      <w:r w:rsidR="001D6A22" w:rsidRPr="007B000A">
        <w:rPr>
          <w:lang w:val="en-GB"/>
        </w:rPr>
        <w:t>be mentioned</w:t>
      </w:r>
      <w:r w:rsidRPr="007B000A">
        <w:rPr>
          <w:lang w:val="en-GB"/>
        </w:rPr>
        <w:t>; this could give an idea of the overall importance of the R&amp;D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The cut-off date of the R&amp;D and FID phases should be provided explicitly by each </w:t>
      </w:r>
      <w:r w:rsidR="001D6A22" w:rsidRPr="007B000A">
        <w:rPr>
          <w:lang w:val="en-GB"/>
        </w:rPr>
        <w:t>company (</w:t>
      </w:r>
      <w:r w:rsidRPr="007B000A">
        <w:rPr>
          <w:lang w:val="en-GB"/>
        </w:rPr>
        <w:t xml:space="preserve">The template Excel contains vertical lines, showing these cut-offs, these should be </w:t>
      </w:r>
      <w:r w:rsidR="001D6A22" w:rsidRPr="007B000A">
        <w:rPr>
          <w:lang w:val="en-GB"/>
        </w:rPr>
        <w:t>adapted per</w:t>
      </w:r>
      <w:r w:rsidRPr="007B000A">
        <w:rPr>
          <w:lang w:val="en-GB"/>
        </w:rPr>
        <w:t xml:space="preserve"> company)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Eligible costs cover costs up to the end of the FID phase (even if the FID phase goes </w:t>
      </w:r>
      <w:r w:rsidR="001D6A22" w:rsidRPr="007B000A">
        <w:rPr>
          <w:lang w:val="en-GB"/>
        </w:rPr>
        <w:t>beyond the</w:t>
      </w:r>
      <w:r w:rsidRPr="007B000A">
        <w:rPr>
          <w:lang w:val="en-GB"/>
        </w:rPr>
        <w:t xml:space="preserve"> national granting period for some companies)</w:t>
      </w:r>
    </w:p>
    <w:p w:rsidR="007B000A" w:rsidRP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• The end result of this step should be one figure: the total amount of eligible costs at the </w:t>
      </w:r>
      <w:r w:rsidR="001D6A22" w:rsidRPr="007B000A">
        <w:rPr>
          <w:lang w:val="en-GB"/>
        </w:rPr>
        <w:t>end of</w:t>
      </w:r>
      <w:r w:rsidRPr="007B000A">
        <w:rPr>
          <w:lang w:val="en-GB"/>
        </w:rPr>
        <w:t xml:space="preserve"> the IPCEI, including the FID phase</w:t>
      </w:r>
    </w:p>
    <w:p w:rsidR="007B000A" w:rsidRDefault="007B000A" w:rsidP="007B000A">
      <w:pPr>
        <w:pStyle w:val="ITAbsatzohneNr"/>
        <w:rPr>
          <w:lang w:val="en-GB"/>
        </w:rPr>
      </w:pPr>
      <w:r w:rsidRPr="007B000A">
        <w:rPr>
          <w:lang w:val="en-GB"/>
        </w:rPr>
        <w:t xml:space="preserve">Note: all costs mentioned in the Excel sheet are considered by the Member States as eligible </w:t>
      </w:r>
      <w:r w:rsidR="001D6A22" w:rsidRPr="007B000A">
        <w:rPr>
          <w:lang w:val="en-GB"/>
        </w:rPr>
        <w:t>costs under</w:t>
      </w:r>
      <w:r w:rsidRPr="007B000A">
        <w:rPr>
          <w:lang w:val="en-GB"/>
        </w:rPr>
        <w:t xml:space="preserve"> the IPCEI Communication.</w:t>
      </w:r>
    </w:p>
    <w:p w:rsidR="007B000A" w:rsidRPr="007B000A" w:rsidRDefault="007B000A" w:rsidP="007B000A">
      <w:pPr>
        <w:pStyle w:val="ITAbsatzohneNr"/>
        <w:rPr>
          <w:lang w:val="en-GB"/>
        </w:rPr>
      </w:pPr>
    </w:p>
    <w:tbl>
      <w:tblPr>
        <w:tblStyle w:val="Tabellenraster"/>
        <w:tblW w:w="8892" w:type="dxa"/>
        <w:tblLook w:val="04A0" w:firstRow="1" w:lastRow="0" w:firstColumn="1" w:lastColumn="0" w:noHBand="0" w:noVBand="1"/>
      </w:tblPr>
      <w:tblGrid>
        <w:gridCol w:w="1000"/>
        <w:gridCol w:w="1452"/>
        <w:gridCol w:w="1364"/>
        <w:gridCol w:w="1247"/>
        <w:gridCol w:w="1391"/>
        <w:gridCol w:w="1236"/>
        <w:gridCol w:w="1202"/>
      </w:tblGrid>
      <w:tr w:rsidR="00AE55A2" w:rsidRPr="00504B99" w:rsidTr="002C1BC2">
        <w:trPr>
          <w:trHeight w:val="942"/>
        </w:trPr>
        <w:tc>
          <w:tcPr>
            <w:tcW w:w="1199" w:type="dxa"/>
          </w:tcPr>
          <w:p w:rsidR="00AE55A2" w:rsidRPr="00504B99" w:rsidRDefault="00AE55A2" w:rsidP="00F407AE">
            <w:pPr>
              <w:pStyle w:val="ITAbsatzohneNr"/>
              <w:rPr>
                <w:sz w:val="22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AE55A2" w:rsidRPr="00504B99" w:rsidRDefault="00AE55A2" w:rsidP="00FF51C7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Construction of buildings/ laboratory etc.*</w:t>
            </w:r>
          </w:p>
        </w:tc>
        <w:tc>
          <w:tcPr>
            <w:tcW w:w="1397" w:type="dxa"/>
            <w:vAlign w:val="center"/>
          </w:tcPr>
          <w:p w:rsidR="00AE55A2" w:rsidRPr="00504B99" w:rsidRDefault="00AE55A2" w:rsidP="007461DE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Investment Costs*</w:t>
            </w:r>
          </w:p>
        </w:tc>
        <w:tc>
          <w:tcPr>
            <w:tcW w:w="1266" w:type="dxa"/>
            <w:vAlign w:val="center"/>
          </w:tcPr>
          <w:p w:rsidR="00AE55A2" w:rsidRPr="00504B99" w:rsidRDefault="00AE55A2" w:rsidP="00FF51C7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Personnel Costs</w:t>
            </w:r>
          </w:p>
        </w:tc>
        <w:tc>
          <w:tcPr>
            <w:tcW w:w="1168" w:type="dxa"/>
            <w:vAlign w:val="center"/>
          </w:tcPr>
          <w:p w:rsidR="00AE55A2" w:rsidRPr="00504B99" w:rsidRDefault="00AE55A2" w:rsidP="008A6C79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Subcontract Costs</w:t>
            </w:r>
          </w:p>
        </w:tc>
        <w:tc>
          <w:tcPr>
            <w:tcW w:w="1266" w:type="dxa"/>
            <w:vAlign w:val="center"/>
          </w:tcPr>
          <w:p w:rsidR="00AE55A2" w:rsidRPr="00504B99" w:rsidRDefault="00AE55A2" w:rsidP="00FF51C7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Materials, Supplies and Others</w:t>
            </w:r>
          </w:p>
        </w:tc>
        <w:tc>
          <w:tcPr>
            <w:tcW w:w="1397" w:type="dxa"/>
            <w:vAlign w:val="center"/>
          </w:tcPr>
          <w:p w:rsidR="00AE55A2" w:rsidRPr="00504B99" w:rsidRDefault="00AE55A2" w:rsidP="00FF51C7">
            <w:pPr>
              <w:pStyle w:val="ITAbsatzohneNr"/>
              <w:rPr>
                <w:sz w:val="22"/>
                <w:lang w:val="en-GB"/>
              </w:rPr>
            </w:pPr>
            <w:r w:rsidRPr="00504B99">
              <w:rPr>
                <w:sz w:val="22"/>
                <w:lang w:val="en-GB"/>
              </w:rPr>
              <w:t>Total Costs</w:t>
            </w:r>
          </w:p>
        </w:tc>
      </w:tr>
      <w:tr w:rsidR="00AE55A2" w:rsidRPr="00504B99" w:rsidTr="002C1BC2">
        <w:trPr>
          <w:trHeight w:val="241"/>
        </w:trPr>
        <w:tc>
          <w:tcPr>
            <w:tcW w:w="1199" w:type="dxa"/>
          </w:tcPr>
          <w:p w:rsidR="00AE55A2" w:rsidRPr="00504B99" w:rsidRDefault="00E27562" w:rsidP="00BB67C7">
            <w:pPr>
              <w:pStyle w:val="ITAbsatzohneNr"/>
              <w:jc w:val="center"/>
              <w:rPr>
                <w:sz w:val="22"/>
              </w:rPr>
            </w:pPr>
            <w:r w:rsidRPr="00504B99">
              <w:rPr>
                <w:sz w:val="22"/>
              </w:rPr>
              <w:t>RD</w:t>
            </w:r>
          </w:p>
        </w:tc>
        <w:tc>
          <w:tcPr>
            <w:tcW w:w="1199" w:type="dxa"/>
          </w:tcPr>
          <w:p w:rsidR="00AE55A2" w:rsidRPr="00504B99" w:rsidRDefault="00AE55A2" w:rsidP="00BB67C7">
            <w:pPr>
              <w:pStyle w:val="ITAbsatzohneNr"/>
              <w:jc w:val="center"/>
              <w:rPr>
                <w:sz w:val="22"/>
              </w:rPr>
            </w:pPr>
          </w:p>
        </w:tc>
        <w:tc>
          <w:tcPr>
            <w:tcW w:w="1397" w:type="dxa"/>
          </w:tcPr>
          <w:p w:rsidR="00AE55A2" w:rsidRPr="00504B99" w:rsidRDefault="00AE55A2" w:rsidP="007461DE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266" w:type="dxa"/>
          </w:tcPr>
          <w:p w:rsidR="00AE55A2" w:rsidRPr="00504B99" w:rsidRDefault="00AE55A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168" w:type="dxa"/>
          </w:tcPr>
          <w:p w:rsidR="00AE55A2" w:rsidRPr="00504B99" w:rsidRDefault="00AE55A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266" w:type="dxa"/>
          </w:tcPr>
          <w:p w:rsidR="00AE55A2" w:rsidRPr="00504B99" w:rsidRDefault="00AE55A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397" w:type="dxa"/>
          </w:tcPr>
          <w:p w:rsidR="00AE55A2" w:rsidRPr="00504B99" w:rsidRDefault="00AE55A2" w:rsidP="007461DE">
            <w:pPr>
              <w:pStyle w:val="ITAbsatzohneNr"/>
              <w:keepNext/>
              <w:jc w:val="right"/>
              <w:rPr>
                <w:sz w:val="22"/>
                <w:lang w:val="en-US"/>
              </w:rPr>
            </w:pPr>
          </w:p>
        </w:tc>
      </w:tr>
      <w:tr w:rsidR="00E27562" w:rsidRPr="00504B99" w:rsidTr="002C1BC2">
        <w:trPr>
          <w:trHeight w:val="234"/>
        </w:trPr>
        <w:tc>
          <w:tcPr>
            <w:tcW w:w="1199" w:type="dxa"/>
          </w:tcPr>
          <w:p w:rsidR="00E27562" w:rsidRPr="00504B99" w:rsidRDefault="00E27562" w:rsidP="00BB67C7">
            <w:pPr>
              <w:pStyle w:val="ITAbsatzohneNr"/>
              <w:jc w:val="center"/>
              <w:rPr>
                <w:sz w:val="22"/>
              </w:rPr>
            </w:pPr>
            <w:r w:rsidRPr="00504B99">
              <w:rPr>
                <w:sz w:val="22"/>
              </w:rPr>
              <w:t>FID</w:t>
            </w:r>
          </w:p>
        </w:tc>
        <w:tc>
          <w:tcPr>
            <w:tcW w:w="1199" w:type="dxa"/>
          </w:tcPr>
          <w:p w:rsidR="00E27562" w:rsidRPr="00504B99" w:rsidRDefault="00E27562" w:rsidP="00BB67C7">
            <w:pPr>
              <w:pStyle w:val="ITAbsatzohneNr"/>
              <w:jc w:val="center"/>
              <w:rPr>
                <w:sz w:val="22"/>
              </w:rPr>
            </w:pPr>
          </w:p>
        </w:tc>
        <w:tc>
          <w:tcPr>
            <w:tcW w:w="1397" w:type="dxa"/>
          </w:tcPr>
          <w:p w:rsidR="00E27562" w:rsidRPr="00504B99" w:rsidRDefault="00E27562" w:rsidP="007461DE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266" w:type="dxa"/>
          </w:tcPr>
          <w:p w:rsidR="00E27562" w:rsidRPr="00504B99" w:rsidRDefault="00E2756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168" w:type="dxa"/>
          </w:tcPr>
          <w:p w:rsidR="00E27562" w:rsidRPr="00504B99" w:rsidRDefault="00E2756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266" w:type="dxa"/>
          </w:tcPr>
          <w:p w:rsidR="00E27562" w:rsidRPr="00504B99" w:rsidRDefault="00E27562" w:rsidP="00EA378C">
            <w:pPr>
              <w:pStyle w:val="ITAbsatzohneNr"/>
              <w:jc w:val="right"/>
              <w:rPr>
                <w:sz w:val="22"/>
                <w:lang w:val="en-US"/>
              </w:rPr>
            </w:pPr>
          </w:p>
        </w:tc>
        <w:tc>
          <w:tcPr>
            <w:tcW w:w="1397" w:type="dxa"/>
          </w:tcPr>
          <w:p w:rsidR="00E27562" w:rsidRPr="00504B99" w:rsidRDefault="00E27562" w:rsidP="007461DE">
            <w:pPr>
              <w:pStyle w:val="ITAbsatzohneNr"/>
              <w:keepNext/>
              <w:jc w:val="right"/>
              <w:rPr>
                <w:sz w:val="22"/>
                <w:lang w:val="en-US"/>
              </w:rPr>
            </w:pPr>
          </w:p>
        </w:tc>
      </w:tr>
    </w:tbl>
    <w:p w:rsidR="00AD6721" w:rsidRPr="00504B99" w:rsidRDefault="00AD6721">
      <w:pPr>
        <w:pStyle w:val="Beschriftung"/>
        <w:rPr>
          <w:lang w:val="en-GB"/>
        </w:rPr>
      </w:pPr>
      <w:r w:rsidRPr="00504B99">
        <w:rPr>
          <w:lang w:val="en-US"/>
        </w:rPr>
        <w:t xml:space="preserve">Table </w:t>
      </w:r>
      <w:r w:rsidR="00834A31" w:rsidRPr="00504B99">
        <w:rPr>
          <w:lang w:val="en-US"/>
        </w:rPr>
        <w:t>4</w:t>
      </w:r>
      <w:r w:rsidRPr="00504B99">
        <w:rPr>
          <w:lang w:val="en-US"/>
        </w:rPr>
        <w:t xml:space="preserve">: Eligible Costs </w:t>
      </w:r>
      <w:r w:rsidRPr="00504B99">
        <w:rPr>
          <w:lang w:val="en-GB"/>
        </w:rPr>
        <w:t xml:space="preserve">(R&amp;D&amp;I and First </w:t>
      </w:r>
      <w:r w:rsidR="00277985" w:rsidRPr="00504B99">
        <w:rPr>
          <w:lang w:val="en-GB"/>
        </w:rPr>
        <w:t xml:space="preserve">Industrial </w:t>
      </w:r>
      <w:r w:rsidRPr="00504B99">
        <w:rPr>
          <w:lang w:val="en-GB"/>
        </w:rPr>
        <w:t>Deployment)</w:t>
      </w:r>
      <w:r w:rsidR="00FF51C7" w:rsidRPr="00504B99">
        <w:rPr>
          <w:rStyle w:val="Funotenzeichen"/>
        </w:rPr>
        <w:footnoteReference w:id="1"/>
      </w:r>
      <w:r w:rsidRPr="00504B99">
        <w:rPr>
          <w:lang w:val="en-GB"/>
        </w:rPr>
        <w:t xml:space="preserve"> [EUR]</w:t>
      </w:r>
    </w:p>
    <w:p w:rsidR="00592595" w:rsidRPr="000956E9" w:rsidRDefault="00592595" w:rsidP="00504B99">
      <w:pPr>
        <w:jc w:val="both"/>
        <w:rPr>
          <w:sz w:val="22"/>
          <w:szCs w:val="22"/>
          <w:lang w:val="en-GB"/>
        </w:rPr>
      </w:pPr>
      <w:r w:rsidRPr="00504B99">
        <w:rPr>
          <w:sz w:val="22"/>
          <w:szCs w:val="22"/>
          <w:lang w:val="en-GB"/>
        </w:rPr>
        <w:t xml:space="preserve">*: with respect of the terminal values at the end of first industrial deployment phase in </w:t>
      </w:r>
      <w:r w:rsidR="00277985" w:rsidRPr="00504B99">
        <w:rPr>
          <w:sz w:val="22"/>
          <w:szCs w:val="22"/>
          <w:lang w:val="en-GB"/>
        </w:rPr>
        <w:t>MM.YYYY</w:t>
      </w:r>
      <w:r w:rsidRPr="00A16672">
        <w:rPr>
          <w:sz w:val="22"/>
          <w:szCs w:val="22"/>
          <w:lang w:val="en-GB"/>
        </w:rPr>
        <w:t>.</w:t>
      </w:r>
    </w:p>
    <w:p w:rsidR="007E2EC8" w:rsidRPr="000956E9" w:rsidRDefault="007E2EC8" w:rsidP="007E2EC8">
      <w:pPr>
        <w:rPr>
          <w:lang w:val="en-US"/>
        </w:rPr>
      </w:pPr>
    </w:p>
    <w:p w:rsidR="000F4493" w:rsidRPr="00504B99" w:rsidRDefault="00EA378C" w:rsidP="000F4493">
      <w:pPr>
        <w:pStyle w:val="ITberschrift11"/>
        <w:rPr>
          <w:lang w:val="en-US"/>
        </w:rPr>
      </w:pPr>
      <w:bookmarkStart w:id="14" w:name="_Toc529275650"/>
      <w:r w:rsidRPr="000956E9">
        <w:rPr>
          <w:lang w:val="en-US"/>
        </w:rPr>
        <w:t>State A</w:t>
      </w:r>
      <w:r w:rsidR="000F4493" w:rsidRPr="00504B99">
        <w:rPr>
          <w:lang w:val="en-US"/>
        </w:rPr>
        <w:t>id</w:t>
      </w:r>
      <w:bookmarkEnd w:id="14"/>
    </w:p>
    <w:p w:rsidR="00BF0165" w:rsidRPr="00504B99" w:rsidRDefault="00BF0165" w:rsidP="00AD6721">
      <w:pPr>
        <w:rPr>
          <w:sz w:val="22"/>
          <w:szCs w:val="22"/>
          <w:lang w:val="en-GB"/>
        </w:rPr>
      </w:pPr>
    </w:p>
    <w:tbl>
      <w:tblPr>
        <w:tblStyle w:val="Tabellenraster"/>
        <w:tblW w:w="9174" w:type="dxa"/>
        <w:tblLayout w:type="fixed"/>
        <w:tblLook w:val="04A0" w:firstRow="1" w:lastRow="0" w:firstColumn="1" w:lastColumn="0" w:noHBand="0" w:noVBand="1"/>
      </w:tblPr>
      <w:tblGrid>
        <w:gridCol w:w="750"/>
        <w:gridCol w:w="1108"/>
        <w:gridCol w:w="1330"/>
        <w:gridCol w:w="952"/>
        <w:gridCol w:w="932"/>
        <w:gridCol w:w="998"/>
        <w:gridCol w:w="1030"/>
        <w:gridCol w:w="1076"/>
        <w:gridCol w:w="998"/>
      </w:tblGrid>
      <w:tr w:rsidR="002C1BC2" w:rsidRPr="002C1BC2" w:rsidTr="002C1BC2">
        <w:trPr>
          <w:trHeight w:val="231"/>
        </w:trPr>
        <w:tc>
          <w:tcPr>
            <w:tcW w:w="750" w:type="dxa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Technical Fields</w:t>
            </w:r>
          </w:p>
        </w:tc>
        <w:tc>
          <w:tcPr>
            <w:tcW w:w="1108" w:type="dxa"/>
            <w:vAlign w:val="center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Construction of buildings/ laboratory etc.</w:t>
            </w:r>
          </w:p>
        </w:tc>
        <w:tc>
          <w:tcPr>
            <w:tcW w:w="1330" w:type="dxa"/>
            <w:vAlign w:val="center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Investments</w:t>
            </w:r>
          </w:p>
        </w:tc>
        <w:tc>
          <w:tcPr>
            <w:tcW w:w="952" w:type="dxa"/>
            <w:vAlign w:val="center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Personnel</w:t>
            </w:r>
          </w:p>
        </w:tc>
        <w:tc>
          <w:tcPr>
            <w:tcW w:w="932" w:type="dxa"/>
            <w:vAlign w:val="center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 xml:space="preserve">Subcontracts </w:t>
            </w:r>
          </w:p>
        </w:tc>
        <w:tc>
          <w:tcPr>
            <w:tcW w:w="998" w:type="dxa"/>
            <w:vAlign w:val="center"/>
          </w:tcPr>
          <w:p w:rsidR="002C1BC2" w:rsidRPr="002C1BC2" w:rsidRDefault="002C1BC2" w:rsidP="00C90144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Materials, Supplies and Others</w:t>
            </w:r>
          </w:p>
        </w:tc>
        <w:tc>
          <w:tcPr>
            <w:tcW w:w="1030" w:type="dxa"/>
          </w:tcPr>
          <w:p w:rsidR="002C1BC2" w:rsidRPr="002C1BC2" w:rsidRDefault="002C1BC2" w:rsidP="00277985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State aid instrument</w:t>
            </w:r>
          </w:p>
        </w:tc>
        <w:tc>
          <w:tcPr>
            <w:tcW w:w="1076" w:type="dxa"/>
            <w:vAlign w:val="center"/>
          </w:tcPr>
          <w:p w:rsidR="002C1BC2" w:rsidRPr="002C1BC2" w:rsidRDefault="002C1BC2" w:rsidP="00277985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Planned Total State Aid</w:t>
            </w:r>
          </w:p>
        </w:tc>
        <w:tc>
          <w:tcPr>
            <w:tcW w:w="998" w:type="dxa"/>
          </w:tcPr>
          <w:p w:rsidR="002C1BC2" w:rsidRPr="002C1BC2" w:rsidRDefault="002C1BC2" w:rsidP="00277985">
            <w:pPr>
              <w:pStyle w:val="ITAbsatzohneNr"/>
              <w:rPr>
                <w:sz w:val="16"/>
                <w:szCs w:val="16"/>
                <w:lang w:val="en-GB"/>
              </w:rPr>
            </w:pPr>
            <w:r w:rsidRPr="002C1BC2">
              <w:rPr>
                <w:sz w:val="16"/>
                <w:szCs w:val="16"/>
                <w:lang w:val="en-GB"/>
              </w:rPr>
              <w:t>Gross grant equivalent</w:t>
            </w:r>
          </w:p>
        </w:tc>
      </w:tr>
      <w:tr w:rsidR="002C1BC2" w:rsidRPr="002C1BC2" w:rsidTr="002C1BC2">
        <w:trPr>
          <w:trHeight w:val="116"/>
        </w:trPr>
        <w:tc>
          <w:tcPr>
            <w:tcW w:w="750" w:type="dxa"/>
          </w:tcPr>
          <w:p w:rsidR="002C1BC2" w:rsidRPr="002C1BC2" w:rsidRDefault="002C1BC2" w:rsidP="00C90144">
            <w:pPr>
              <w:pStyle w:val="ITAbsatzohneNr"/>
              <w:jc w:val="center"/>
              <w:rPr>
                <w:sz w:val="16"/>
                <w:szCs w:val="16"/>
              </w:rPr>
            </w:pPr>
            <w:r w:rsidRPr="002C1BC2">
              <w:rPr>
                <w:sz w:val="16"/>
                <w:szCs w:val="16"/>
              </w:rPr>
              <w:t>RDI</w:t>
            </w:r>
          </w:p>
        </w:tc>
        <w:tc>
          <w:tcPr>
            <w:tcW w:w="1108" w:type="dxa"/>
          </w:tcPr>
          <w:p w:rsidR="002C1BC2" w:rsidRPr="002C1BC2" w:rsidRDefault="002C1BC2" w:rsidP="00C90144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:rsidR="002C1BC2" w:rsidRPr="002C1BC2" w:rsidRDefault="002C1BC2" w:rsidP="00C90144">
            <w:pPr>
              <w:pStyle w:val="ITAbsatzohneNr"/>
              <w:jc w:val="right"/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2C1BC2" w:rsidRPr="002C1BC2" w:rsidRDefault="002C1BC2" w:rsidP="00C90144">
            <w:pPr>
              <w:pStyle w:val="ITAbsatzohneNr"/>
              <w:jc w:val="right"/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:rsidR="002C1BC2" w:rsidRPr="002C1BC2" w:rsidRDefault="002C1BC2" w:rsidP="00C90144">
            <w:pPr>
              <w:pStyle w:val="ITAbsatzohneNr"/>
              <w:jc w:val="right"/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2C1BC2" w:rsidRPr="002C1BC2" w:rsidRDefault="002C1BC2" w:rsidP="00C90144">
            <w:pPr>
              <w:pStyle w:val="ITAbsatzohneNr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30" w:type="dxa"/>
          </w:tcPr>
          <w:p w:rsidR="002C1BC2" w:rsidRPr="002C1BC2" w:rsidRDefault="002C1BC2" w:rsidP="00C90144">
            <w:pPr>
              <w:pStyle w:val="ITAbsatzohneNr"/>
              <w:keepNext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76" w:type="dxa"/>
          </w:tcPr>
          <w:p w:rsidR="002C1BC2" w:rsidRPr="002C1BC2" w:rsidRDefault="002C1BC2" w:rsidP="00C90144">
            <w:pPr>
              <w:pStyle w:val="ITAbsatzohneNr"/>
              <w:keepNext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:rsidR="002C1BC2" w:rsidRPr="002C1BC2" w:rsidRDefault="002C1BC2" w:rsidP="00C90144">
            <w:pPr>
              <w:pStyle w:val="ITAbsatzohneNr"/>
              <w:keepNext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2C1BC2" w:rsidRPr="002C1BC2" w:rsidTr="002C1BC2">
        <w:trPr>
          <w:trHeight w:val="116"/>
        </w:trPr>
        <w:tc>
          <w:tcPr>
            <w:tcW w:w="750" w:type="dxa"/>
          </w:tcPr>
          <w:p w:rsidR="002C1BC2" w:rsidRPr="002C1BC2" w:rsidRDefault="002C1BC2" w:rsidP="00C90144">
            <w:pPr>
              <w:pStyle w:val="ITAbsatzohneNr"/>
              <w:jc w:val="center"/>
              <w:rPr>
                <w:sz w:val="16"/>
                <w:szCs w:val="16"/>
              </w:rPr>
            </w:pPr>
            <w:r w:rsidRPr="002C1BC2">
              <w:rPr>
                <w:sz w:val="16"/>
                <w:szCs w:val="16"/>
              </w:rPr>
              <w:t>FID</w:t>
            </w:r>
          </w:p>
        </w:tc>
        <w:tc>
          <w:tcPr>
            <w:tcW w:w="1108" w:type="dxa"/>
          </w:tcPr>
          <w:p w:rsidR="002C1BC2" w:rsidRPr="002C1BC2" w:rsidRDefault="002C1BC2" w:rsidP="00C90144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1030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1076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2C1BC2" w:rsidRPr="002C1BC2" w:rsidRDefault="002C1BC2" w:rsidP="002C1BC2">
            <w:pPr>
              <w:pStyle w:val="ITAbsatzohneNr"/>
              <w:jc w:val="center"/>
              <w:rPr>
                <w:sz w:val="16"/>
                <w:szCs w:val="16"/>
              </w:rPr>
            </w:pPr>
          </w:p>
        </w:tc>
      </w:tr>
    </w:tbl>
    <w:p w:rsidR="00BF0165" w:rsidRPr="00504B99" w:rsidRDefault="00BF0165" w:rsidP="00BF0165">
      <w:pPr>
        <w:pStyle w:val="Beschriftung"/>
        <w:rPr>
          <w:lang w:val="en-GB"/>
        </w:rPr>
      </w:pPr>
      <w:r w:rsidRPr="00504B99">
        <w:rPr>
          <w:lang w:val="en-US"/>
        </w:rPr>
        <w:t xml:space="preserve">Table </w:t>
      </w:r>
      <w:r w:rsidR="00834A31" w:rsidRPr="00504B99">
        <w:rPr>
          <w:lang w:val="en-US"/>
        </w:rPr>
        <w:t>5</w:t>
      </w:r>
      <w:r w:rsidRPr="00504B99">
        <w:rPr>
          <w:lang w:val="en-US"/>
        </w:rPr>
        <w:t>:</w:t>
      </w:r>
      <w:r w:rsidRPr="00504B99">
        <w:rPr>
          <w:lang w:val="en-GB"/>
        </w:rPr>
        <w:t xml:space="preserve"> State Aid (R&amp;D&amp;I and </w:t>
      </w:r>
      <w:r w:rsidR="00277985" w:rsidRPr="00504B99">
        <w:rPr>
          <w:lang w:val="en-GB"/>
        </w:rPr>
        <w:t>F</w:t>
      </w:r>
      <w:r w:rsidRPr="00504B99">
        <w:rPr>
          <w:lang w:val="en-GB"/>
        </w:rPr>
        <w:t>irst</w:t>
      </w:r>
      <w:r w:rsidR="00277985" w:rsidRPr="00504B99">
        <w:rPr>
          <w:lang w:val="en-GB"/>
        </w:rPr>
        <w:t xml:space="preserve"> Industrial</w:t>
      </w:r>
      <w:r w:rsidRPr="00504B99">
        <w:rPr>
          <w:lang w:val="en-GB"/>
        </w:rPr>
        <w:t xml:space="preserve"> Deployment)</w:t>
      </w:r>
      <w:r w:rsidRPr="00504B99">
        <w:rPr>
          <w:rStyle w:val="Funotenzeichen"/>
          <w:lang w:val="en-US"/>
        </w:rPr>
        <w:t xml:space="preserve"> 1</w:t>
      </w:r>
      <w:r w:rsidRPr="00504B99">
        <w:rPr>
          <w:lang w:val="en-GB"/>
        </w:rPr>
        <w:t xml:space="preserve"> [EUR]</w:t>
      </w:r>
    </w:p>
    <w:p w:rsidR="00183AE8" w:rsidRPr="00504B99" w:rsidRDefault="00183AE8" w:rsidP="00504B99">
      <w:pPr>
        <w:pStyle w:val="ITAbsatzohneNr"/>
        <w:spacing w:after="120" w:line="360" w:lineRule="auto"/>
        <w:jc w:val="both"/>
        <w:rPr>
          <w:i/>
          <w:lang w:val="en-GB"/>
        </w:rPr>
      </w:pPr>
    </w:p>
    <w:p w:rsidR="00183AE8" w:rsidRPr="00504B99" w:rsidRDefault="00183AE8" w:rsidP="00504B99">
      <w:pPr>
        <w:pStyle w:val="ITAbsatzohneNr"/>
        <w:spacing w:after="120" w:line="360" w:lineRule="auto"/>
        <w:jc w:val="both"/>
        <w:rPr>
          <w:i/>
          <w:lang w:val="en-GB"/>
        </w:rPr>
      </w:pPr>
    </w:p>
    <w:p w:rsidR="00277985" w:rsidRPr="00504B99" w:rsidRDefault="00277985" w:rsidP="005F57A6">
      <w:pPr>
        <w:pStyle w:val="ITAbsatzohneNr"/>
        <w:spacing w:after="120"/>
        <w:jc w:val="both"/>
        <w:rPr>
          <w:i/>
          <w:sz w:val="22"/>
          <w:lang w:val="en-US"/>
        </w:rPr>
      </w:pPr>
    </w:p>
    <w:p w:rsidR="009C1921" w:rsidRPr="00504B99" w:rsidRDefault="006847E3" w:rsidP="009C1921">
      <w:pPr>
        <w:pStyle w:val="ITberschrift1"/>
        <w:numPr>
          <w:ilvl w:val="0"/>
          <w:numId w:val="14"/>
        </w:numPr>
        <w:rPr>
          <w:lang w:val="en-GB"/>
        </w:rPr>
      </w:pPr>
      <w:bookmarkStart w:id="15" w:name="_Toc509925461"/>
      <w:bookmarkStart w:id="16" w:name="_Toc529275651"/>
      <w:r w:rsidRPr="00504B99">
        <w:rPr>
          <w:lang w:val="en-GB"/>
        </w:rPr>
        <w:t>Spill-</w:t>
      </w:r>
      <w:r w:rsidR="009C1921" w:rsidRPr="00504B99">
        <w:rPr>
          <w:lang w:val="en-GB"/>
        </w:rPr>
        <w:t xml:space="preserve">over </w:t>
      </w:r>
      <w:r w:rsidR="00DD5ED5" w:rsidRPr="00504B99">
        <w:rPr>
          <w:lang w:val="en-GB"/>
        </w:rPr>
        <w:t>E</w:t>
      </w:r>
      <w:r w:rsidR="009C1921" w:rsidRPr="00504B99">
        <w:rPr>
          <w:lang w:val="en-GB"/>
        </w:rPr>
        <w:t>ffects</w:t>
      </w:r>
      <w:bookmarkEnd w:id="15"/>
      <w:bookmarkEnd w:id="16"/>
    </w:p>
    <w:p w:rsidR="009C1921" w:rsidRDefault="004766EF" w:rsidP="009C1921">
      <w:pPr>
        <w:pStyle w:val="ITberschrift11"/>
        <w:numPr>
          <w:ilvl w:val="1"/>
          <w:numId w:val="14"/>
        </w:numPr>
        <w:rPr>
          <w:lang w:val="en-GB"/>
        </w:rPr>
      </w:pPr>
      <w:bookmarkStart w:id="17" w:name="_Toc509925463"/>
      <w:bookmarkStart w:id="18" w:name="_Toc529275652"/>
      <w:r w:rsidRPr="00504B99">
        <w:rPr>
          <w:lang w:val="en-GB"/>
        </w:rPr>
        <w:t>Spill-</w:t>
      </w:r>
      <w:r w:rsidR="00DD5ED5" w:rsidRPr="00504B99">
        <w:rPr>
          <w:lang w:val="en-GB"/>
        </w:rPr>
        <w:t xml:space="preserve">over </w:t>
      </w:r>
      <w:bookmarkEnd w:id="17"/>
      <w:r w:rsidR="00A16672" w:rsidRPr="00504B99">
        <w:rPr>
          <w:lang w:val="en-GB"/>
        </w:rPr>
        <w:t>by non-protected results diffusion</w:t>
      </w:r>
      <w:bookmarkEnd w:id="18"/>
    </w:p>
    <w:p w:rsidR="000956E9" w:rsidRPr="00504B99" w:rsidRDefault="000956E9" w:rsidP="00504B99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Publications and communication on IPCEI results</w:t>
      </w:r>
    </w:p>
    <w:p w:rsidR="009C1921" w:rsidRDefault="004766EF" w:rsidP="009C1921">
      <w:pPr>
        <w:pStyle w:val="ITberschrift11"/>
        <w:numPr>
          <w:ilvl w:val="1"/>
          <w:numId w:val="14"/>
        </w:numPr>
        <w:rPr>
          <w:lang w:val="en-GB"/>
        </w:rPr>
      </w:pPr>
      <w:bookmarkStart w:id="19" w:name="_Toc509925464"/>
      <w:bookmarkStart w:id="20" w:name="_Toc529275653"/>
      <w:r w:rsidRPr="000956E9">
        <w:rPr>
          <w:lang w:val="en-GB"/>
        </w:rPr>
        <w:t>Spill-</w:t>
      </w:r>
      <w:r w:rsidR="009C1921" w:rsidRPr="000956E9">
        <w:rPr>
          <w:lang w:val="en-GB"/>
        </w:rPr>
        <w:t xml:space="preserve">over </w:t>
      </w:r>
      <w:bookmarkEnd w:id="19"/>
      <w:r w:rsidR="00A16672" w:rsidRPr="000956E9">
        <w:rPr>
          <w:lang w:val="en-GB"/>
        </w:rPr>
        <w:t>by IP protected results diffusion</w:t>
      </w:r>
      <w:bookmarkEnd w:id="20"/>
    </w:p>
    <w:p w:rsidR="000956E9" w:rsidRPr="00504B99" w:rsidRDefault="000956E9" w:rsidP="00504B99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Kind of licences (rec. Non exclusives FRAND</w:t>
      </w:r>
      <w:r>
        <w:rPr>
          <w:i/>
          <w:sz w:val="22"/>
          <w:szCs w:val="22"/>
          <w:lang w:val="en-GB"/>
        </w:rPr>
        <w:t>)</w:t>
      </w:r>
    </w:p>
    <w:p w:rsidR="009C1921" w:rsidRPr="000956E9" w:rsidRDefault="004766EF" w:rsidP="004766EF">
      <w:pPr>
        <w:pStyle w:val="ITberschrift11"/>
        <w:rPr>
          <w:lang w:val="en-GB"/>
        </w:rPr>
      </w:pPr>
      <w:bookmarkStart w:id="21" w:name="_Toc509925465"/>
      <w:bookmarkStart w:id="22" w:name="_Toc529275654"/>
      <w:r w:rsidRPr="000956E9">
        <w:rPr>
          <w:lang w:val="en-GB"/>
        </w:rPr>
        <w:t>Spill-</w:t>
      </w:r>
      <w:r w:rsidR="00DD5ED5" w:rsidRPr="000956E9">
        <w:rPr>
          <w:lang w:val="en-GB"/>
        </w:rPr>
        <w:t xml:space="preserve">over </w:t>
      </w:r>
      <w:bookmarkEnd w:id="21"/>
      <w:r w:rsidR="00A16672" w:rsidRPr="000956E9">
        <w:rPr>
          <w:lang w:val="en-GB"/>
        </w:rPr>
        <w:t>in FID phases</w:t>
      </w:r>
      <w:bookmarkEnd w:id="22"/>
    </w:p>
    <w:p w:rsidR="009C1921" w:rsidRPr="000956E9" w:rsidRDefault="000956E9" w:rsidP="004766EF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Open infrastructures for SMES, RTO, </w:t>
      </w:r>
      <w:r w:rsidR="00C7449B">
        <w:rPr>
          <w:i/>
          <w:lang w:val="en-GB"/>
        </w:rPr>
        <w:t>s</w:t>
      </w:r>
      <w:r>
        <w:rPr>
          <w:i/>
          <w:lang w:val="en-GB"/>
        </w:rPr>
        <w:t>tart-up.</w:t>
      </w:r>
    </w:p>
    <w:p w:rsidR="00183AE8" w:rsidRPr="000956E9" w:rsidRDefault="00183AE8" w:rsidP="004766EF">
      <w:pPr>
        <w:pStyle w:val="ITAbsatzohneNr"/>
        <w:spacing w:after="120"/>
        <w:jc w:val="both"/>
        <w:rPr>
          <w:i/>
          <w:lang w:val="en-GB"/>
        </w:rPr>
      </w:pPr>
    </w:p>
    <w:p w:rsidR="00183AE8" w:rsidRPr="000956E9" w:rsidRDefault="00183AE8" w:rsidP="00504B99">
      <w:pPr>
        <w:pStyle w:val="ITberschrift1"/>
        <w:numPr>
          <w:ilvl w:val="0"/>
          <w:numId w:val="14"/>
        </w:numPr>
        <w:rPr>
          <w:lang w:val="en-GB"/>
        </w:rPr>
      </w:pPr>
      <w:bookmarkStart w:id="23" w:name="_Toc529275655"/>
      <w:r w:rsidRPr="000956E9">
        <w:rPr>
          <w:lang w:val="en-GB"/>
        </w:rPr>
        <w:t>Other positive effect on the market</w:t>
      </w:r>
      <w:bookmarkEnd w:id="23"/>
    </w:p>
    <w:p w:rsidR="00183AE8" w:rsidRPr="00504B99" w:rsidRDefault="00183AE8" w:rsidP="00183AE8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lang w:val="en-GB"/>
        </w:rPr>
        <w:t xml:space="preserve">Increasing the level of R&amp;D and </w:t>
      </w:r>
      <w:r w:rsidR="00C7449B" w:rsidRPr="00504B99">
        <w:rPr>
          <w:lang w:val="en-GB"/>
        </w:rPr>
        <w:t>innovations in</w:t>
      </w:r>
      <w:r w:rsidRPr="00504B99">
        <w:rPr>
          <w:lang w:val="en-GB"/>
        </w:rPr>
        <w:t xml:space="preserve"> Europe</w:t>
      </w:r>
      <w:r w:rsidR="00C7449B">
        <w:rPr>
          <w:lang w:val="en-GB"/>
        </w:rPr>
        <w:t xml:space="preserve">. </w:t>
      </w:r>
      <w:r w:rsidRPr="00504B99">
        <w:rPr>
          <w:i/>
          <w:lang w:val="en-GB"/>
        </w:rPr>
        <w:t xml:space="preserve">Description of how the project </w:t>
      </w:r>
      <w:r w:rsidR="00C7449B" w:rsidRPr="00504B99">
        <w:rPr>
          <w:i/>
          <w:lang w:val="en-GB"/>
        </w:rPr>
        <w:t>will increase</w:t>
      </w:r>
      <w:r w:rsidRPr="00504B99">
        <w:rPr>
          <w:i/>
          <w:lang w:val="en-GB"/>
        </w:rPr>
        <w:t xml:space="preserve"> the level of innovation and R&amp;D in the sector </w:t>
      </w:r>
      <w:r w:rsidR="001D6A22" w:rsidRPr="00504B99">
        <w:rPr>
          <w:i/>
          <w:lang w:val="en-GB"/>
        </w:rPr>
        <w:t>and the</w:t>
      </w:r>
      <w:r w:rsidRPr="00504B99">
        <w:rPr>
          <w:i/>
          <w:lang w:val="en-GB"/>
        </w:rPr>
        <w:t xml:space="preserve"> European economy and society.</w:t>
      </w:r>
    </w:p>
    <w:p w:rsidR="00183AE8" w:rsidRPr="00504B99" w:rsidRDefault="00183AE8" w:rsidP="00504B99">
      <w:pPr>
        <w:pStyle w:val="ITberschrift11"/>
        <w:numPr>
          <w:ilvl w:val="1"/>
          <w:numId w:val="53"/>
        </w:numPr>
        <w:rPr>
          <w:lang w:val="en-GB"/>
        </w:rPr>
      </w:pPr>
      <w:bookmarkStart w:id="24" w:name="_Toc529275656"/>
      <w:r w:rsidRPr="00504B99">
        <w:rPr>
          <w:lang w:val="en-GB"/>
        </w:rPr>
        <w:t>Impact of the Project on Employment and New Investments in Europe</w:t>
      </w:r>
      <w:bookmarkEnd w:id="24"/>
    </w:p>
    <w:p w:rsidR="00183AE8" w:rsidRPr="00504B99" w:rsidRDefault="00183AE8" w:rsidP="00183AE8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Estimation of the quantitative</w:t>
      </w:r>
      <w:r w:rsidR="00C454AC" w:rsidRPr="00504B99">
        <w:rPr>
          <w:i/>
          <w:lang w:val="en-GB"/>
        </w:rPr>
        <w:t xml:space="preserve"> and qualitative</w:t>
      </w:r>
      <w:r w:rsidRPr="00504B99">
        <w:rPr>
          <w:i/>
          <w:lang w:val="en-GB"/>
        </w:rPr>
        <w:t xml:space="preserve"> impact of your project on</w:t>
      </w:r>
      <w:r w:rsidR="00C454AC" w:rsidRPr="00504B99">
        <w:rPr>
          <w:i/>
          <w:lang w:val="en-GB"/>
        </w:rPr>
        <w:t xml:space="preserve"> direct and indirect</w:t>
      </w:r>
      <w:r w:rsidRPr="00504B99">
        <w:rPr>
          <w:i/>
          <w:lang w:val="en-GB"/>
        </w:rPr>
        <w:t xml:space="preserve"> employment and</w:t>
      </w:r>
      <w:r w:rsidR="00C454AC" w:rsidRPr="00504B99">
        <w:rPr>
          <w:i/>
          <w:lang w:val="en-GB"/>
        </w:rPr>
        <w:t xml:space="preserve"> training in European economy and </w:t>
      </w:r>
      <w:r w:rsidR="00C7449B" w:rsidRPr="00504B99">
        <w:rPr>
          <w:i/>
          <w:lang w:val="en-GB"/>
        </w:rPr>
        <w:t>society</w:t>
      </w:r>
      <w:r w:rsidRPr="00504B99">
        <w:rPr>
          <w:i/>
          <w:lang w:val="en-GB"/>
        </w:rPr>
        <w:t xml:space="preserve"> new investments in Europe.</w:t>
      </w:r>
    </w:p>
    <w:p w:rsidR="00C454AC" w:rsidRPr="00504B99" w:rsidRDefault="00C454AC" w:rsidP="00504B99">
      <w:pPr>
        <w:pStyle w:val="ITberschrift11"/>
        <w:numPr>
          <w:ilvl w:val="1"/>
          <w:numId w:val="53"/>
        </w:numPr>
        <w:rPr>
          <w:lang w:val="en-GB"/>
        </w:rPr>
      </w:pPr>
      <w:bookmarkStart w:id="25" w:name="_Toc529275657"/>
      <w:r w:rsidRPr="00504B99">
        <w:rPr>
          <w:lang w:val="en-GB"/>
        </w:rPr>
        <w:t>Environmental protection and energy dependence</w:t>
      </w:r>
      <w:bookmarkEnd w:id="25"/>
    </w:p>
    <w:p w:rsidR="00183AE8" w:rsidRPr="000956E9" w:rsidRDefault="00C454AC" w:rsidP="004766EF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Description </w:t>
      </w:r>
      <w:r w:rsidR="001D6A22">
        <w:rPr>
          <w:i/>
          <w:lang w:val="en-GB"/>
        </w:rPr>
        <w:t>of</w:t>
      </w:r>
      <w:r w:rsidR="001D6A22" w:rsidRPr="00A16672">
        <w:rPr>
          <w:i/>
          <w:lang w:val="en-GB"/>
        </w:rPr>
        <w:t xml:space="preserve"> the</w:t>
      </w:r>
      <w:r w:rsidRPr="00A16672">
        <w:rPr>
          <w:i/>
          <w:lang w:val="en-GB"/>
        </w:rPr>
        <w:t xml:space="preserve"> project influence on </w:t>
      </w:r>
      <w:r w:rsidR="00080203" w:rsidRPr="000956E9">
        <w:rPr>
          <w:i/>
          <w:lang w:val="en-GB"/>
        </w:rPr>
        <w:t>environment</w:t>
      </w:r>
      <w:r w:rsidRPr="000956E9">
        <w:rPr>
          <w:i/>
          <w:lang w:val="en-GB"/>
        </w:rPr>
        <w:t xml:space="preserve"> protection </w:t>
      </w:r>
      <w:r w:rsidR="001D6A22" w:rsidRPr="000956E9">
        <w:rPr>
          <w:i/>
          <w:lang w:val="en-GB"/>
        </w:rPr>
        <w:t>and</w:t>
      </w:r>
      <w:r w:rsidR="001D6A22">
        <w:rPr>
          <w:i/>
          <w:lang w:val="en-GB"/>
        </w:rPr>
        <w:t xml:space="preserve"> on</w:t>
      </w:r>
      <w:r w:rsidR="00C7449B">
        <w:rPr>
          <w:i/>
          <w:lang w:val="en-GB"/>
        </w:rPr>
        <w:t xml:space="preserve"> the reduction of</w:t>
      </w:r>
      <w:r w:rsidR="00A50B11" w:rsidRPr="000956E9">
        <w:rPr>
          <w:i/>
          <w:lang w:val="en-GB"/>
        </w:rPr>
        <w:t xml:space="preserve"> energy dependence.</w:t>
      </w:r>
    </w:p>
    <w:p w:rsidR="00A50B11" w:rsidRPr="00504B99" w:rsidRDefault="00A50B11" w:rsidP="00504B99">
      <w:pPr>
        <w:pStyle w:val="ITberschrift11"/>
        <w:numPr>
          <w:ilvl w:val="1"/>
          <w:numId w:val="53"/>
        </w:numPr>
        <w:rPr>
          <w:lang w:val="en-GB"/>
        </w:rPr>
      </w:pPr>
      <w:bookmarkStart w:id="26" w:name="_Toc529275658"/>
      <w:r w:rsidRPr="00504B99">
        <w:rPr>
          <w:lang w:val="en-GB"/>
        </w:rPr>
        <w:t>Coordination problems</w:t>
      </w:r>
      <w:bookmarkEnd w:id="26"/>
    </w:p>
    <w:p w:rsidR="00277985" w:rsidRPr="000956E9" w:rsidRDefault="00A50B11" w:rsidP="005F57A6">
      <w:pPr>
        <w:pStyle w:val="ITAbsatzohneNr"/>
        <w:spacing w:after="120"/>
        <w:jc w:val="both"/>
        <w:rPr>
          <w:i/>
          <w:sz w:val="22"/>
          <w:lang w:val="en-US"/>
        </w:rPr>
      </w:pPr>
      <w:r w:rsidRPr="00A16672">
        <w:rPr>
          <w:i/>
          <w:sz w:val="22"/>
          <w:lang w:val="en-US"/>
        </w:rPr>
        <w:t xml:space="preserve">Due to scale and complexity of the IPCEI explain the difficulty to work together </w:t>
      </w:r>
      <w:r w:rsidR="001D6A22" w:rsidRPr="00A16672">
        <w:rPr>
          <w:i/>
          <w:sz w:val="22"/>
          <w:lang w:val="en-US"/>
        </w:rPr>
        <w:t>particularly</w:t>
      </w:r>
      <w:r w:rsidRPr="00A16672">
        <w:rPr>
          <w:i/>
          <w:sz w:val="22"/>
          <w:lang w:val="en-US"/>
        </w:rPr>
        <w:t xml:space="preserve"> with:</w:t>
      </w:r>
    </w:p>
    <w:p w:rsidR="00A50B11" w:rsidRPr="00504B99" w:rsidRDefault="00A50B11" w:rsidP="00504B99">
      <w:pPr>
        <w:pStyle w:val="ITAbsatzohneNr"/>
        <w:numPr>
          <w:ilvl w:val="0"/>
          <w:numId w:val="56"/>
        </w:numPr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>RTOs (not the same objective)</w:t>
      </w:r>
    </w:p>
    <w:p w:rsidR="00A50B11" w:rsidRPr="00504B99" w:rsidRDefault="00A50B11" w:rsidP="00504B99">
      <w:pPr>
        <w:pStyle w:val="ITAbsatzohneNr"/>
        <w:numPr>
          <w:ilvl w:val="0"/>
          <w:numId w:val="56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SMEs, </w:t>
      </w:r>
      <w:r w:rsidR="001D6A22">
        <w:rPr>
          <w:i/>
          <w:sz w:val="22"/>
          <w:lang w:val="en-US"/>
        </w:rPr>
        <w:t>suppliers</w:t>
      </w:r>
      <w:r w:rsidR="001D6A22" w:rsidRPr="00504B99">
        <w:rPr>
          <w:i/>
          <w:sz w:val="22"/>
          <w:lang w:val="en-US"/>
        </w:rPr>
        <w:t xml:space="preserve"> and</w:t>
      </w:r>
      <w:r w:rsidRPr="00504B99">
        <w:rPr>
          <w:i/>
          <w:sz w:val="22"/>
          <w:lang w:val="en-US"/>
        </w:rPr>
        <w:t xml:space="preserve"> </w:t>
      </w:r>
      <w:r w:rsidR="00C7449B" w:rsidRPr="00504B99">
        <w:rPr>
          <w:i/>
          <w:sz w:val="22"/>
          <w:lang w:val="en-US"/>
        </w:rPr>
        <w:t>customers</w:t>
      </w:r>
      <w:r w:rsidRPr="00504B99">
        <w:rPr>
          <w:i/>
          <w:sz w:val="22"/>
          <w:lang w:val="en-US"/>
        </w:rPr>
        <w:t xml:space="preserve"> (it’s easier to work in customer-supplier logic than in a </w:t>
      </w:r>
      <w:r w:rsidR="00C7449B" w:rsidRPr="00504B99">
        <w:rPr>
          <w:i/>
          <w:sz w:val="22"/>
          <w:lang w:val="en-US"/>
        </w:rPr>
        <w:t>cooperative</w:t>
      </w:r>
      <w:r w:rsidRPr="00504B99">
        <w:rPr>
          <w:i/>
          <w:sz w:val="22"/>
          <w:lang w:val="en-US"/>
        </w:rPr>
        <w:t>)</w:t>
      </w:r>
    </w:p>
    <w:p w:rsidR="00A50B11" w:rsidRPr="00504B99" w:rsidRDefault="00A50B11" w:rsidP="00504B99">
      <w:pPr>
        <w:pStyle w:val="ITAbsatzohneNr"/>
        <w:numPr>
          <w:ilvl w:val="0"/>
          <w:numId w:val="56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Competitors</w:t>
      </w:r>
      <w:r w:rsidR="006A3625" w:rsidRPr="00504B99">
        <w:rPr>
          <w:i/>
          <w:sz w:val="22"/>
          <w:lang w:val="en-US"/>
        </w:rPr>
        <w:t xml:space="preserve"> and sectors actors</w:t>
      </w:r>
    </w:p>
    <w:p w:rsidR="00A50B11" w:rsidRPr="00504B99" w:rsidRDefault="00A50B11" w:rsidP="00A50B11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Explain the difficulty due to the necessity to </w:t>
      </w:r>
      <w:r w:rsidR="00AE55A2" w:rsidRPr="00504B99">
        <w:rPr>
          <w:i/>
          <w:sz w:val="22"/>
          <w:lang w:val="en-US"/>
        </w:rPr>
        <w:t>coordinate such a project with such divergent interests.</w:t>
      </w:r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</w:p>
    <w:p w:rsidR="00B8163D" w:rsidRPr="00A16672" w:rsidRDefault="00B8163D" w:rsidP="00504B99">
      <w:pPr>
        <w:pStyle w:val="ITberschrift11"/>
        <w:numPr>
          <w:ilvl w:val="1"/>
          <w:numId w:val="53"/>
        </w:numPr>
        <w:rPr>
          <w:lang w:val="en-GB"/>
        </w:rPr>
      </w:pPr>
      <w:bookmarkStart w:id="27" w:name="_Toc529275659"/>
      <w:r w:rsidRPr="00504B99">
        <w:rPr>
          <w:lang w:val="en-GB"/>
        </w:rPr>
        <w:t>Imperfect and asymmetric information</w:t>
      </w:r>
      <w:bookmarkEnd w:id="27"/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 xml:space="preserve">Explain the risks of the project </w:t>
      </w:r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Explain the difficulty to access to market finance </w:t>
      </w:r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Explain the difficulty to recruit</w:t>
      </w:r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</w:p>
    <w:p w:rsidR="00B8163D" w:rsidRPr="00504B99" w:rsidRDefault="00B8163D" w:rsidP="00B8163D">
      <w:pPr>
        <w:pStyle w:val="ITberschrift11"/>
        <w:rPr>
          <w:lang w:val="en-US"/>
        </w:rPr>
      </w:pPr>
      <w:bookmarkStart w:id="28" w:name="_Toc529275660"/>
      <w:r w:rsidRPr="00504B99">
        <w:rPr>
          <w:lang w:val="en-US"/>
        </w:rPr>
        <w:t>Adequacy of the state aid instrument</w:t>
      </w:r>
      <w:bookmarkEnd w:id="28"/>
    </w:p>
    <w:p w:rsidR="00B8163D" w:rsidRPr="00504B99" w:rsidRDefault="00B8163D" w:rsidP="00B8163D">
      <w:pPr>
        <w:pStyle w:val="ITAbsatzohneNr"/>
        <w:rPr>
          <w:lang w:val="en-US"/>
        </w:rPr>
      </w:pPr>
      <w:r w:rsidRPr="00504B99">
        <w:rPr>
          <w:lang w:val="en-US"/>
        </w:rPr>
        <w:t xml:space="preserve">Explain </w:t>
      </w:r>
      <w:r w:rsidR="00C7449B" w:rsidRPr="00504B99">
        <w:rPr>
          <w:lang w:val="en-US"/>
        </w:rPr>
        <w:t>whether</w:t>
      </w:r>
      <w:r w:rsidRPr="00504B99">
        <w:rPr>
          <w:lang w:val="en-US"/>
        </w:rPr>
        <w:t xml:space="preserve"> the state aid instrument is in </w:t>
      </w:r>
      <w:r w:rsidR="001D6A22" w:rsidRPr="00504B99">
        <w:rPr>
          <w:lang w:val="en-US"/>
        </w:rPr>
        <w:t>ad</w:t>
      </w:r>
      <w:r w:rsidR="001D6A22">
        <w:rPr>
          <w:lang w:val="en-US"/>
        </w:rPr>
        <w:t>e</w:t>
      </w:r>
      <w:r w:rsidR="001D6A22" w:rsidRPr="00504B99">
        <w:rPr>
          <w:lang w:val="en-US"/>
        </w:rPr>
        <w:t>qua</w:t>
      </w:r>
      <w:r w:rsidR="001D6A22">
        <w:rPr>
          <w:lang w:val="en-US"/>
        </w:rPr>
        <w:t>cy</w:t>
      </w:r>
      <w:r w:rsidR="001D6A22" w:rsidRPr="00504B99">
        <w:rPr>
          <w:lang w:val="en-US"/>
        </w:rPr>
        <w:t xml:space="preserve"> to</w:t>
      </w:r>
      <w:r w:rsidRPr="00504B99">
        <w:rPr>
          <w:lang w:val="en-US"/>
        </w:rPr>
        <w:t xml:space="preserve"> correct the market </w:t>
      </w:r>
      <w:r w:rsidR="00C7449B" w:rsidRPr="00504B99">
        <w:rPr>
          <w:lang w:val="en-US"/>
        </w:rPr>
        <w:t>failure:</w:t>
      </w:r>
    </w:p>
    <w:p w:rsidR="00B8163D" w:rsidRPr="00504B99" w:rsidRDefault="00B8163D" w:rsidP="00504B99">
      <w:pPr>
        <w:pStyle w:val="ITAbsatzohneNr"/>
        <w:numPr>
          <w:ilvl w:val="0"/>
          <w:numId w:val="59"/>
        </w:numPr>
        <w:rPr>
          <w:lang w:val="en-US"/>
        </w:rPr>
      </w:pPr>
      <w:r w:rsidRPr="00504B99">
        <w:rPr>
          <w:lang w:val="en-US"/>
        </w:rPr>
        <w:t>Grant = coordination default and spill over</w:t>
      </w:r>
    </w:p>
    <w:p w:rsidR="00B8163D" w:rsidRPr="00504B99" w:rsidRDefault="00B8163D" w:rsidP="00504B99">
      <w:pPr>
        <w:pStyle w:val="ITAbsatzohneNr"/>
        <w:numPr>
          <w:ilvl w:val="0"/>
          <w:numId w:val="59"/>
        </w:numPr>
        <w:rPr>
          <w:lang w:val="en-US"/>
        </w:rPr>
      </w:pPr>
      <w:r w:rsidRPr="00504B99">
        <w:rPr>
          <w:lang w:val="en-US"/>
        </w:rPr>
        <w:t>Financial instrument = Imperfect and asymmetric information</w:t>
      </w:r>
    </w:p>
    <w:p w:rsidR="00B8163D" w:rsidRPr="00504B99" w:rsidRDefault="00B8163D" w:rsidP="00504B99">
      <w:pPr>
        <w:pStyle w:val="ITAbsatzohneNr"/>
        <w:numPr>
          <w:ilvl w:val="0"/>
          <w:numId w:val="59"/>
        </w:numPr>
        <w:rPr>
          <w:lang w:val="en-US"/>
        </w:rPr>
      </w:pPr>
      <w:r w:rsidRPr="00504B99">
        <w:rPr>
          <w:lang w:val="en-US"/>
        </w:rPr>
        <w:t>Recoverable advance = risks taken in the project prior to marketing</w:t>
      </w:r>
    </w:p>
    <w:p w:rsidR="00B8163D" w:rsidRPr="00504B99" w:rsidRDefault="00B8163D" w:rsidP="00A50B11">
      <w:pPr>
        <w:pStyle w:val="ITAbsatzohneNr"/>
        <w:spacing w:after="120"/>
        <w:jc w:val="both"/>
        <w:rPr>
          <w:i/>
          <w:sz w:val="22"/>
          <w:lang w:val="en-US"/>
        </w:rPr>
      </w:pPr>
    </w:p>
    <w:p w:rsidR="00A274BD" w:rsidRPr="00A16672" w:rsidRDefault="00FB71D8" w:rsidP="00A274BD">
      <w:pPr>
        <w:pStyle w:val="ITberschrift1"/>
        <w:rPr>
          <w:lang w:val="en-GB"/>
        </w:rPr>
      </w:pPr>
      <w:bookmarkStart w:id="29" w:name="_Toc529275661"/>
      <w:r w:rsidRPr="00504B99">
        <w:rPr>
          <w:lang w:val="en-GB"/>
        </w:rPr>
        <w:t>Necessity and Proportionality</w:t>
      </w:r>
      <w:bookmarkEnd w:id="29"/>
    </w:p>
    <w:p w:rsidR="006A3625" w:rsidRPr="000956E9" w:rsidRDefault="006A3625" w:rsidP="00504B99">
      <w:pPr>
        <w:pStyle w:val="ITberschrift11"/>
        <w:rPr>
          <w:lang w:val="en-GB"/>
        </w:rPr>
      </w:pPr>
      <w:bookmarkStart w:id="30" w:name="_Toc529275662"/>
      <w:r w:rsidRPr="00504B99">
        <w:rPr>
          <w:lang w:val="en-GB"/>
        </w:rPr>
        <w:t xml:space="preserve">- </w:t>
      </w:r>
      <w:r w:rsidRPr="00A16672">
        <w:rPr>
          <w:lang w:val="en-GB"/>
        </w:rPr>
        <w:t xml:space="preserve">Absence of </w:t>
      </w:r>
      <w:r w:rsidRPr="000956E9">
        <w:rPr>
          <w:lang w:val="en-GB"/>
        </w:rPr>
        <w:t>similar projects</w:t>
      </w:r>
      <w:bookmarkEnd w:id="30"/>
    </w:p>
    <w:p w:rsidR="006A3625" w:rsidRPr="00504B99" w:rsidRDefault="006A3625">
      <w:pPr>
        <w:spacing w:after="200"/>
        <w:rPr>
          <w:i/>
          <w:lang w:val="en-GB"/>
        </w:rPr>
      </w:pPr>
      <w:r w:rsidRPr="00504B99">
        <w:rPr>
          <w:i/>
          <w:lang w:val="en-GB"/>
        </w:rPr>
        <w:t>Explain that there is no similar project in Europe</w:t>
      </w:r>
    </w:p>
    <w:p w:rsidR="000D2E0B" w:rsidRPr="00504B99" w:rsidRDefault="000D2E0B" w:rsidP="00504B99">
      <w:pPr>
        <w:pStyle w:val="ITberschrift11"/>
        <w:rPr>
          <w:lang w:val="en-GB"/>
        </w:rPr>
      </w:pPr>
      <w:bookmarkStart w:id="31" w:name="_Toc529275663"/>
      <w:r w:rsidRPr="00504B99">
        <w:rPr>
          <w:lang w:val="en-GB"/>
        </w:rPr>
        <w:t>Counterfactual scenario</w:t>
      </w:r>
      <w:bookmarkEnd w:id="31"/>
    </w:p>
    <w:p w:rsidR="00F2403D" w:rsidRPr="000956E9" w:rsidRDefault="00F2403D" w:rsidP="00F2403D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Describe explicitly the effect of the state aid incentive effect on your company. </w:t>
      </w:r>
    </w:p>
    <w:p w:rsidR="00F2403D" w:rsidRPr="00504B99" w:rsidRDefault="00F2403D" w:rsidP="00F2403D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Describe what will happen when funding will not be realized for the project. If you would not realize the project, how will your company maintain business capacity? 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T</w:t>
      </w:r>
      <w:r w:rsidRPr="00FE1B3C">
        <w:rPr>
          <w:i/>
          <w:lang w:val="en-GB"/>
        </w:rPr>
        <w:t xml:space="preserve">here should also be a counterfactual scenario at the overall IPCEI level, </w:t>
      </w:r>
      <w:r w:rsidR="001D6A22" w:rsidRPr="00FE1B3C">
        <w:rPr>
          <w:i/>
          <w:lang w:val="en-GB"/>
        </w:rPr>
        <w:t>in order</w:t>
      </w:r>
      <w:r w:rsidRPr="00FE1B3C">
        <w:rPr>
          <w:i/>
          <w:lang w:val="en-GB"/>
        </w:rPr>
        <w:t xml:space="preserve"> to understand what happens if the IPCEI would not take place. A counterfactual at IPCEI </w:t>
      </w:r>
      <w:r w:rsidR="001D6A22" w:rsidRPr="00FE1B3C">
        <w:rPr>
          <w:i/>
          <w:lang w:val="en-GB"/>
        </w:rPr>
        <w:t>level could</w:t>
      </w:r>
      <w:r w:rsidRPr="00FE1B3C">
        <w:rPr>
          <w:i/>
          <w:lang w:val="en-GB"/>
        </w:rPr>
        <w:t xml:space="preserve"> consist in technology developments taking place slower than with the aided IPCEI.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Description &amp; substantiation of the counterfactual scenario at company level: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The counterfactual scenario should be described in sufficient detail. E.g. a mere statement </w:t>
      </w:r>
      <w:r w:rsidR="001D6A22" w:rsidRPr="00FE1B3C">
        <w:rPr>
          <w:i/>
          <w:lang w:val="en-GB"/>
        </w:rPr>
        <w:t>that “the</w:t>
      </w:r>
      <w:r w:rsidRPr="00FE1B3C">
        <w:rPr>
          <w:i/>
          <w:lang w:val="en-GB"/>
        </w:rPr>
        <w:t xml:space="preserve"> company would not undertake the project as planned in its Member State without the </w:t>
      </w:r>
      <w:r w:rsidR="001D6A22" w:rsidRPr="00FE1B3C">
        <w:rPr>
          <w:i/>
          <w:lang w:val="en-GB"/>
        </w:rPr>
        <w:t>aid” is</w:t>
      </w:r>
      <w:r w:rsidRPr="00FE1B3C">
        <w:rPr>
          <w:i/>
          <w:lang w:val="en-GB"/>
        </w:rPr>
        <w:t xml:space="preserve"> not sufficient. It should be described in detail if it will not undertake the project at all, or </w:t>
      </w:r>
      <w:r w:rsidR="001D6A22" w:rsidRPr="00FE1B3C">
        <w:rPr>
          <w:i/>
          <w:lang w:val="en-GB"/>
        </w:rPr>
        <w:t>will undertake</w:t>
      </w:r>
      <w:r w:rsidRPr="00FE1B3C">
        <w:rPr>
          <w:i/>
          <w:lang w:val="en-GB"/>
        </w:rPr>
        <w:t xml:space="preserve"> it but in a different manner/extent, or will possibly undertake it somewhere else. </w:t>
      </w:r>
      <w:r w:rsidR="001D6A22" w:rsidRPr="00FE1B3C">
        <w:rPr>
          <w:i/>
          <w:lang w:val="en-GB"/>
        </w:rPr>
        <w:t>As the</w:t>
      </w:r>
      <w:r w:rsidRPr="00FE1B3C">
        <w:rPr>
          <w:i/>
          <w:lang w:val="en-GB"/>
        </w:rPr>
        <w:t xml:space="preserve"> IPCEI Communication requires, the intended change must be specified (the change </w:t>
      </w:r>
      <w:r w:rsidR="001D6A22" w:rsidRPr="00FE1B3C">
        <w:rPr>
          <w:i/>
          <w:lang w:val="en-GB"/>
        </w:rPr>
        <w:t>in behaviour</w:t>
      </w:r>
      <w:r w:rsidRPr="00FE1B3C">
        <w:rPr>
          <w:i/>
          <w:lang w:val="en-GB"/>
        </w:rPr>
        <w:t xml:space="preserve"> which is expected to result from the State aid, that is to say whether a new project </w:t>
      </w:r>
      <w:r w:rsidR="001D6A22" w:rsidRPr="00FE1B3C">
        <w:rPr>
          <w:i/>
          <w:lang w:val="en-GB"/>
        </w:rPr>
        <w:t>is triggered</w:t>
      </w:r>
      <w:r w:rsidRPr="00FE1B3C">
        <w:rPr>
          <w:i/>
          <w:lang w:val="en-GB"/>
        </w:rPr>
        <w:t xml:space="preserve">, or the size, scope or speed of a project is enhanced; The change of behaviour has to </w:t>
      </w:r>
      <w:r w:rsidR="001D6A22" w:rsidRPr="00FE1B3C">
        <w:rPr>
          <w:i/>
          <w:lang w:val="en-GB"/>
        </w:rPr>
        <w:t>be identified</w:t>
      </w:r>
      <w:r w:rsidRPr="00FE1B3C">
        <w:rPr>
          <w:i/>
          <w:lang w:val="en-GB"/>
        </w:rPr>
        <w:t xml:space="preserve"> by comparing what would be the expected outcome and level of intended activity </w:t>
      </w:r>
      <w:r w:rsidR="001D6A22" w:rsidRPr="00FE1B3C">
        <w:rPr>
          <w:i/>
          <w:lang w:val="en-GB"/>
        </w:rPr>
        <w:t>with and</w:t>
      </w:r>
      <w:r w:rsidRPr="00FE1B3C">
        <w:rPr>
          <w:i/>
          <w:lang w:val="en-GB"/>
        </w:rPr>
        <w:t xml:space="preserve"> without aid).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This description can be in the technological field documents, or, if confidential in nature, in </w:t>
      </w:r>
      <w:r w:rsidR="001D6A22" w:rsidRPr="00FE1B3C">
        <w:rPr>
          <w:i/>
          <w:lang w:val="en-GB"/>
        </w:rPr>
        <w:t>the accompanying</w:t>
      </w:r>
      <w:r w:rsidRPr="00FE1B3C">
        <w:rPr>
          <w:i/>
          <w:lang w:val="en-GB"/>
        </w:rPr>
        <w:t xml:space="preserve"> company level text document.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It is vital to have sufficient substantiation of the counterfactual, </w:t>
      </w:r>
      <w:r w:rsidRPr="00C7449B">
        <w:rPr>
          <w:lang w:val="en-GB"/>
        </w:rPr>
        <w:t>eg</w:t>
      </w:r>
      <w:r w:rsidR="00C7449B" w:rsidRPr="00C7449B">
        <w:rPr>
          <w:lang w:val="en-GB"/>
        </w:rPr>
        <w:t>.</w:t>
      </w:r>
      <w:r w:rsidRPr="00C7449B">
        <w:rPr>
          <w:lang w:val="en-GB"/>
        </w:rPr>
        <w:t>via</w:t>
      </w:r>
      <w:r w:rsidRPr="00FE1B3C">
        <w:rPr>
          <w:i/>
          <w:lang w:val="en-GB"/>
        </w:rPr>
        <w:t xml:space="preserve"> authentic </w:t>
      </w:r>
      <w:r w:rsidR="001D6A22" w:rsidRPr="00FE1B3C">
        <w:rPr>
          <w:i/>
          <w:lang w:val="en-GB"/>
        </w:rPr>
        <w:t>internal company</w:t>
      </w:r>
      <w:r w:rsidRPr="00FE1B3C">
        <w:rPr>
          <w:i/>
          <w:lang w:val="en-GB"/>
        </w:rPr>
        <w:t xml:space="preserve"> documents, showing that the company faces a clear choice and how the decision </w:t>
      </w:r>
      <w:r w:rsidR="001D6A22" w:rsidRPr="00FE1B3C">
        <w:rPr>
          <w:i/>
          <w:lang w:val="en-GB"/>
        </w:rPr>
        <w:t>on whether</w:t>
      </w:r>
      <w:r w:rsidRPr="00FE1B3C">
        <w:rPr>
          <w:i/>
          <w:lang w:val="en-GB"/>
        </w:rPr>
        <w:t xml:space="preserve"> to carry out the project is taken. This requirement is in line with the </w:t>
      </w:r>
      <w:r w:rsidR="001D6A22" w:rsidRPr="00FE1B3C">
        <w:rPr>
          <w:i/>
          <w:lang w:val="en-GB"/>
        </w:rPr>
        <w:t>documentary evidence</w:t>
      </w:r>
      <w:r w:rsidRPr="00FE1B3C">
        <w:rPr>
          <w:i/>
          <w:lang w:val="en-GB"/>
        </w:rPr>
        <w:t xml:space="preserve"> required in RDI State aid cases.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Excel sheet calculations: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a) In the absence of alternative project: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If the counterfactual scenario is that there is no alternative project, there is no need for </w:t>
      </w:r>
      <w:r w:rsidR="001D6A22" w:rsidRPr="00FE1B3C">
        <w:rPr>
          <w:i/>
          <w:lang w:val="en-GB"/>
        </w:rPr>
        <w:t>a counterfactual</w:t>
      </w:r>
      <w:r w:rsidRPr="00FE1B3C">
        <w:rPr>
          <w:i/>
          <w:lang w:val="en-GB"/>
        </w:rPr>
        <w:t xml:space="preserve"> project tab with calculations in the Excel sheet. The Commission will only </w:t>
      </w:r>
      <w:r w:rsidR="001D6A22" w:rsidRPr="00FE1B3C">
        <w:rPr>
          <w:i/>
          <w:lang w:val="en-GB"/>
        </w:rPr>
        <w:t>assess the</w:t>
      </w:r>
      <w:r w:rsidRPr="00FE1B3C">
        <w:rPr>
          <w:i/>
          <w:lang w:val="en-GB"/>
        </w:rPr>
        <w:t xml:space="preserve"> eligible cost and funding gap calculations for the basic scenario.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Proportionality of aid amount per beneficiary company: two step check of the </w:t>
      </w:r>
      <w:r w:rsidR="001D6A22" w:rsidRPr="00FE1B3C">
        <w:rPr>
          <w:i/>
          <w:lang w:val="en-GB"/>
        </w:rPr>
        <w:t>IPCEI</w:t>
      </w:r>
      <w:r w:rsidR="001D6A22">
        <w:rPr>
          <w:i/>
          <w:lang w:val="en-GB"/>
        </w:rPr>
        <w:t xml:space="preserve"> </w:t>
      </w:r>
      <w:r w:rsidR="001D6A22" w:rsidRPr="00FE1B3C">
        <w:rPr>
          <w:i/>
          <w:lang w:val="en-GB"/>
        </w:rPr>
        <w:t>Communication</w:t>
      </w:r>
      <w:r w:rsidRPr="00FE1B3C">
        <w:rPr>
          <w:i/>
          <w:lang w:val="en-GB"/>
        </w:rPr>
        <w:t xml:space="preserve"> in case there is no alternative project: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1) Identify the eligible costs: The possible eligible costs are listed in the Annex of the </w:t>
      </w:r>
      <w:r w:rsidR="001D6A22" w:rsidRPr="00FE1B3C">
        <w:rPr>
          <w:i/>
          <w:lang w:val="en-GB"/>
        </w:rPr>
        <w:t>IPCEI Communication</w:t>
      </w:r>
      <w:r w:rsidRPr="00FE1B3C">
        <w:rPr>
          <w:i/>
          <w:lang w:val="en-GB"/>
        </w:rPr>
        <w:t xml:space="preserve">. The aid amount for any beneficiary can in no case exceed 100% of </w:t>
      </w:r>
      <w:r w:rsidR="001D6A22" w:rsidRPr="00FE1B3C">
        <w:rPr>
          <w:i/>
          <w:lang w:val="en-GB"/>
        </w:rPr>
        <w:t>the eligible</w:t>
      </w:r>
      <w:r w:rsidRPr="00FE1B3C">
        <w:rPr>
          <w:i/>
          <w:lang w:val="en-GB"/>
        </w:rPr>
        <w:t xml:space="preserve"> costs;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2) Identify the funding gap.</w:t>
      </w:r>
    </w:p>
    <w:p w:rsid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In general, the aid amount corresponds to the funding gap. The aid amount can in no </w:t>
      </w:r>
      <w:r w:rsidR="001D6A22" w:rsidRPr="00FE1B3C">
        <w:rPr>
          <w:i/>
          <w:lang w:val="en-GB"/>
        </w:rPr>
        <w:t>case exceed</w:t>
      </w:r>
      <w:r w:rsidRPr="00FE1B3C">
        <w:rPr>
          <w:i/>
          <w:lang w:val="en-GB"/>
        </w:rPr>
        <w:t xml:space="preserve"> the eligible costs established in Step 1.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b) </w:t>
      </w:r>
      <w:r w:rsidRPr="00FE1B3C">
        <w:rPr>
          <w:i/>
          <w:lang w:val="en-GB"/>
        </w:rPr>
        <w:t>In case of a counterfactual alternative project: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Where there is a counterfactual alternative project, there is a counterfactual tab in the </w:t>
      </w:r>
      <w:r w:rsidR="001D6A22" w:rsidRPr="00FE1B3C">
        <w:rPr>
          <w:i/>
          <w:lang w:val="en-GB"/>
        </w:rPr>
        <w:t>Excel sheet</w:t>
      </w:r>
      <w:r w:rsidRPr="00FE1B3C">
        <w:rPr>
          <w:i/>
          <w:lang w:val="en-GB"/>
        </w:rPr>
        <w:t xml:space="preserve"> with full calculation of the net present value of the positive and negative cash flows of </w:t>
      </w:r>
      <w:r w:rsidR="001D6A22" w:rsidRPr="00FE1B3C">
        <w:rPr>
          <w:i/>
          <w:lang w:val="en-GB"/>
        </w:rPr>
        <w:t>the counterfactual</w:t>
      </w:r>
      <w:r w:rsidRPr="00FE1B3C">
        <w:rPr>
          <w:i/>
          <w:lang w:val="en-GB"/>
        </w:rPr>
        <w:t xml:space="preserve"> project.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Proportionality of aid amount per beneficiary company in the IPCEI Communication in case </w:t>
      </w:r>
      <w:r w:rsidR="001D6A22" w:rsidRPr="00FE1B3C">
        <w:rPr>
          <w:i/>
          <w:lang w:val="en-GB"/>
        </w:rPr>
        <w:t>there is</w:t>
      </w:r>
      <w:r w:rsidRPr="00FE1B3C">
        <w:rPr>
          <w:i/>
          <w:lang w:val="en-GB"/>
        </w:rPr>
        <w:t xml:space="preserve"> an alternative project:</w:t>
      </w:r>
    </w:p>
    <w:p w:rsidR="00FE1B3C" w:rsidRPr="00FE1B3C" w:rsidRDefault="00C7449B" w:rsidP="00FE1B3C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="00FE1B3C" w:rsidRPr="00FE1B3C">
        <w:rPr>
          <w:i/>
          <w:lang w:val="en-GB"/>
        </w:rPr>
        <w:t xml:space="preserve">1) Identify the eligible costs in the basic scenario: The possible eligible costs are listed in </w:t>
      </w:r>
      <w:r w:rsidR="001D6A22" w:rsidRPr="00FE1B3C">
        <w:rPr>
          <w:i/>
          <w:lang w:val="en-GB"/>
        </w:rPr>
        <w:t>the Annex</w:t>
      </w:r>
      <w:r w:rsidR="00FE1B3C" w:rsidRPr="00FE1B3C">
        <w:rPr>
          <w:i/>
          <w:lang w:val="en-GB"/>
        </w:rPr>
        <w:t xml:space="preserve"> of the IPCEI Communication. The aid amount for any beneficiary can in no case exceed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100% of the eligible costs;</w:t>
      </w:r>
    </w:p>
    <w:p w:rsidR="00FE1B3C" w:rsidRPr="00FE1B3C" w:rsidRDefault="00C7449B" w:rsidP="00FE1B3C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="00FE1B3C" w:rsidRPr="00FE1B3C">
        <w:rPr>
          <w:i/>
          <w:lang w:val="en-GB"/>
        </w:rPr>
        <w:t xml:space="preserve">2) Identify the difference between the NPV of the alternative project and the NPV of the </w:t>
      </w:r>
      <w:r w:rsidR="001D6A22" w:rsidRPr="00FE1B3C">
        <w:rPr>
          <w:i/>
          <w:lang w:val="en-GB"/>
        </w:rPr>
        <w:t>aided project</w:t>
      </w:r>
      <w:r w:rsidR="00FE1B3C" w:rsidRPr="00FE1B3C">
        <w:rPr>
          <w:i/>
          <w:lang w:val="en-GB"/>
        </w:rPr>
        <w:t xml:space="preserve"> in the basic scenario.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In general, the aid amount corresponds to this difference. In the Excel sheet, it would be</w:t>
      </w:r>
      <w:r w:rsidR="00C7449B">
        <w:rPr>
          <w:i/>
          <w:lang w:val="en-GB"/>
        </w:rPr>
        <w:t xml:space="preserve"> </w:t>
      </w:r>
      <w:r w:rsidR="001D6A22">
        <w:rPr>
          <w:i/>
          <w:lang w:val="en-GB"/>
        </w:rPr>
        <w:t>convenient</w:t>
      </w:r>
      <w:r w:rsidR="001D6A22" w:rsidRPr="00FE1B3C">
        <w:rPr>
          <w:i/>
          <w:lang w:val="en-GB"/>
        </w:rPr>
        <w:t xml:space="preserve"> to</w:t>
      </w:r>
      <w:r w:rsidRPr="00FE1B3C">
        <w:rPr>
          <w:i/>
          <w:lang w:val="en-GB"/>
        </w:rPr>
        <w:t xml:space="preserve"> insert this calculation at the bottom of the basic scenario tab.</w:t>
      </w:r>
    </w:p>
    <w:p w:rsidR="00FE1B3C" w:rsidRPr="00A16672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The aid amount can in no case exceed the eligible costs established in </w:t>
      </w:r>
      <w:r w:rsidR="00C7449B">
        <w:rPr>
          <w:i/>
          <w:lang w:val="en-GB"/>
        </w:rPr>
        <w:t>s</w:t>
      </w:r>
      <w:r w:rsidRPr="00FE1B3C">
        <w:rPr>
          <w:i/>
          <w:lang w:val="en-GB"/>
        </w:rPr>
        <w:t>tep 1.</w:t>
      </w:r>
    </w:p>
    <w:p w:rsidR="00B8163D" w:rsidRPr="000956E9" w:rsidRDefault="00B8163D" w:rsidP="00B8163D">
      <w:pPr>
        <w:spacing w:after="200"/>
        <w:rPr>
          <w:i/>
          <w:lang w:val="en-GB"/>
        </w:rPr>
      </w:pPr>
    </w:p>
    <w:p w:rsidR="00F96B3D" w:rsidRPr="00504B99" w:rsidRDefault="00F96B3D" w:rsidP="00DC138F">
      <w:pPr>
        <w:pStyle w:val="ITAbsatzohneNr"/>
        <w:spacing w:after="120"/>
        <w:jc w:val="both"/>
        <w:rPr>
          <w:i/>
          <w:sz w:val="22"/>
          <w:lang w:val="en-GB"/>
        </w:rPr>
      </w:pPr>
    </w:p>
    <w:p w:rsidR="00976AFD" w:rsidRPr="00504B99" w:rsidRDefault="00976AFD" w:rsidP="00976AFD">
      <w:pPr>
        <w:pStyle w:val="ITberschrift1"/>
        <w:rPr>
          <w:lang w:val="en-GB"/>
        </w:rPr>
      </w:pPr>
      <w:bookmarkStart w:id="32" w:name="_Toc529275664"/>
      <w:r w:rsidRPr="00504B99">
        <w:rPr>
          <w:lang w:val="en-GB"/>
        </w:rPr>
        <w:t>Elaboration on Terms of the Funding Gap Questionnaire</w:t>
      </w:r>
      <w:bookmarkEnd w:id="32"/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Each company should provide all costs and revenues associated with the investment as </w:t>
      </w:r>
      <w:r w:rsidR="001D6A22" w:rsidRPr="00FE1B3C">
        <w:rPr>
          <w:i/>
          <w:lang w:val="en-GB"/>
        </w:rPr>
        <w:t>a whole</w:t>
      </w:r>
      <w:r w:rsidRPr="00FE1B3C">
        <w:rPr>
          <w:i/>
          <w:lang w:val="en-GB"/>
        </w:rPr>
        <w:t xml:space="preserve"> and the boundaries of investment should be defined from the perspective of </w:t>
      </w:r>
      <w:r w:rsidR="001D6A22" w:rsidRPr="00FE1B3C">
        <w:rPr>
          <w:i/>
          <w:lang w:val="en-GB"/>
        </w:rPr>
        <w:t>the business</w:t>
      </w:r>
      <w:r w:rsidRPr="00FE1B3C">
        <w:rPr>
          <w:i/>
          <w:lang w:val="en-GB"/>
        </w:rPr>
        <w:t xml:space="preserve"> investor: the calculation should include all (positive and negative) cash-flows </w:t>
      </w:r>
      <w:r w:rsidR="001D6A22" w:rsidRPr="00FE1B3C">
        <w:rPr>
          <w:i/>
          <w:lang w:val="en-GB"/>
        </w:rPr>
        <w:t>for what</w:t>
      </w:r>
      <w:r w:rsidRPr="00FE1B3C">
        <w:rPr>
          <w:i/>
          <w:lang w:val="en-GB"/>
        </w:rPr>
        <w:t xml:space="preserve"> the investor regards as the investment project, at the time these cash-flows are to </w:t>
      </w:r>
      <w:r w:rsidR="001D6A22" w:rsidRPr="00FE1B3C">
        <w:rPr>
          <w:i/>
          <w:lang w:val="en-GB"/>
        </w:rPr>
        <w:t>be incurred</w:t>
      </w:r>
      <w:r w:rsidRPr="00FE1B3C">
        <w:rPr>
          <w:i/>
          <w:lang w:val="en-GB"/>
        </w:rPr>
        <w:t xml:space="preserve">. It is not enough to only submit the eligible costs. For the purpose of calculating </w:t>
      </w:r>
      <w:r w:rsidR="001D6A22" w:rsidRPr="00FE1B3C">
        <w:rPr>
          <w:i/>
          <w:lang w:val="en-GB"/>
        </w:rPr>
        <w:t>the funding</w:t>
      </w:r>
      <w:r w:rsidRPr="00FE1B3C">
        <w:rPr>
          <w:i/>
          <w:lang w:val="en-GB"/>
        </w:rPr>
        <w:t xml:space="preserve"> gap, what matters are all the costs (eligible or not) associated with the </w:t>
      </w:r>
      <w:r w:rsidR="001D6A22" w:rsidRPr="00FE1B3C">
        <w:rPr>
          <w:i/>
          <w:lang w:val="en-GB"/>
        </w:rPr>
        <w:t>investment project</w:t>
      </w:r>
      <w:r w:rsidRPr="00FE1B3C">
        <w:rPr>
          <w:i/>
          <w:lang w:val="en-GB"/>
        </w:rPr>
        <w:t xml:space="preserve"> and all the revenues over the entire lifetime including the mass production phase.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The funding gap calculation is to be done consistent with the </w:t>
      </w:r>
      <w:r>
        <w:rPr>
          <w:i/>
          <w:lang w:val="en-GB"/>
        </w:rPr>
        <w:t xml:space="preserve">following </w:t>
      </w:r>
      <w:r w:rsidR="00C7449B">
        <w:rPr>
          <w:i/>
          <w:lang w:val="en-GB"/>
        </w:rPr>
        <w:t>methodology</w:t>
      </w:r>
      <w:r w:rsidR="00C7449B" w:rsidRPr="00FE1B3C">
        <w:rPr>
          <w:i/>
          <w:lang w:val="en-GB"/>
        </w:rPr>
        <w:t>: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For the purposes of this IPCEI, it is sufficient to provide the Excel sheet calculations for </w:t>
      </w:r>
      <w:r w:rsidR="001D6A22" w:rsidRPr="00FE1B3C">
        <w:rPr>
          <w:i/>
          <w:lang w:val="en-GB"/>
        </w:rPr>
        <w:t>one scenario</w:t>
      </w:r>
      <w:r w:rsidRPr="00FE1B3C">
        <w:rPr>
          <w:i/>
          <w:lang w:val="en-GB"/>
        </w:rPr>
        <w:t xml:space="preserve">, the basic scenario (no optimistic and pessimistic scenarios and </w:t>
      </w:r>
      <w:r w:rsidR="001D6A22" w:rsidRPr="00FE1B3C">
        <w:rPr>
          <w:i/>
          <w:lang w:val="en-GB"/>
        </w:rPr>
        <w:t>respective probabilities</w:t>
      </w:r>
      <w:r w:rsidRPr="00FE1B3C">
        <w:rPr>
          <w:i/>
          <w:lang w:val="en-GB"/>
        </w:rPr>
        <w:t xml:space="preserve"> needed), provided the company is able to justify in the accompanying </w:t>
      </w:r>
      <w:r w:rsidR="001D6A22" w:rsidRPr="00FE1B3C">
        <w:rPr>
          <w:i/>
          <w:lang w:val="en-GB"/>
        </w:rPr>
        <w:t>text document</w:t>
      </w:r>
      <w:r w:rsidRPr="00FE1B3C">
        <w:rPr>
          <w:i/>
          <w:lang w:val="en-GB"/>
        </w:rPr>
        <w:t xml:space="preserve"> why this basic scenario is the most probable one.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The funding gap that must be calculated is the funding gap of the investment project (i.e. </w:t>
      </w:r>
      <w:r w:rsidR="001D6A22" w:rsidRPr="00FE1B3C">
        <w:rPr>
          <w:i/>
          <w:lang w:val="en-GB"/>
        </w:rPr>
        <w:t>all investment</w:t>
      </w:r>
      <w:r w:rsidRPr="00FE1B3C">
        <w:rPr>
          <w:i/>
          <w:lang w:val="en-GB"/>
        </w:rPr>
        <w:t xml:space="preserve"> costs and operating costs) to be made by the company for the purpose of </w:t>
      </w:r>
      <w:r w:rsidR="001D6A22" w:rsidRPr="00FE1B3C">
        <w:rPr>
          <w:i/>
          <w:lang w:val="en-GB"/>
        </w:rPr>
        <w:t>the</w:t>
      </w:r>
      <w:r w:rsidR="001D6A22">
        <w:rPr>
          <w:i/>
          <w:lang w:val="en-GB"/>
        </w:rPr>
        <w:t xml:space="preserve"> </w:t>
      </w:r>
      <w:r w:rsidR="001D6A22" w:rsidRPr="00FE1B3C">
        <w:rPr>
          <w:i/>
          <w:lang w:val="en-GB"/>
        </w:rPr>
        <w:t>IPCEI</w:t>
      </w:r>
      <w:r w:rsidRPr="00FE1B3C">
        <w:rPr>
          <w:i/>
          <w:lang w:val="en-GB"/>
        </w:rPr>
        <w:t>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investments made for the IPCEI in R&amp;D and FID by a company will generate revenues.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The funding gap is the difference between discounted positive and negative cash flows </w:t>
      </w:r>
      <w:r w:rsidR="001D6A22" w:rsidRPr="00FE1B3C">
        <w:rPr>
          <w:i/>
          <w:lang w:val="en-GB"/>
        </w:rPr>
        <w:t>over the</w:t>
      </w:r>
      <w:r w:rsidRPr="00FE1B3C">
        <w:rPr>
          <w:i/>
          <w:lang w:val="en-GB"/>
        </w:rPr>
        <w:t xml:space="preserve"> entire economic lifetime of the investment project, i.e. covering the entire period </w:t>
      </w:r>
      <w:r w:rsidR="001D6A22" w:rsidRPr="00FE1B3C">
        <w:rPr>
          <w:i/>
          <w:lang w:val="en-GB"/>
        </w:rPr>
        <w:t>during which</w:t>
      </w:r>
      <w:r w:rsidRPr="00FE1B3C">
        <w:rPr>
          <w:i/>
          <w:lang w:val="en-GB"/>
        </w:rPr>
        <w:t xml:space="preserve"> the investments made generate revenues / the products that are produced thanks </w:t>
      </w:r>
      <w:r w:rsidR="001D6A22" w:rsidRPr="00FE1B3C">
        <w:rPr>
          <w:i/>
          <w:lang w:val="en-GB"/>
        </w:rPr>
        <w:t>to programme</w:t>
      </w:r>
      <w:r w:rsidRPr="00FE1B3C">
        <w:rPr>
          <w:i/>
          <w:lang w:val="en-GB"/>
        </w:rPr>
        <w:t>.</w:t>
      </w:r>
      <w:r>
        <w:rPr>
          <w:i/>
          <w:lang w:val="en-GB"/>
        </w:rPr>
        <w:t xml:space="preserve"> T</w:t>
      </w:r>
      <w:r w:rsidRPr="00FE1B3C">
        <w:rPr>
          <w:i/>
          <w:lang w:val="en-GB"/>
        </w:rPr>
        <w:t xml:space="preserve">he investments are sold on the market. Hence, the funding gap must not be calculated </w:t>
      </w:r>
      <w:r w:rsidR="001D6A22" w:rsidRPr="00FE1B3C">
        <w:rPr>
          <w:i/>
          <w:lang w:val="en-GB"/>
        </w:rPr>
        <w:t>only for</w:t>
      </w:r>
      <w:r w:rsidRPr="00FE1B3C">
        <w:rPr>
          <w:i/>
          <w:lang w:val="en-GB"/>
        </w:rPr>
        <w:t xml:space="preserve"> the duration of the IPCEI project, which is up to the end of the FID phase, but must </w:t>
      </w:r>
      <w:r w:rsidR="001D6A22" w:rsidRPr="00FE1B3C">
        <w:rPr>
          <w:i/>
          <w:lang w:val="en-GB"/>
        </w:rPr>
        <w:t>also cover</w:t>
      </w:r>
      <w:r w:rsidRPr="00FE1B3C">
        <w:rPr>
          <w:i/>
          <w:lang w:val="en-GB"/>
        </w:rPr>
        <w:t xml:space="preserve"> the ensuing commercial/mass production phase.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One option is to include in the excel sheet the best estimate projections that the </w:t>
      </w:r>
      <w:r w:rsidR="001D6A22" w:rsidRPr="00FE1B3C">
        <w:rPr>
          <w:i/>
          <w:lang w:val="en-GB"/>
        </w:rPr>
        <w:t>company has</w:t>
      </w:r>
      <w:r w:rsidRPr="00FE1B3C">
        <w:rPr>
          <w:i/>
          <w:lang w:val="en-GB"/>
        </w:rPr>
        <w:t xml:space="preserve"> for this entire period.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Alternatively, companies could provide data for the explicit forecast horizon of the </w:t>
      </w:r>
      <w:r w:rsidR="001D6A22" w:rsidRPr="00FE1B3C">
        <w:rPr>
          <w:i/>
          <w:lang w:val="en-GB"/>
        </w:rPr>
        <w:t>company and</w:t>
      </w:r>
      <w:r w:rsidRPr="00FE1B3C">
        <w:rPr>
          <w:i/>
          <w:lang w:val="en-GB"/>
        </w:rPr>
        <w:t xml:space="preserve"> give a residual/terminal value (i.e. net present value of expected cash flow beyond </w:t>
      </w:r>
      <w:r w:rsidR="001D6A22" w:rsidRPr="00FE1B3C">
        <w:rPr>
          <w:i/>
          <w:lang w:val="en-GB"/>
        </w:rPr>
        <w:t>the explicit</w:t>
      </w:r>
      <w:r w:rsidRPr="00FE1B3C">
        <w:rPr>
          <w:i/>
          <w:lang w:val="en-GB"/>
        </w:rPr>
        <w:t xml:space="preserve"> forecast horizon for the remaining</w:t>
      </w:r>
      <w:r>
        <w:rPr>
          <w:i/>
          <w:lang w:val="en-GB"/>
        </w:rPr>
        <w:t xml:space="preserve"> years of the economic lifetime</w:t>
      </w:r>
      <w:r w:rsidRPr="00FE1B3C">
        <w:rPr>
          <w:i/>
          <w:lang w:val="en-GB"/>
        </w:rPr>
        <w:t xml:space="preserve">), discounted to </w:t>
      </w:r>
      <w:r w:rsidR="001D6A22" w:rsidRPr="00FE1B3C">
        <w:rPr>
          <w:i/>
          <w:lang w:val="en-GB"/>
        </w:rPr>
        <w:t>the current</w:t>
      </w:r>
      <w:r w:rsidRPr="00FE1B3C">
        <w:rPr>
          <w:i/>
          <w:lang w:val="en-GB"/>
        </w:rPr>
        <w:t xml:space="preserve"> value. In that case, the number of years of mass production for which data </w:t>
      </w:r>
      <w:r w:rsidR="001D6A22" w:rsidRPr="00FE1B3C">
        <w:rPr>
          <w:i/>
          <w:lang w:val="en-GB"/>
        </w:rPr>
        <w:t>are inserted</w:t>
      </w:r>
      <w:r w:rsidRPr="00FE1B3C">
        <w:rPr>
          <w:i/>
          <w:lang w:val="en-GB"/>
        </w:rPr>
        <w:t xml:space="preserve"> should be realistic.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Practically, in the Excel sheet, after the data for the FID phase and after the data for </w:t>
      </w:r>
      <w:r w:rsidR="001D6A22" w:rsidRPr="00FE1B3C">
        <w:rPr>
          <w:i/>
          <w:lang w:val="en-GB"/>
        </w:rPr>
        <w:t>the reasonable</w:t>
      </w:r>
      <w:r w:rsidRPr="00FE1B3C">
        <w:rPr>
          <w:i/>
          <w:lang w:val="en-GB"/>
        </w:rPr>
        <w:t xml:space="preserve"> number of years of mass production, a column should be inserted and </w:t>
      </w:r>
      <w:r w:rsidR="001D6A22" w:rsidRPr="00FE1B3C">
        <w:rPr>
          <w:i/>
          <w:lang w:val="en-GB"/>
        </w:rPr>
        <w:t>contain the</w:t>
      </w:r>
      <w:r w:rsidRPr="00FE1B3C">
        <w:rPr>
          <w:i/>
          <w:lang w:val="en-GB"/>
        </w:rPr>
        <w:t xml:space="preserve"> terminal value for the costs and for the revenues.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Sales/revenues (positive cash flows): projected sales figures should be used by each </w:t>
      </w:r>
      <w:r w:rsidR="001D6A22" w:rsidRPr="00FE1B3C">
        <w:rPr>
          <w:i/>
          <w:lang w:val="en-GB"/>
        </w:rPr>
        <w:t>company rather</w:t>
      </w:r>
      <w:r w:rsidRPr="00FE1B3C">
        <w:rPr>
          <w:i/>
          <w:lang w:val="en-GB"/>
        </w:rPr>
        <w:t xml:space="preserve"> than a formula. These should be the figures actually used by the company in </w:t>
      </w:r>
      <w:r w:rsidR="001D6A22" w:rsidRPr="00FE1B3C">
        <w:rPr>
          <w:i/>
          <w:lang w:val="en-GB"/>
        </w:rPr>
        <w:t>its business</w:t>
      </w:r>
      <w:r w:rsidRPr="00FE1B3C">
        <w:rPr>
          <w:i/>
          <w:lang w:val="en-GB"/>
        </w:rPr>
        <w:t xml:space="preserve"> plan and decision making process. This can be best estimate figures. This </w:t>
      </w:r>
      <w:r w:rsidR="001D6A22" w:rsidRPr="00FE1B3C">
        <w:rPr>
          <w:i/>
          <w:lang w:val="en-GB"/>
        </w:rPr>
        <w:t>data should</w:t>
      </w:r>
      <w:r w:rsidRPr="00FE1B3C">
        <w:rPr>
          <w:i/>
          <w:lang w:val="en-GB"/>
        </w:rPr>
        <w:t xml:space="preserve"> overwrite the formula embedded in the Excel sheet which calculates sales/</w:t>
      </w:r>
      <w:r w:rsidR="001D6A22" w:rsidRPr="00FE1B3C">
        <w:rPr>
          <w:i/>
          <w:lang w:val="en-GB"/>
        </w:rPr>
        <w:t>revenues as</w:t>
      </w:r>
      <w:r w:rsidRPr="00FE1B3C">
        <w:rPr>
          <w:i/>
          <w:lang w:val="en-GB"/>
        </w:rPr>
        <w:t xml:space="preserve"> a function of costs, an assumption of idle share and an assumption of gross margin. Only </w:t>
      </w:r>
      <w:r w:rsidR="001D6A22" w:rsidRPr="00FE1B3C">
        <w:rPr>
          <w:i/>
          <w:lang w:val="en-GB"/>
        </w:rPr>
        <w:t>if a</w:t>
      </w:r>
      <w:r w:rsidRPr="00FE1B3C">
        <w:rPr>
          <w:i/>
          <w:lang w:val="en-GB"/>
        </w:rPr>
        <w:t xml:space="preserve"> company has no sales projections or any best estimate data, and only if it actually uses </w:t>
      </w:r>
      <w:r w:rsidR="001D6A22" w:rsidRPr="00FE1B3C">
        <w:rPr>
          <w:i/>
          <w:lang w:val="en-GB"/>
        </w:rPr>
        <w:t>the formula</w:t>
      </w:r>
      <w:r w:rsidRPr="00FE1B3C">
        <w:rPr>
          <w:i/>
          <w:lang w:val="en-GB"/>
        </w:rPr>
        <w:t xml:space="preserve"> embedded in the sheet (function of costs, idle share and gross margin) in its </w:t>
      </w:r>
      <w:r w:rsidR="001D6A22" w:rsidRPr="00FE1B3C">
        <w:rPr>
          <w:i/>
          <w:lang w:val="en-GB"/>
        </w:rPr>
        <w:t>business plan</w:t>
      </w:r>
      <w:r w:rsidRPr="00FE1B3C">
        <w:rPr>
          <w:i/>
          <w:lang w:val="en-GB"/>
        </w:rPr>
        <w:t xml:space="preserve"> and decision making process, should it apply the formula.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Cash flows should normally be discounted using the weighted average cost of capital (WACC</w:t>
      </w:r>
      <w:r w:rsidR="001D6A22" w:rsidRPr="00FE1B3C">
        <w:rPr>
          <w:i/>
          <w:lang w:val="en-GB"/>
        </w:rPr>
        <w:t>) of</w:t>
      </w:r>
      <w:r w:rsidRPr="00FE1B3C">
        <w:rPr>
          <w:i/>
          <w:lang w:val="en-GB"/>
        </w:rPr>
        <w:t xml:space="preserve"> the company. The firm should provide evidence that the discount factor applied is </w:t>
      </w:r>
      <w:r w:rsidR="001D6A22" w:rsidRPr="00FE1B3C">
        <w:rPr>
          <w:i/>
          <w:lang w:val="en-GB"/>
        </w:rPr>
        <w:t>the actual</w:t>
      </w:r>
      <w:r w:rsidRPr="00FE1B3C">
        <w:rPr>
          <w:i/>
          <w:lang w:val="en-GB"/>
        </w:rPr>
        <w:t xml:space="preserve"> WACC used by the company (e.g. by internal documents showing the applied </w:t>
      </w:r>
      <w:r w:rsidR="001D6A22" w:rsidRPr="00FE1B3C">
        <w:rPr>
          <w:i/>
          <w:lang w:val="en-GB"/>
        </w:rPr>
        <w:t>WACC</w:t>
      </w:r>
      <w:r w:rsidR="001D6A22">
        <w:rPr>
          <w:i/>
          <w:lang w:val="en-GB"/>
        </w:rPr>
        <w:t xml:space="preserve"> </w:t>
      </w:r>
      <w:r w:rsidR="001D6A22" w:rsidRPr="00FE1B3C">
        <w:rPr>
          <w:i/>
          <w:lang w:val="en-GB"/>
        </w:rPr>
        <w:t>for</w:t>
      </w:r>
      <w:r w:rsidRPr="00FE1B3C">
        <w:rPr>
          <w:i/>
          <w:lang w:val="en-GB"/>
        </w:rPr>
        <w:t xml:space="preserve"> investment analysis). The reason to deviate from the WACC usually applied by </w:t>
      </w:r>
      <w:r w:rsidR="001D6A22" w:rsidRPr="00FE1B3C">
        <w:rPr>
          <w:i/>
          <w:lang w:val="en-GB"/>
        </w:rPr>
        <w:t>the company</w:t>
      </w:r>
      <w:r w:rsidRPr="00FE1B3C">
        <w:rPr>
          <w:i/>
          <w:lang w:val="en-GB"/>
        </w:rPr>
        <w:t xml:space="preserve"> should be explained in detail.</w:t>
      </w:r>
    </w:p>
    <w:p w:rsidR="00FE1B3C" w:rsidRPr="00FE1B3C" w:rsidRDefault="00FE1B3C" w:rsidP="00FE1B3C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The end result of this step should be one figure: the amount of the funding gap, labelled </w:t>
      </w:r>
      <w:r w:rsidR="001D6A22" w:rsidRPr="00FE1B3C">
        <w:rPr>
          <w:i/>
          <w:lang w:val="en-GB"/>
        </w:rPr>
        <w:t>as such</w:t>
      </w:r>
      <w:r w:rsidRPr="00FE1B3C">
        <w:rPr>
          <w:i/>
          <w:lang w:val="en-GB"/>
        </w:rPr>
        <w:t xml:space="preserve"> in the Excel sheet.</w:t>
      </w:r>
    </w:p>
    <w:p w:rsidR="00F2403D" w:rsidRPr="00504B99" w:rsidRDefault="00F2403D" w:rsidP="00F2403D">
      <w:pPr>
        <w:pStyle w:val="ITberschrift11"/>
        <w:rPr>
          <w:lang w:val="en-GB"/>
        </w:rPr>
      </w:pPr>
      <w:bookmarkStart w:id="33" w:name="_Toc529275665"/>
      <w:r w:rsidRPr="00504B99">
        <w:rPr>
          <w:lang w:val="en-GB"/>
        </w:rPr>
        <w:t>Incentive effect</w:t>
      </w:r>
      <w:bookmarkEnd w:id="33"/>
    </w:p>
    <w:p w:rsidR="00E27562" w:rsidRDefault="00E27562" w:rsidP="00504B99">
      <w:pPr>
        <w:pStyle w:val="ITberschrift111"/>
        <w:rPr>
          <w:lang w:val="en-GB"/>
        </w:rPr>
      </w:pPr>
      <w:bookmarkStart w:id="34" w:name="_Toc529275666"/>
      <w:r w:rsidRPr="00504B99">
        <w:rPr>
          <w:lang w:val="en-GB"/>
        </w:rPr>
        <w:t>Start date of the project</w:t>
      </w:r>
      <w:bookmarkEnd w:id="34"/>
    </w:p>
    <w:p w:rsidR="000956E9" w:rsidRPr="00504B99" w:rsidRDefault="000956E9" w:rsidP="00504B99">
      <w:pPr>
        <w:pStyle w:val="ITAbsatzohneNr"/>
        <w:rPr>
          <w:lang w:val="en-GB"/>
        </w:rPr>
      </w:pPr>
      <w:r>
        <w:rPr>
          <w:lang w:val="en-GB"/>
        </w:rPr>
        <w:t xml:space="preserve">The </w:t>
      </w:r>
      <w:r w:rsidR="00FE1B3C">
        <w:rPr>
          <w:lang w:val="en-GB"/>
        </w:rPr>
        <w:t>project</w:t>
      </w:r>
      <w:r>
        <w:rPr>
          <w:lang w:val="en-GB"/>
        </w:rPr>
        <w:t xml:space="preserve"> didn’t have to start before the reception of the submission by the </w:t>
      </w:r>
      <w:r w:rsidR="00C7449B">
        <w:rPr>
          <w:lang w:val="en-GB"/>
        </w:rPr>
        <w:t>member</w:t>
      </w:r>
      <w:r>
        <w:rPr>
          <w:lang w:val="en-GB"/>
        </w:rPr>
        <w:t xml:space="preserve"> state</w:t>
      </w:r>
    </w:p>
    <w:p w:rsidR="00E27562" w:rsidRPr="00504B99" w:rsidRDefault="00E27562" w:rsidP="00504B99">
      <w:pPr>
        <w:pStyle w:val="ITberschrift111"/>
        <w:rPr>
          <w:lang w:val="en-GB"/>
        </w:rPr>
      </w:pPr>
      <w:bookmarkStart w:id="35" w:name="_Toc529275667"/>
      <w:r w:rsidRPr="00504B99">
        <w:rPr>
          <w:lang w:val="en-GB"/>
        </w:rPr>
        <w:t>Increase in R&amp;D and FID efforts</w:t>
      </w:r>
      <w:bookmarkEnd w:id="35"/>
    </w:p>
    <w:p w:rsidR="00E27562" w:rsidRPr="00504B99" w:rsidRDefault="00E27562" w:rsidP="00504B99">
      <w:pPr>
        <w:pStyle w:val="ITberschrift111"/>
        <w:rPr>
          <w:lang w:val="en-GB"/>
        </w:rPr>
      </w:pPr>
      <w:bookmarkStart w:id="36" w:name="_Toc529275668"/>
      <w:r w:rsidRPr="00504B99">
        <w:rPr>
          <w:lang w:val="en-GB"/>
        </w:rPr>
        <w:t>Risks affecting the project</w:t>
      </w:r>
      <w:bookmarkEnd w:id="36"/>
    </w:p>
    <w:p w:rsidR="00E27562" w:rsidRDefault="00E27562" w:rsidP="00F2403D">
      <w:pPr>
        <w:pStyle w:val="ITberschrift11"/>
        <w:rPr>
          <w:lang w:val="en-GB"/>
        </w:rPr>
      </w:pPr>
      <w:bookmarkStart w:id="37" w:name="_Toc529275669"/>
      <w:r w:rsidRPr="00504B99">
        <w:rPr>
          <w:lang w:val="en-GB"/>
        </w:rPr>
        <w:t>Necessity of state aid</w:t>
      </w:r>
      <w:bookmarkEnd w:id="37"/>
    </w:p>
    <w:p w:rsidR="000956E9" w:rsidRPr="00504B99" w:rsidRDefault="000956E9" w:rsidP="00504B99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 xml:space="preserve">Point </w:t>
      </w:r>
      <w:r w:rsidRPr="000956E9">
        <w:rPr>
          <w:i/>
          <w:lang w:val="en-GB"/>
        </w:rPr>
        <w:t>28 of the guide</w:t>
      </w:r>
      <w:r w:rsidRPr="00504B99">
        <w:rPr>
          <w:i/>
          <w:lang w:val="en-GB"/>
        </w:rPr>
        <w:t>lines</w:t>
      </w:r>
    </w:p>
    <w:p w:rsidR="00F2403D" w:rsidRDefault="00E27562" w:rsidP="00F2403D">
      <w:pPr>
        <w:pStyle w:val="ITberschrift11"/>
        <w:rPr>
          <w:lang w:val="en-GB"/>
        </w:rPr>
      </w:pPr>
      <w:bookmarkStart w:id="38" w:name="_Toc529275670"/>
      <w:r w:rsidRPr="00504B99">
        <w:rPr>
          <w:lang w:val="en-GB"/>
        </w:rPr>
        <w:t>Proportionality</w:t>
      </w:r>
      <w:r w:rsidR="00A16672" w:rsidRPr="00504B99">
        <w:rPr>
          <w:lang w:val="en-GB"/>
        </w:rPr>
        <w:t xml:space="preserve"> of state aid</w:t>
      </w:r>
      <w:bookmarkEnd w:id="38"/>
    </w:p>
    <w:p w:rsidR="000956E9" w:rsidRPr="00504B99" w:rsidRDefault="000956E9" w:rsidP="00504B99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Point 30 of the guidelines</w:t>
      </w:r>
    </w:p>
    <w:p w:rsidR="00A16672" w:rsidRPr="00504B99" w:rsidRDefault="00A16672" w:rsidP="00504B99">
      <w:pPr>
        <w:pStyle w:val="ITberschrift111"/>
        <w:rPr>
          <w:lang w:val="en-GB"/>
        </w:rPr>
      </w:pPr>
      <w:bookmarkStart w:id="39" w:name="_Toc529275671"/>
      <w:r w:rsidRPr="00504B99">
        <w:rPr>
          <w:lang w:val="en-GB"/>
        </w:rPr>
        <w:t>Costs and state aid</w:t>
      </w:r>
      <w:bookmarkEnd w:id="39"/>
    </w:p>
    <w:p w:rsidR="00A16672" w:rsidRPr="00504B99" w:rsidRDefault="00A16672" w:rsidP="00504B99">
      <w:pPr>
        <w:pStyle w:val="ITberschrift111"/>
        <w:rPr>
          <w:lang w:val="en-GB"/>
        </w:rPr>
      </w:pPr>
      <w:bookmarkStart w:id="40" w:name="_Toc529275672"/>
      <w:r w:rsidRPr="00504B99">
        <w:rPr>
          <w:lang w:val="en-GB"/>
        </w:rPr>
        <w:t>State aid cumulation</w:t>
      </w:r>
      <w:bookmarkEnd w:id="40"/>
    </w:p>
    <w:p w:rsidR="00A16672" w:rsidRPr="00504B99" w:rsidRDefault="00A16672" w:rsidP="00504B99">
      <w:pPr>
        <w:pStyle w:val="ITberschrift111"/>
        <w:rPr>
          <w:lang w:val="en-GB"/>
        </w:rPr>
      </w:pPr>
      <w:bookmarkStart w:id="41" w:name="_Toc529275673"/>
      <w:r w:rsidRPr="00504B99">
        <w:rPr>
          <w:lang w:val="en-GB"/>
        </w:rPr>
        <w:t>Open selection proceeding</w:t>
      </w:r>
      <w:bookmarkEnd w:id="41"/>
    </w:p>
    <w:p w:rsidR="00F2403D" w:rsidRPr="00504B99" w:rsidRDefault="00F2403D" w:rsidP="00F2403D">
      <w:pPr>
        <w:pStyle w:val="ITAbsatzohneNr"/>
        <w:spacing w:after="120"/>
        <w:ind w:left="680"/>
        <w:jc w:val="both"/>
        <w:rPr>
          <w:i/>
          <w:lang w:val="en-GB"/>
        </w:rPr>
      </w:pPr>
      <w:r w:rsidRPr="00A16672">
        <w:rPr>
          <w:i/>
          <w:lang w:val="en-GB"/>
        </w:rPr>
        <w:t>Explain whereas the State aid</w:t>
      </w:r>
      <w:r w:rsidRPr="00025C33">
        <w:rPr>
          <w:lang w:val="en-IE"/>
        </w:rPr>
        <w:t xml:space="preserve"> (</w:t>
      </w:r>
      <w:r w:rsidRPr="000956E9">
        <w:rPr>
          <w:i/>
          <w:lang w:val="en-GB"/>
        </w:rPr>
        <w:t>expressed in gross grant equivalent for non-transparent aid) is not exceeding the funding gap</w:t>
      </w:r>
    </w:p>
    <w:p w:rsidR="00F96B3D" w:rsidRPr="00504B99" w:rsidRDefault="00F96B3D" w:rsidP="00F96B3D">
      <w:pPr>
        <w:pStyle w:val="ITAbsatzohneNr"/>
        <w:spacing w:after="120"/>
        <w:jc w:val="both"/>
        <w:rPr>
          <w:i/>
          <w:lang w:val="en-GB"/>
        </w:rPr>
      </w:pPr>
    </w:p>
    <w:p w:rsidR="003F14DF" w:rsidRPr="00504B99" w:rsidRDefault="00504B99" w:rsidP="00504B99">
      <w:pPr>
        <w:pStyle w:val="ITberschrift1"/>
        <w:rPr>
          <w:lang w:val="en-GB"/>
        </w:rPr>
      </w:pPr>
      <w:bookmarkStart w:id="42" w:name="_Toc529275674"/>
      <w:r>
        <w:rPr>
          <w:lang w:val="en-GB"/>
        </w:rPr>
        <w:t>L</w:t>
      </w:r>
      <w:r w:rsidR="003F14DF" w:rsidRPr="00504B99">
        <w:rPr>
          <w:lang w:val="en-GB"/>
        </w:rPr>
        <w:t xml:space="preserve">imitation of distortion of </w:t>
      </w:r>
      <w:r w:rsidR="00E27562" w:rsidRPr="00A16672">
        <w:rPr>
          <w:lang w:val="en-GB"/>
        </w:rPr>
        <w:t>competition and trade</w:t>
      </w:r>
      <w:bookmarkEnd w:id="42"/>
    </w:p>
    <w:p w:rsidR="00E27562" w:rsidRPr="00504B99" w:rsidRDefault="00E27562" w:rsidP="00504B99">
      <w:pPr>
        <w:pStyle w:val="ITberschrift11"/>
        <w:rPr>
          <w:szCs w:val="23"/>
          <w:lang w:val="en-GB"/>
        </w:rPr>
      </w:pPr>
      <w:bookmarkStart w:id="43" w:name="_Toc529275675"/>
      <w:r w:rsidRPr="00504B99">
        <w:rPr>
          <w:szCs w:val="23"/>
          <w:lang w:val="en-GB"/>
        </w:rPr>
        <w:t xml:space="preserve">Market </w:t>
      </w:r>
      <w:r w:rsidR="00504B99">
        <w:rPr>
          <w:szCs w:val="23"/>
          <w:lang w:val="en-GB"/>
        </w:rPr>
        <w:t>affected by the state aid</w:t>
      </w:r>
      <w:bookmarkEnd w:id="43"/>
    </w:p>
    <w:p w:rsidR="00E27562" w:rsidRPr="000956E9" w:rsidRDefault="00E27562" w:rsidP="00504B99">
      <w:pPr>
        <w:pStyle w:val="ITberschrift111"/>
        <w:rPr>
          <w:lang w:val="en-GB"/>
        </w:rPr>
      </w:pPr>
      <w:bookmarkStart w:id="44" w:name="_Toc529275676"/>
      <w:r w:rsidRPr="00A16672">
        <w:rPr>
          <w:lang w:val="en-GB"/>
        </w:rPr>
        <w:t>Current Industry S</w:t>
      </w:r>
      <w:r w:rsidRPr="000956E9">
        <w:rPr>
          <w:lang w:val="en-GB"/>
        </w:rPr>
        <w:t>ector</w:t>
      </w:r>
      <w:bookmarkEnd w:id="44"/>
    </w:p>
    <w:p w:rsidR="00E27562" w:rsidRPr="00504B99" w:rsidRDefault="00E27562" w:rsidP="00E27562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market situation (EU and worldwide) in this sector (market share, competitors)</w:t>
      </w:r>
      <w:r w:rsidR="00C7449B">
        <w:rPr>
          <w:i/>
          <w:lang w:val="en-GB"/>
        </w:rPr>
        <w:t>.</w:t>
      </w:r>
    </w:p>
    <w:p w:rsidR="00E27562" w:rsidRPr="00504B99" w:rsidRDefault="00E27562" w:rsidP="00504B99">
      <w:pPr>
        <w:pStyle w:val="ITberschrift111"/>
        <w:rPr>
          <w:lang w:val="en-GB"/>
        </w:rPr>
      </w:pPr>
      <w:bookmarkStart w:id="45" w:name="_Toc529275677"/>
      <w:r w:rsidRPr="00504B99">
        <w:rPr>
          <w:lang w:val="en-GB"/>
        </w:rPr>
        <w:t>Market Situation / Share after IPCEI</w:t>
      </w:r>
      <w:bookmarkEnd w:id="45"/>
    </w:p>
    <w:p w:rsidR="00E27562" w:rsidRPr="00504B99" w:rsidRDefault="00E27562" w:rsidP="00E27562">
      <w:pPr>
        <w:pStyle w:val="ITAbsatzohneNr"/>
        <w:spacing w:after="120" w:line="360" w:lineRule="auto"/>
        <w:jc w:val="both"/>
        <w:rPr>
          <w:i/>
          <w:lang w:val="en-GB"/>
        </w:rPr>
      </w:pPr>
      <w:r w:rsidRPr="00504B99">
        <w:rPr>
          <w:i/>
          <w:lang w:val="en-GB"/>
        </w:rPr>
        <w:t>Estimation of the market situation / share (EU and worldwide) after the project will have been finished successfully</w:t>
      </w:r>
      <w:r w:rsidR="001D6A22" w:rsidRPr="00504B99">
        <w:rPr>
          <w:i/>
          <w:lang w:val="en-GB"/>
        </w:rPr>
        <w:t>.</w:t>
      </w:r>
    </w:p>
    <w:p w:rsidR="00504B99" w:rsidRDefault="00504B99" w:rsidP="00504B99">
      <w:pPr>
        <w:pStyle w:val="ITberschrift11"/>
        <w:rPr>
          <w:lang w:val="en-GB"/>
        </w:rPr>
      </w:pPr>
      <w:bookmarkStart w:id="46" w:name="_Toc529275678"/>
      <w:r>
        <w:rPr>
          <w:lang w:val="en-GB"/>
        </w:rPr>
        <w:t xml:space="preserve">Limiting </w:t>
      </w:r>
      <w:r w:rsidR="00C7449B">
        <w:rPr>
          <w:lang w:val="en-GB"/>
        </w:rPr>
        <w:t>distortion</w:t>
      </w:r>
      <w:r>
        <w:rPr>
          <w:lang w:val="en-GB"/>
        </w:rPr>
        <w:t xml:space="preserve"> of dynamic incentives</w:t>
      </w:r>
      <w:bookmarkEnd w:id="46"/>
    </w:p>
    <w:p w:rsidR="00504B99" w:rsidRDefault="00504B99" w:rsidP="00504B99">
      <w:pPr>
        <w:pStyle w:val="ITberschrift11"/>
        <w:rPr>
          <w:lang w:val="en-GB"/>
        </w:rPr>
      </w:pPr>
      <w:bookmarkStart w:id="47" w:name="_Toc529275679"/>
      <w:r>
        <w:rPr>
          <w:lang w:val="en-GB"/>
        </w:rPr>
        <w:t>No strengthening or creation of market power</w:t>
      </w:r>
      <w:bookmarkEnd w:id="47"/>
    </w:p>
    <w:p w:rsidR="00504B99" w:rsidRDefault="00504B99" w:rsidP="00504B99">
      <w:pPr>
        <w:pStyle w:val="ITberschrift11"/>
        <w:rPr>
          <w:lang w:val="en-GB"/>
        </w:rPr>
      </w:pPr>
      <w:bookmarkStart w:id="48" w:name="_Toc529275680"/>
      <w:r>
        <w:rPr>
          <w:lang w:val="en-GB"/>
        </w:rPr>
        <w:t>Failure to maintain an inefficient market structure</w:t>
      </w:r>
      <w:bookmarkEnd w:id="48"/>
    </w:p>
    <w:p w:rsidR="003F14DF" w:rsidRPr="00504B99" w:rsidRDefault="00504B99" w:rsidP="00504B99">
      <w:pPr>
        <w:pStyle w:val="ITberschrift11"/>
        <w:rPr>
          <w:lang w:val="en-GB"/>
        </w:rPr>
      </w:pPr>
      <w:bookmarkStart w:id="49" w:name="_Toc529275681"/>
      <w:r>
        <w:rPr>
          <w:lang w:val="en-GB"/>
        </w:rPr>
        <w:t>No effect on location activities</w:t>
      </w:r>
      <w:bookmarkEnd w:id="49"/>
    </w:p>
    <w:p w:rsidR="00F96B3D" w:rsidRPr="00504B99" w:rsidRDefault="00F96B3D" w:rsidP="00F96B3D">
      <w:pPr>
        <w:pStyle w:val="ITberschrift1"/>
        <w:rPr>
          <w:lang w:val="en-GB"/>
        </w:rPr>
      </w:pPr>
      <w:bookmarkStart w:id="50" w:name="_Toc529275682"/>
      <w:r w:rsidRPr="00504B99">
        <w:rPr>
          <w:lang w:val="en-GB"/>
        </w:rPr>
        <w:t>Annex to the Portfolio</w:t>
      </w:r>
      <w:bookmarkEnd w:id="50"/>
    </w:p>
    <w:p w:rsidR="00F96B3D" w:rsidRPr="00504B99" w:rsidRDefault="00F96B3D" w:rsidP="00F96B3D">
      <w:pPr>
        <w:pStyle w:val="ITAbsatzohneNr"/>
        <w:numPr>
          <w:ilvl w:val="0"/>
          <w:numId w:val="48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Funding Gap Questionnaire</w:t>
      </w:r>
    </w:p>
    <w:p w:rsidR="00F96B3D" w:rsidRPr="00504B99" w:rsidRDefault="00F96B3D" w:rsidP="00F96B3D">
      <w:pPr>
        <w:pStyle w:val="ITAbsatzohneNr"/>
        <w:numPr>
          <w:ilvl w:val="0"/>
          <w:numId w:val="48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(If necessary) Internal Company Documents </w:t>
      </w:r>
      <w:r w:rsidR="00C7449B">
        <w:rPr>
          <w:i/>
          <w:lang w:val="en-GB"/>
        </w:rPr>
        <w:t>s</w:t>
      </w:r>
      <w:r w:rsidRPr="00504B99">
        <w:rPr>
          <w:i/>
          <w:lang w:val="en-GB"/>
        </w:rPr>
        <w:t xml:space="preserve">ubstantiating the </w:t>
      </w:r>
      <w:r w:rsidR="00C7449B">
        <w:rPr>
          <w:i/>
          <w:lang w:val="en-GB"/>
        </w:rPr>
        <w:t>c</w:t>
      </w:r>
      <w:r w:rsidRPr="00504B99">
        <w:rPr>
          <w:i/>
          <w:lang w:val="en-GB"/>
        </w:rPr>
        <w:t xml:space="preserve">ounterfactual </w:t>
      </w:r>
      <w:r w:rsidR="00C7449B">
        <w:rPr>
          <w:i/>
          <w:lang w:val="en-GB"/>
        </w:rPr>
        <w:t>s</w:t>
      </w:r>
      <w:r w:rsidRPr="00504B99">
        <w:rPr>
          <w:i/>
          <w:lang w:val="en-GB"/>
        </w:rPr>
        <w:t>cenario</w:t>
      </w:r>
    </w:p>
    <w:p w:rsidR="00F96B3D" w:rsidRPr="00F96B3D" w:rsidRDefault="00F96B3D" w:rsidP="00F96B3D">
      <w:pPr>
        <w:pStyle w:val="ITAbsatzohneNr"/>
        <w:spacing w:after="120"/>
        <w:jc w:val="both"/>
        <w:rPr>
          <w:i/>
          <w:lang w:val="en-GB"/>
        </w:rPr>
      </w:pPr>
    </w:p>
    <w:sectPr w:rsidR="00F96B3D" w:rsidRPr="00F96B3D" w:rsidSect="002C1B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68A7" w:rsidRDefault="003E68A7" w:rsidP="00D50C60">
      <w:r>
        <w:separator/>
      </w:r>
    </w:p>
  </w:endnote>
  <w:endnote w:type="continuationSeparator" w:id="0">
    <w:p w:rsidR="003E68A7" w:rsidRDefault="003E68A7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6717646"/>
      <w:docPartObj>
        <w:docPartGallery w:val="Page Numbers (Bottom of Page)"/>
        <w:docPartUnique/>
      </w:docPartObj>
    </w:sdtPr>
    <w:sdtEndPr/>
    <w:sdtContent>
      <w:p w:rsidR="00BD1368" w:rsidRDefault="00017319">
        <w:pPr>
          <w:pStyle w:val="Fuzeile"/>
          <w:jc w:val="center"/>
        </w:pPr>
        <w:r>
          <w:fldChar w:fldCharType="begin"/>
        </w:r>
        <w:r w:rsidR="00BD1368">
          <w:instrText>PAGE   \* MERGEFORMAT</w:instrText>
        </w:r>
        <w:r>
          <w:fldChar w:fldCharType="separate"/>
        </w:r>
        <w:r w:rsidR="00025C33">
          <w:rPr>
            <w:noProof/>
          </w:rPr>
          <w:t>2</w:t>
        </w:r>
        <w:r>
          <w:fldChar w:fldCharType="end"/>
        </w:r>
      </w:p>
    </w:sdtContent>
  </w:sdt>
  <w:p w:rsidR="00BD1368" w:rsidRDefault="00BD13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68A7" w:rsidRDefault="003E68A7" w:rsidP="00D50C60">
      <w:r>
        <w:separator/>
      </w:r>
    </w:p>
  </w:footnote>
  <w:footnote w:type="continuationSeparator" w:id="0">
    <w:p w:rsidR="003E68A7" w:rsidRDefault="003E68A7" w:rsidP="00D50C60">
      <w:r>
        <w:continuationSeparator/>
      </w:r>
    </w:p>
  </w:footnote>
  <w:footnote w:id="1">
    <w:p w:rsidR="00FF51C7" w:rsidRPr="00FF51C7" w:rsidRDefault="00FF51C7" w:rsidP="00FF51C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A378C">
        <w:rPr>
          <w:lang w:val="en-US"/>
        </w:rPr>
        <w:t xml:space="preserve">Reference to (g) in </w:t>
      </w:r>
      <w:r>
        <w:rPr>
          <w:lang w:val="en-US"/>
        </w:rPr>
        <w:t>the a</w:t>
      </w:r>
      <w:r w:rsidRPr="00EA378C">
        <w:rPr>
          <w:lang w:val="en-US"/>
        </w:rPr>
        <w:t xml:space="preserve">nnex of the ICPEI </w:t>
      </w:r>
      <w:r>
        <w:rPr>
          <w:lang w:val="en-US"/>
        </w:rPr>
        <w:t xml:space="preserve">communication from the </w:t>
      </w:r>
      <w:r w:rsidRPr="00EA378C">
        <w:rPr>
          <w:lang w:val="en-US"/>
        </w:rPr>
        <w:t>C</w:t>
      </w:r>
      <w:r>
        <w:rPr>
          <w:lang w:val="en-US"/>
        </w:rPr>
        <w:t>ommission (</w:t>
      </w:r>
      <w:r w:rsidRPr="00EA378C">
        <w:rPr>
          <w:lang w:val="en-US"/>
        </w:rPr>
        <w:t>2014/C 188/02)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13DA" w:rsidRPr="00B55D32" w:rsidRDefault="00B55D32">
    <w:pPr>
      <w:rPr>
        <w:lang w:val="en-US"/>
      </w:rPr>
    </w:pPr>
    <w:r w:rsidRPr="00B55D32">
      <w:rPr>
        <w:lang w:val="en-US"/>
      </w:rPr>
      <w:t xml:space="preserve">IPCEI on </w:t>
    </w:r>
    <w:r w:rsidR="001D6A22">
      <w:rPr>
        <w:lang w:val="en-US"/>
      </w:rPr>
      <w:t>…</w:t>
    </w:r>
    <w:r w:rsidR="001D6A22">
      <w:ptab w:relativeTo="margin" w:alignment="center" w:leader="none"/>
    </w:r>
    <w:r>
      <w:tab/>
    </w:r>
    <w:r>
      <w:tab/>
    </w:r>
    <w:r>
      <w:tab/>
    </w:r>
    <w:r>
      <w:tab/>
    </w:r>
    <w:r w:rsidR="00FF51C7" w:rsidRPr="00FF51C7">
      <w:rPr>
        <w:lang w:val="en-US"/>
      </w:rPr>
      <w:t xml:space="preserve"> Confidential</w:t>
    </w:r>
    <w:r w:rsidR="00BD1368" w:rsidRPr="00FF51C7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2CC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D2C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A4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78D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200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ECE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48BE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08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0D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49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93118"/>
    <w:multiLevelType w:val="hybridMultilevel"/>
    <w:tmpl w:val="54B06AFA"/>
    <w:lvl w:ilvl="0" w:tplc="7FBA842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95214"/>
    <w:multiLevelType w:val="hybridMultilevel"/>
    <w:tmpl w:val="905C8010"/>
    <w:lvl w:ilvl="0" w:tplc="49EA1674">
      <w:start w:val="1"/>
      <w:numFmt w:val="upperRoman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269E0"/>
    <w:multiLevelType w:val="hybridMultilevel"/>
    <w:tmpl w:val="8D624B74"/>
    <w:lvl w:ilvl="0" w:tplc="04070001">
      <w:start w:val="29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402F"/>
    <w:multiLevelType w:val="hybridMultilevel"/>
    <w:tmpl w:val="388A7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118E3"/>
    <w:multiLevelType w:val="hybridMultilevel"/>
    <w:tmpl w:val="EF506C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94574F"/>
    <w:multiLevelType w:val="hybridMultilevel"/>
    <w:tmpl w:val="E7287D7E"/>
    <w:lvl w:ilvl="0" w:tplc="B692ADEC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34C74"/>
    <w:multiLevelType w:val="hybridMultilevel"/>
    <w:tmpl w:val="6F323008"/>
    <w:lvl w:ilvl="0" w:tplc="22846934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128D7"/>
    <w:multiLevelType w:val="hybridMultilevel"/>
    <w:tmpl w:val="0734B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21" w15:restartNumberingAfterBreak="0">
    <w:nsid w:val="4CA766BD"/>
    <w:multiLevelType w:val="hybridMultilevel"/>
    <w:tmpl w:val="36549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B712F"/>
    <w:multiLevelType w:val="hybridMultilevel"/>
    <w:tmpl w:val="87DC6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310E3"/>
    <w:multiLevelType w:val="hybridMultilevel"/>
    <w:tmpl w:val="F87C4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F2891"/>
    <w:multiLevelType w:val="hybridMultilevel"/>
    <w:tmpl w:val="3D2C1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5"/>
  </w:num>
  <w:num w:numId="6">
    <w:abstractNumId w:val="25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19"/>
  </w:num>
  <w:num w:numId="13">
    <w:abstractNumId w:val="19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9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4"/>
  </w:num>
  <w:num w:numId="31">
    <w:abstractNumId w:val="24"/>
  </w:num>
  <w:num w:numId="32">
    <w:abstractNumId w:val="21"/>
  </w:num>
  <w:num w:numId="33">
    <w:abstractNumId w:val="16"/>
  </w:num>
  <w:num w:numId="34">
    <w:abstractNumId w:val="26"/>
  </w:num>
  <w:num w:numId="35">
    <w:abstractNumId w:val="23"/>
  </w:num>
  <w:num w:numId="36">
    <w:abstractNumId w:val="22"/>
  </w:num>
  <w:num w:numId="37">
    <w:abstractNumId w:val="10"/>
  </w:num>
  <w:num w:numId="38">
    <w:abstractNumId w:val="12"/>
  </w:num>
  <w:num w:numId="39">
    <w:abstractNumId w:val="24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17"/>
  </w:num>
  <w:num w:numId="45">
    <w:abstractNumId w:val="24"/>
  </w:num>
  <w:num w:numId="46">
    <w:abstractNumId w:val="24"/>
  </w:num>
  <w:num w:numId="47">
    <w:abstractNumId w:val="24"/>
  </w:num>
  <w:num w:numId="48">
    <w:abstractNumId w:val="11"/>
  </w:num>
  <w:num w:numId="49">
    <w:abstractNumId w:val="24"/>
  </w:num>
  <w:num w:numId="50">
    <w:abstractNumId w:val="24"/>
  </w:num>
  <w:num w:numId="51">
    <w:abstractNumId w:val="24"/>
  </w:num>
  <w:num w:numId="52">
    <w:abstractNumId w:val="24"/>
  </w:num>
  <w:num w:numId="53">
    <w:abstractNumId w:val="24"/>
    <w:lvlOverride w:ilvl="0">
      <w:startOverride w:val="5"/>
    </w:lvlOverride>
    <w:lvlOverride w:ilvl="1">
      <w:startOverride w:val="2"/>
    </w:lvlOverride>
  </w:num>
  <w:num w:numId="54">
    <w:abstractNumId w:val="24"/>
  </w:num>
  <w:num w:numId="55">
    <w:abstractNumId w:val="24"/>
  </w:num>
  <w:num w:numId="56">
    <w:abstractNumId w:val="18"/>
  </w:num>
  <w:num w:numId="57">
    <w:abstractNumId w:val="24"/>
  </w:num>
  <w:num w:numId="58">
    <w:abstractNumId w:val="24"/>
  </w:num>
  <w:num w:numId="59">
    <w:abstractNumId w:val="13"/>
  </w:num>
  <w:num w:numId="60">
    <w:abstractNumId w:val="24"/>
  </w:num>
  <w:num w:numId="61">
    <w:abstractNumId w:val="24"/>
  </w:num>
  <w:num w:numId="62">
    <w:abstractNumId w:val="24"/>
  </w:num>
  <w:num w:numId="63">
    <w:abstractNumId w:val="24"/>
  </w:num>
  <w:num w:numId="64">
    <w:abstractNumId w:val="24"/>
  </w:num>
  <w:num w:numId="65">
    <w:abstractNumId w:val="24"/>
  </w:num>
  <w:num w:numId="66">
    <w:abstractNumId w:val="24"/>
  </w:num>
  <w:num w:numId="67">
    <w:abstractNumId w:val="24"/>
  </w:num>
  <w:num w:numId="68">
    <w:abstractNumId w:val="24"/>
  </w:num>
  <w:num w:numId="69">
    <w:abstractNumId w:val="24"/>
  </w:num>
  <w:num w:numId="70">
    <w:abstractNumId w:val="24"/>
  </w:num>
  <w:num w:numId="71">
    <w:abstractNumId w:val="2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BD"/>
    <w:rsid w:val="00012260"/>
    <w:rsid w:val="00017319"/>
    <w:rsid w:val="00025C33"/>
    <w:rsid w:val="00033BBF"/>
    <w:rsid w:val="0004432D"/>
    <w:rsid w:val="000531B4"/>
    <w:rsid w:val="00054780"/>
    <w:rsid w:val="00057DF1"/>
    <w:rsid w:val="00065F93"/>
    <w:rsid w:val="0007013E"/>
    <w:rsid w:val="00080203"/>
    <w:rsid w:val="00091C82"/>
    <w:rsid w:val="000956E9"/>
    <w:rsid w:val="000C60E1"/>
    <w:rsid w:val="000C73D0"/>
    <w:rsid w:val="000D2E0B"/>
    <w:rsid w:val="000D3006"/>
    <w:rsid w:val="000E194F"/>
    <w:rsid w:val="000F4493"/>
    <w:rsid w:val="00124C96"/>
    <w:rsid w:val="00127624"/>
    <w:rsid w:val="0015639D"/>
    <w:rsid w:val="0015776A"/>
    <w:rsid w:val="001623F4"/>
    <w:rsid w:val="00183AE8"/>
    <w:rsid w:val="001A50E6"/>
    <w:rsid w:val="001A5B0A"/>
    <w:rsid w:val="001C13DA"/>
    <w:rsid w:val="001D0C1B"/>
    <w:rsid w:val="001D4449"/>
    <w:rsid w:val="001D6A22"/>
    <w:rsid w:val="001F3783"/>
    <w:rsid w:val="00201DB0"/>
    <w:rsid w:val="0021183C"/>
    <w:rsid w:val="0021231E"/>
    <w:rsid w:val="00277985"/>
    <w:rsid w:val="002933AC"/>
    <w:rsid w:val="002C1BC2"/>
    <w:rsid w:val="002C3BF4"/>
    <w:rsid w:val="002C6731"/>
    <w:rsid w:val="002E2ECE"/>
    <w:rsid w:val="002E5B06"/>
    <w:rsid w:val="002E6218"/>
    <w:rsid w:val="00301C83"/>
    <w:rsid w:val="00323743"/>
    <w:rsid w:val="00332090"/>
    <w:rsid w:val="003703B6"/>
    <w:rsid w:val="00382BBC"/>
    <w:rsid w:val="003A66B1"/>
    <w:rsid w:val="003B0144"/>
    <w:rsid w:val="003B715A"/>
    <w:rsid w:val="003E46BF"/>
    <w:rsid w:val="003E68A7"/>
    <w:rsid w:val="003F14DF"/>
    <w:rsid w:val="0042553C"/>
    <w:rsid w:val="004257FC"/>
    <w:rsid w:val="00464C8E"/>
    <w:rsid w:val="004703BC"/>
    <w:rsid w:val="0047141A"/>
    <w:rsid w:val="004766EF"/>
    <w:rsid w:val="004866C8"/>
    <w:rsid w:val="004A0FA9"/>
    <w:rsid w:val="004A6B83"/>
    <w:rsid w:val="004B7277"/>
    <w:rsid w:val="004B76C0"/>
    <w:rsid w:val="004C1F9A"/>
    <w:rsid w:val="004F3963"/>
    <w:rsid w:val="00504B99"/>
    <w:rsid w:val="005245D6"/>
    <w:rsid w:val="00530BD5"/>
    <w:rsid w:val="005443AA"/>
    <w:rsid w:val="0055531E"/>
    <w:rsid w:val="0057270C"/>
    <w:rsid w:val="0058699A"/>
    <w:rsid w:val="00587F8B"/>
    <w:rsid w:val="00592595"/>
    <w:rsid w:val="005A24C9"/>
    <w:rsid w:val="005A51AE"/>
    <w:rsid w:val="005B74C5"/>
    <w:rsid w:val="005D3A99"/>
    <w:rsid w:val="005D3B52"/>
    <w:rsid w:val="005E6DD5"/>
    <w:rsid w:val="005E7E95"/>
    <w:rsid w:val="005F2F0E"/>
    <w:rsid w:val="005F57A6"/>
    <w:rsid w:val="0060473B"/>
    <w:rsid w:val="006431E8"/>
    <w:rsid w:val="00650072"/>
    <w:rsid w:val="006621E1"/>
    <w:rsid w:val="00674267"/>
    <w:rsid w:val="00684606"/>
    <w:rsid w:val="006847E3"/>
    <w:rsid w:val="006A21AF"/>
    <w:rsid w:val="006A3625"/>
    <w:rsid w:val="006A4D06"/>
    <w:rsid w:val="006E76B9"/>
    <w:rsid w:val="006F1C09"/>
    <w:rsid w:val="006F260E"/>
    <w:rsid w:val="006F6F7B"/>
    <w:rsid w:val="007461DE"/>
    <w:rsid w:val="00747122"/>
    <w:rsid w:val="00752B8B"/>
    <w:rsid w:val="00774E9E"/>
    <w:rsid w:val="00784FE3"/>
    <w:rsid w:val="007B000A"/>
    <w:rsid w:val="007C13B3"/>
    <w:rsid w:val="007D0832"/>
    <w:rsid w:val="007E2EC8"/>
    <w:rsid w:val="007E6A1A"/>
    <w:rsid w:val="007F3AB1"/>
    <w:rsid w:val="00815645"/>
    <w:rsid w:val="008250B0"/>
    <w:rsid w:val="00831717"/>
    <w:rsid w:val="00831B19"/>
    <w:rsid w:val="00834A31"/>
    <w:rsid w:val="0083756C"/>
    <w:rsid w:val="0084627C"/>
    <w:rsid w:val="00854656"/>
    <w:rsid w:val="00874799"/>
    <w:rsid w:val="0087676C"/>
    <w:rsid w:val="0087761C"/>
    <w:rsid w:val="008868F9"/>
    <w:rsid w:val="008974EC"/>
    <w:rsid w:val="008A47E8"/>
    <w:rsid w:val="008A6C79"/>
    <w:rsid w:val="008D297A"/>
    <w:rsid w:val="008E1FBF"/>
    <w:rsid w:val="008F09C9"/>
    <w:rsid w:val="008F56E4"/>
    <w:rsid w:val="008F5C76"/>
    <w:rsid w:val="00902113"/>
    <w:rsid w:val="00912B07"/>
    <w:rsid w:val="00913079"/>
    <w:rsid w:val="009218AD"/>
    <w:rsid w:val="009510DB"/>
    <w:rsid w:val="00964B26"/>
    <w:rsid w:val="00971850"/>
    <w:rsid w:val="009767BE"/>
    <w:rsid w:val="00976AFD"/>
    <w:rsid w:val="009803C2"/>
    <w:rsid w:val="009A44BA"/>
    <w:rsid w:val="009C1921"/>
    <w:rsid w:val="009C5620"/>
    <w:rsid w:val="009C7EDE"/>
    <w:rsid w:val="00A0058C"/>
    <w:rsid w:val="00A00995"/>
    <w:rsid w:val="00A13711"/>
    <w:rsid w:val="00A16672"/>
    <w:rsid w:val="00A274BD"/>
    <w:rsid w:val="00A43558"/>
    <w:rsid w:val="00A50B11"/>
    <w:rsid w:val="00A85E46"/>
    <w:rsid w:val="00AB16B2"/>
    <w:rsid w:val="00AC4BCB"/>
    <w:rsid w:val="00AC6DDF"/>
    <w:rsid w:val="00AD3D62"/>
    <w:rsid w:val="00AD6721"/>
    <w:rsid w:val="00AD6BDB"/>
    <w:rsid w:val="00AE55A2"/>
    <w:rsid w:val="00B14044"/>
    <w:rsid w:val="00B2528A"/>
    <w:rsid w:val="00B52E90"/>
    <w:rsid w:val="00B53CEA"/>
    <w:rsid w:val="00B55D32"/>
    <w:rsid w:val="00B61B17"/>
    <w:rsid w:val="00B8163D"/>
    <w:rsid w:val="00B81D14"/>
    <w:rsid w:val="00BA1AB7"/>
    <w:rsid w:val="00BB16E4"/>
    <w:rsid w:val="00BD1368"/>
    <w:rsid w:val="00BD4261"/>
    <w:rsid w:val="00BD5439"/>
    <w:rsid w:val="00BE0EDC"/>
    <w:rsid w:val="00BF0165"/>
    <w:rsid w:val="00C14800"/>
    <w:rsid w:val="00C26617"/>
    <w:rsid w:val="00C42AE3"/>
    <w:rsid w:val="00C43624"/>
    <w:rsid w:val="00C4441D"/>
    <w:rsid w:val="00C454AC"/>
    <w:rsid w:val="00C52825"/>
    <w:rsid w:val="00C7449B"/>
    <w:rsid w:val="00C80747"/>
    <w:rsid w:val="00CB36B5"/>
    <w:rsid w:val="00CB623F"/>
    <w:rsid w:val="00CC2E74"/>
    <w:rsid w:val="00CD04F3"/>
    <w:rsid w:val="00D1602B"/>
    <w:rsid w:val="00D3383F"/>
    <w:rsid w:val="00D50C60"/>
    <w:rsid w:val="00D769DE"/>
    <w:rsid w:val="00D820E2"/>
    <w:rsid w:val="00DB218E"/>
    <w:rsid w:val="00DC138F"/>
    <w:rsid w:val="00DD5ED5"/>
    <w:rsid w:val="00DE242C"/>
    <w:rsid w:val="00E04588"/>
    <w:rsid w:val="00E04F3D"/>
    <w:rsid w:val="00E22E96"/>
    <w:rsid w:val="00E27562"/>
    <w:rsid w:val="00E46993"/>
    <w:rsid w:val="00E5148F"/>
    <w:rsid w:val="00E525E5"/>
    <w:rsid w:val="00E53D1E"/>
    <w:rsid w:val="00E80957"/>
    <w:rsid w:val="00E8677F"/>
    <w:rsid w:val="00EA378C"/>
    <w:rsid w:val="00EA433C"/>
    <w:rsid w:val="00EB1B69"/>
    <w:rsid w:val="00EF201C"/>
    <w:rsid w:val="00F15D70"/>
    <w:rsid w:val="00F17CCE"/>
    <w:rsid w:val="00F2403D"/>
    <w:rsid w:val="00F261FA"/>
    <w:rsid w:val="00F37363"/>
    <w:rsid w:val="00F407AE"/>
    <w:rsid w:val="00F548CE"/>
    <w:rsid w:val="00F90E52"/>
    <w:rsid w:val="00F96B3D"/>
    <w:rsid w:val="00F97CEE"/>
    <w:rsid w:val="00FB00CF"/>
    <w:rsid w:val="00FB186A"/>
    <w:rsid w:val="00FB49F5"/>
    <w:rsid w:val="00FB71D8"/>
    <w:rsid w:val="00FE00D7"/>
    <w:rsid w:val="00FE1B3C"/>
    <w:rsid w:val="00FF51C7"/>
    <w:rsid w:val="00FF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67F74B9-2DF9-4601-86F6-0E587CBB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274BD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T Abbildungsverzeichnis"/>
    <w:basedOn w:val="Standard"/>
    <w:next w:val="Standard"/>
    <w:link w:val="AbbildungsverzeichnisZchn"/>
    <w:uiPriority w:val="99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AbbildungsverzeichnisZchn">
    <w:name w:val="Abbildungsverzeichnis Zchn"/>
    <w:aliases w:val="IT Abbildungsverzeichnis Zchn"/>
    <w:basedOn w:val="Absatz-Standardschriftart"/>
    <w:link w:val="Abbildungsverzeichnis"/>
    <w:rsid w:val="001623F4"/>
    <w:rPr>
      <w:rFonts w:ascii="Arial" w:hAnsi="Arial" w:cs="Times New Roman"/>
      <w:sz w:val="20"/>
      <w:szCs w:val="20"/>
      <w:lang w:eastAsia="de-DE"/>
    </w:rPr>
  </w:style>
  <w:style w:type="paragraph" w:styleId="Aufzhlungszeichen2">
    <w:name w:val="List Bullet 2"/>
    <w:aliases w:val="IT Minus Ebene 2"/>
    <w:basedOn w:val="Standard"/>
    <w:rsid w:val="00A00995"/>
    <w:pPr>
      <w:tabs>
        <w:tab w:val="num" w:pos="964"/>
      </w:tabs>
      <w:ind w:left="964" w:hanging="284"/>
    </w:pPr>
  </w:style>
  <w:style w:type="paragraph" w:styleId="Aufzhlungszeichen3">
    <w:name w:val="List Bullet 3"/>
    <w:aliases w:val="IT Plus Ebene 2"/>
    <w:basedOn w:val="Standard"/>
    <w:next w:val="Aufzhlungszeichen2"/>
    <w:rsid w:val="00A00995"/>
    <w:pPr>
      <w:tabs>
        <w:tab w:val="num" w:pos="964"/>
      </w:tabs>
      <w:ind w:left="964" w:hanging="284"/>
    </w:pPr>
  </w:style>
  <w:style w:type="paragraph" w:styleId="Aufzhlungszeichen4">
    <w:name w:val="List Bullet 4"/>
    <w:aliases w:val="IT Doppelpfeil Ebene 3"/>
    <w:basedOn w:val="Standard"/>
    <w:rsid w:val="00A00995"/>
    <w:pPr>
      <w:tabs>
        <w:tab w:val="num" w:pos="1247"/>
      </w:tabs>
      <w:ind w:left="1247" w:hanging="283"/>
    </w:pPr>
  </w:style>
  <w:style w:type="paragraph" w:styleId="Aufzhlungszeichen5">
    <w:name w:val="List Bullet 5"/>
    <w:aliases w:val="IT Pfeil Ebene 3"/>
    <w:basedOn w:val="Standard"/>
    <w:rsid w:val="00A00995"/>
    <w:pPr>
      <w:tabs>
        <w:tab w:val="num" w:pos="1247"/>
      </w:tabs>
      <w:ind w:left="1247" w:hanging="283"/>
    </w:pPr>
  </w:style>
  <w:style w:type="paragraph" w:styleId="Beschriftung">
    <w:name w:val="caption"/>
    <w:aliases w:val="IT Beschriftung"/>
    <w:basedOn w:val="Standard"/>
    <w:next w:val="Standard"/>
    <w:link w:val="BeschriftungZchn"/>
    <w:rsid w:val="00AD6721"/>
    <w:pPr>
      <w:spacing w:before="160" w:after="240"/>
    </w:pPr>
    <w:rPr>
      <w:bCs/>
      <w:i/>
    </w:rPr>
  </w:style>
  <w:style w:type="character" w:customStyle="1" w:styleId="BeschriftungZchn">
    <w:name w:val="Beschriftung Zchn"/>
    <w:aliases w:val="IT Beschriftung Zchn"/>
    <w:basedOn w:val="Absatz-Standardschriftart"/>
    <w:link w:val="Beschriftung"/>
    <w:rsid w:val="00AD6721"/>
    <w:rPr>
      <w:rFonts w:ascii="Arial" w:hAnsi="Arial" w:cs="Times New Roman"/>
      <w:bCs/>
      <w:i/>
      <w:sz w:val="20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Beschriftung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BeschriftungZchn"/>
    <w:link w:val="FormatvorlageBeschriftung"/>
    <w:rsid w:val="00A00995"/>
    <w:rPr>
      <w:rFonts w:ascii="Arial" w:hAnsi="Arial" w:cs="Times New Roman"/>
      <w:bCs/>
      <w:i/>
      <w:sz w:val="16"/>
      <w:szCs w:val="20"/>
      <w:lang w:eastAsia="de-DE"/>
    </w:rPr>
  </w:style>
  <w:style w:type="paragraph" w:customStyle="1" w:styleId="ITberschriftCohneNr">
    <w:name w:val="IT Überschrift C ohne Nr."/>
    <w:next w:val="Standard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Standard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Verzeichnis1">
    <w:name w:val="toc 1"/>
    <w:aliases w:val="IT Verzeichnis 1"/>
    <w:basedOn w:val="ITberschriftAohneNr"/>
    <w:next w:val="ITberschriftAohneNr"/>
    <w:uiPriority w:val="39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Verzeichnis1"/>
    <w:rsid w:val="00A00995"/>
    <w:rPr>
      <w:rFonts w:cs="Arial"/>
    </w:rPr>
  </w:style>
  <w:style w:type="paragraph" w:styleId="Verzeichnis2">
    <w:name w:val="toc 2"/>
    <w:aliases w:val="IT Verzeichnis 2"/>
    <w:uiPriority w:val="39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Verzeichnis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Verzeichnis3">
    <w:name w:val="toc 3"/>
    <w:aliases w:val="IT Verzeichnis 3"/>
    <w:uiPriority w:val="39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Verzeichnis3"/>
    <w:rsid w:val="00A00995"/>
    <w:pPr>
      <w:tabs>
        <w:tab w:val="clear" w:pos="1701"/>
      </w:tabs>
      <w:ind w:left="1588" w:hanging="1021"/>
    </w:pPr>
  </w:style>
  <w:style w:type="paragraph" w:styleId="Funotentext">
    <w:name w:val="footnote text"/>
    <w:aliases w:val="IT Fußnotentext"/>
    <w:basedOn w:val="Standard"/>
    <w:link w:val="FunotentextZchn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unotentextZchn">
    <w:name w:val="Fußnotentext Zchn"/>
    <w:aliases w:val="IT Fußnotentext Zchn"/>
    <w:basedOn w:val="Absatz-Standardschriftart"/>
    <w:link w:val="Funotentext"/>
    <w:rsid w:val="00A00995"/>
    <w:rPr>
      <w:rFonts w:ascii="Arial" w:hAnsi="Arial" w:cs="Times New Roman"/>
      <w:sz w:val="16"/>
      <w:szCs w:val="20"/>
      <w:lang w:eastAsia="de-DE"/>
    </w:rPr>
  </w:style>
  <w:style w:type="character" w:styleId="Funotenzeichen">
    <w:name w:val="footnote reference"/>
    <w:aliases w:val="IT Fußnotenzeichen"/>
    <w:basedOn w:val="Absatz-Standardschriftar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Absatz-Standardschriftart"/>
    <w:uiPriority w:val="99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5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Absatz-Standardschriftar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BD1368"/>
    <w:pPr>
      <w:spacing w:after="0"/>
      <w:jc w:val="both"/>
    </w:pPr>
    <w:rPr>
      <w:rFonts w:ascii="Arial" w:hAnsi="Arial" w:cs="Times New Roman"/>
      <w:szCs w:val="20"/>
      <w:lang w:eastAsia="de-DE"/>
    </w:rPr>
  </w:style>
  <w:style w:type="character" w:customStyle="1" w:styleId="ITStandardZchn">
    <w:name w:val="IT Standard Zchn"/>
    <w:basedOn w:val="Absatz-Standardschriftart"/>
    <w:link w:val="ITStandard"/>
    <w:rsid w:val="00BD1368"/>
    <w:rPr>
      <w:rFonts w:ascii="Arial" w:hAnsi="Arial" w:cs="Times New Roman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6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11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11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Absatz-Standardschriftar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Absatz-Standardschriftar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Absatz-Standardschriftar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Absatz-Standardschriftar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Absatz-Standardschriftar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Absatz-Standardschriftart"/>
    <w:rsid w:val="00A00995"/>
    <w:rPr>
      <w:shd w:val="clear" w:color="auto" w:fill="auto"/>
    </w:rPr>
  </w:style>
  <w:style w:type="paragraph" w:customStyle="1" w:styleId="ITNummerierung">
    <w:name w:val="IT Nummerierung"/>
    <w:basedOn w:val="Standard"/>
    <w:rsid w:val="00A00995"/>
    <w:pPr>
      <w:widowControl w:val="0"/>
      <w:numPr>
        <w:numId w:val="13"/>
      </w:numPr>
      <w:spacing w:after="120"/>
    </w:pPr>
  </w:style>
  <w:style w:type="paragraph" w:customStyle="1" w:styleId="ITNummerierung2Ebenea">
    <w:name w:val="IT Nummerierung 2. Ebene a)"/>
    <w:basedOn w:val="Standard"/>
    <w:rsid w:val="00A00995"/>
    <w:pPr>
      <w:widowControl w:val="0"/>
      <w:numPr>
        <w:ilvl w:val="1"/>
        <w:numId w:val="13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23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Absatz-Standardschriftar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23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Absatz-Standardschriftar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58699A"/>
    <w:pPr>
      <w:numPr>
        <w:ilvl w:val="2"/>
        <w:numId w:val="23"/>
      </w:numPr>
      <w:spacing w:before="160" w:after="120" w:line="280" w:lineRule="exact"/>
      <w:outlineLvl w:val="2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Zeilenabstandeinfgen">
    <w:name w:val="IT Zeilenabstand einfügen"/>
    <w:basedOn w:val="Standard"/>
    <w:rsid w:val="00A00995"/>
    <w:rPr>
      <w:sz w:val="12"/>
    </w:rPr>
  </w:style>
  <w:style w:type="character" w:customStyle="1" w:styleId="ITZitat">
    <w:name w:val="IT Zitat"/>
    <w:basedOn w:val="Absatz-Standardschriftart"/>
    <w:rsid w:val="00A00995"/>
    <w:rPr>
      <w:rFonts w:ascii="Arial" w:hAnsi="Arial"/>
      <w:i/>
      <w:spacing w:val="0"/>
    </w:rPr>
  </w:style>
  <w:style w:type="paragraph" w:styleId="Kommentartext">
    <w:name w:val="annotation text"/>
    <w:aliases w:val="IT Kommentartext"/>
    <w:basedOn w:val="Standard"/>
    <w:link w:val="KommentartextZchn"/>
    <w:semiHidden/>
    <w:rsid w:val="00A00995"/>
  </w:style>
  <w:style w:type="character" w:customStyle="1" w:styleId="KommentartextZchn">
    <w:name w:val="Kommentartext Zchn"/>
    <w:aliases w:val="IT Kommentartext Zchn"/>
    <w:basedOn w:val="Absatz-Standardschriftart"/>
    <w:link w:val="Kommentartext"/>
    <w:semiHidden/>
    <w:rsid w:val="00A00995"/>
    <w:rPr>
      <w:rFonts w:ascii="Arial" w:hAnsi="Arial" w:cs="Times New Roman"/>
      <w:sz w:val="20"/>
      <w:szCs w:val="20"/>
      <w:lang w:eastAsia="de-DE"/>
    </w:rPr>
  </w:style>
  <w:style w:type="paragraph" w:styleId="Kommentarthema">
    <w:name w:val="annotation subject"/>
    <w:aliases w:val="IT Kommentarthema"/>
    <w:basedOn w:val="Kommentartext"/>
    <w:next w:val="Kommentartext"/>
    <w:link w:val="KommentarthemaZchn"/>
    <w:semiHidden/>
    <w:rsid w:val="00A00995"/>
    <w:rPr>
      <w:b/>
      <w:bCs/>
    </w:rPr>
  </w:style>
  <w:style w:type="character" w:customStyle="1" w:styleId="KommentarthemaZchn">
    <w:name w:val="Kommentarthema Zchn"/>
    <w:aliases w:val="IT Kommentarthema Zchn"/>
    <w:basedOn w:val="KommentartextZchn"/>
    <w:link w:val="Kommentarthema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aliases w:val="IT Kommentarzeichen"/>
    <w:basedOn w:val="Absatz-Standardschriftart"/>
    <w:semiHidden/>
    <w:rsid w:val="00A00995"/>
    <w:rPr>
      <w:sz w:val="16"/>
      <w:szCs w:val="16"/>
    </w:rPr>
  </w:style>
  <w:style w:type="paragraph" w:styleId="Kopfzeile">
    <w:name w:val="header"/>
    <w:aliases w:val="IT Kopfzeile"/>
    <w:link w:val="KopfzeileZchn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KopfzeileZchn">
    <w:name w:val="Kopfzeile Zchn"/>
    <w:aliases w:val="IT Kopfzeile Zchn"/>
    <w:basedOn w:val="Absatz-Standardschriftart"/>
    <w:link w:val="Kopfzeil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Verzeichnis4">
    <w:name w:val="toc 4"/>
    <w:aliases w:val="IT Verzeichnis Anhänge"/>
    <w:basedOn w:val="Verzeichnis1"/>
    <w:next w:val="Standard"/>
    <w:rsid w:val="00A0099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7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74BD"/>
    <w:rPr>
      <w:rFonts w:ascii="Tahoma" w:hAnsi="Tahoma" w:cs="Tahoma"/>
      <w:sz w:val="16"/>
      <w:szCs w:val="16"/>
      <w:lang w:eastAsia="de-DE"/>
    </w:rPr>
  </w:style>
  <w:style w:type="paragraph" w:customStyle="1" w:styleId="Default">
    <w:name w:val="Default"/>
    <w:rsid w:val="00A274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E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BD13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1368"/>
    <w:rPr>
      <w:rFonts w:ascii="Arial" w:hAnsi="Arial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rsid w:val="0059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988F6-7580-469E-A562-02007461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2879</Words>
  <Characters>16414</Characters>
  <Application>Microsoft Office Word</Application>
  <DocSecurity>4</DocSecurity>
  <Lines>136</Lines>
  <Paragraphs>38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VDIVDE-IT</Company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Böhme, Sophie</dc:creator>
  <cp:lastModifiedBy>Pioch, Martin</cp:lastModifiedBy>
  <cp:revision>2</cp:revision>
  <cp:lastPrinted>2017-10-25T12:48:00Z</cp:lastPrinted>
  <dcterms:created xsi:type="dcterms:W3CDTF">2021-07-20T11:50:00Z</dcterms:created>
  <dcterms:modified xsi:type="dcterms:W3CDTF">2021-07-20T11:50:00Z</dcterms:modified>
</cp:coreProperties>
</file>