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4.1 Diseño experimental</w:t>
      </w:r>
    </w:p>
    <w:p>
      <w:r>
        <w:t>Este capítulo evalúa experimentalmente el sistema de detección de objetos AssistiveVision mediante tres preguntas encadenadas: (a) qué posición de montaje del teléfono produce las mejores detecciones (escenario 1); (b) cuál combinación de posición y lente funciona mejor (escenario 2); y (c) en qué rango de distancia entre el objeto y la cámara las detecciones siguen siendo confiables (escenario 3). Los tres escenarios comparten el mismo conjunto de fotografías, el mismo modelo y la misma instrumentación software, de modo que las diferencias observadas puedan atribuirse al factor manipulado en cada escenario.</w:t>
      </w:r>
    </w:p>
    <w:p>
      <w:pPr>
        <w:pStyle w:val="Heading2"/>
      </w:pPr>
      <w:r>
        <w:t>Factores, niveles y diseño</w:t>
      </w:r>
    </w:p>
    <w:p>
      <w:r>
        <w:t>El escenario 1 manipula la posición de montaje del dispositivo con tres niveles: arnés de cabeza, arnés de pecho y soporte Gorillapod (mini trípode flex a la altura del pecho). El escenario 2 cruza ese factor con el lente con el que se fotografía (principal de 1x, equivalente a 25 mm; ultra gran angular de 0,5x, equivalente a 14 mm), para seis configuraciones de captura. El diseño es intra-grupo con emparejamiento por escena: la misma escena se fotografía seis veces seguidas, una por configuración, formando 33 grupos de captura pareados (198 fotografías en total). El escenario 3 no añade capturas nuevas: estima la distancia entre el objeto y la cámara dentro de las mismas 198 fotografías mediante el modelo estenopeico con la distancia focal del EXIF, clasifica las instancias anotadas en bandas de distancia y analiza el recall por banda.</w:t>
      </w:r>
    </w:p>
    <w:p>
      <w:pPr>
        <w:pStyle w:val="Heading2"/>
      </w:pPr>
      <w:r>
        <w:t>Unidades experimentales y variables</w:t>
      </w:r>
    </w:p>
    <w:p>
      <w:r>
        <w:t>La unidad experimental es la fotografía, o la escena cuando el análisis es pareado por grupo. Las variables independientes son la posición de montaje, el lente y la distancia estimada objeto-cámara. Las variables dependientes principales son: el número de objetos anotados visibles por fotografía (cobertura), las detecciones correctas (TP) y falsas (FP), la precisión, el recall, la F1 del detector y las métricas COCO AP50 y AP50-95. Una variable secundaria aplica el límite operacional de dos objetos por fotograma del prototipo (lista de anuncios) y cuenta las selecciones correctas y falsas de esa lista.</w:t>
      </w:r>
    </w:p>
    <w:p>
      <w:pPr>
        <w:pStyle w:val="Heading2"/>
      </w:pPr>
      <w:r>
        <w:t>Instrumentación del sistema bajo prueba</w:t>
      </w:r>
    </w:p>
    <w:p>
      <w:r>
        <w:t>El sistema bajo prueba es la aplicación Android ejercida por una prueba de instrumentación que invoca los módulos de producción del prototipo (preprocesamiento, detección y mapeo inverso de coordenadas). El modelo seleccionado es EfficientDet-Lite2 en 448 × 448 píxeles; las imágenes verticales se redimensionan a 336 × 448 con relleno gris 114. Se retienen detecciones desde una puntuación mínima de 0,001 con un máximo de 15 por fotograma (valores de producción), y la operación se evalúa con un umbral de confianza de 0,30 y emparejamiento voraz uno a uno con IoU ≥ 0,50 y coincidencia de clase. El orden de las imágenes se baraja con la semilla 20261013 después de tres pasadas de calentamiento. La ejecución se verificó completa sobre las 198 fotografías; el entorno de ejecución y sus consecuencias se discuten en la sección 4.6.</w:t>
      </w:r>
    </w:p>
    <w:p>
      <w:pPr>
        <w:pStyle w:val="Heading2"/>
      </w:pPr>
      <w:r>
        <w:t>Conjunto de datos</w:t>
      </w:r>
    </w:p>
    <w:p>
      <w:r>
        <w:t>El conjunto de evaluación contiene 198 fotografías tomadas con un iPhone 12 Pro Max a resolución 1536 × 2048 orgánica (sin rotación EXIF requerida), organizadas en 33 grupos consecutivos con el orden fijo descrito arriba. La anotación final revisada contiene 889 instancias de diez clases COCO: persona (n = 56), silla (n = 438), sofá (n = 11), cama (n = 56), mesa de comedor (n = 107), inodoro (n = 38), televisor (n = 50), computador portátil (n = 34), lavamanos (n = 56), nevera (n = 43); 16 fotografías no contienen objetos objetivo anotados y se conservan en la evaluación. Las cajas provienen de un borrador inicial asistido por modelo, corregido a mano sobre la plataforma Roboflow y mapeado por nombre a los identificadores COCO; trece cajas con desviación de redondeo se recortaron a los límites de la imagen. La integridad del archivo (imágenes, etiquetas, predicciones y tablas de métricas) se verificó con sumas de verificación SHA-256.</w:t>
      </w:r>
    </w:p>
    <w:p>
      <w:pPr>
        <w:pStyle w:val="Heading2"/>
      </w:pPr>
      <w:r>
        <w:t>Método de comparación estadística</w:t>
      </w:r>
    </w:p>
    <w:p>
      <w:r>
        <w:t>Sobre los mismos datos de predicción se aplican dos comparaciones complementarias: una prueba t de Student pareada por escena (33 pares, gl = 32) sobre el número de objetos detectados correctamente por escena, y un bootstrap pareado de 10 000 remuestreos por grupo de captura (semilla 20261013) sobre razones como F1 y recall por banda, remuestreando grupos completos para preservar el emparejamiento. Todas las comparaciones son exploratorias, sin corrección por comparaciones múltiples; los supuestos y sus limitaciones se enumeran en la sección 4.6.</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88"/>
        <w:gridCol w:w="2520"/>
        <w:gridCol w:w="1512"/>
        <w:gridCol w:w="2376"/>
      </w:tblGrid>
      <w:tr>
        <w:trPr>
          <w:cantSplit/>
          <w:tblHeader/>
        </w:trPr>
        <w:tc>
          <w:tcPr>
            <w:tcW w:type="dxa" w:w="2257"/>
            <w:vAlign w:val="center"/>
          </w:tcPr>
          <w:p>
            <w:pPr>
              <w:spacing w:after="0" w:line="240" w:lineRule="auto"/>
              <w:jc w:val="center"/>
            </w:pPr>
            <w:r>
              <w:rPr>
                <w:b/>
                <w:color w:val="000000"/>
                <w:sz w:val="20"/>
              </w:rPr>
              <w:t>Escenario</w:t>
            </w:r>
          </w:p>
        </w:tc>
        <w:tc>
          <w:tcPr>
            <w:tcW w:type="dxa" w:w="2257"/>
            <w:vAlign w:val="center"/>
          </w:tcPr>
          <w:p>
            <w:pPr>
              <w:spacing w:after="0" w:line="240" w:lineRule="auto"/>
              <w:jc w:val="center"/>
            </w:pPr>
            <w:r>
              <w:rPr>
                <w:b/>
                <w:color w:val="000000"/>
                <w:sz w:val="20"/>
              </w:rPr>
              <w:t>Factor manipulado</w:t>
            </w:r>
          </w:p>
        </w:tc>
        <w:tc>
          <w:tcPr>
            <w:tcW w:type="dxa" w:w="2257"/>
            <w:vAlign w:val="center"/>
          </w:tcPr>
          <w:p>
            <w:pPr>
              <w:spacing w:after="0" w:line="240" w:lineRule="auto"/>
              <w:jc w:val="center"/>
            </w:pPr>
            <w:r>
              <w:rPr>
                <w:b/>
                <w:color w:val="000000"/>
                <w:sz w:val="20"/>
              </w:rPr>
              <w:t>Datos</w:t>
            </w:r>
          </w:p>
        </w:tc>
        <w:tc>
          <w:tcPr>
            <w:tcW w:type="dxa" w:w="2257"/>
            <w:vAlign w:val="center"/>
          </w:tcPr>
          <w:p>
            <w:pPr>
              <w:spacing w:after="0" w:line="240" w:lineRule="auto"/>
              <w:jc w:val="center"/>
            </w:pPr>
            <w:r>
              <w:rPr>
                <w:b/>
                <w:color w:val="000000"/>
                <w:sz w:val="20"/>
              </w:rPr>
              <w:t>Comparación estadística</w:t>
            </w:r>
          </w:p>
        </w:tc>
      </w:tr>
      <w:tr>
        <w:trPr>
          <w:cantSplit/>
        </w:trPr>
        <w:tc>
          <w:tcPr>
            <w:tcW w:type="dxa" w:w="2088"/>
            <w:vAlign w:val="center"/>
          </w:tcPr>
          <w:p>
            <w:pPr>
              <w:spacing w:after="0" w:line="240" w:lineRule="auto"/>
              <w:jc w:val="center"/>
            </w:pPr>
            <w:r>
              <w:rPr>
                <w:b w:val="0"/>
                <w:color w:val="000000"/>
                <w:sz w:val="20"/>
              </w:rPr>
              <w:t>4.2 Posiciones del arnés</w:t>
            </w:r>
          </w:p>
        </w:tc>
        <w:tc>
          <w:tcPr>
            <w:tcW w:type="dxa" w:w="2520"/>
            <w:vAlign w:val="center"/>
          </w:tcPr>
          <w:p>
            <w:pPr>
              <w:spacing w:after="0" w:line="240" w:lineRule="auto"/>
              <w:jc w:val="center"/>
            </w:pPr>
            <w:r>
              <w:rPr>
                <w:b w:val="0"/>
                <w:color w:val="000000"/>
                <w:sz w:val="20"/>
              </w:rPr>
              <w:t>Posición de montaje (3 niveles, lentes agrupadas)</w:t>
            </w:r>
          </w:p>
        </w:tc>
        <w:tc>
          <w:tcPr>
            <w:tcW w:type="dxa" w:w="1512"/>
            <w:vAlign w:val="center"/>
          </w:tcPr>
          <w:p>
            <w:pPr>
              <w:spacing w:after="0" w:line="240" w:lineRule="auto"/>
              <w:jc w:val="center"/>
            </w:pPr>
            <w:r>
              <w:rPr>
                <w:b w:val="0"/>
                <w:color w:val="000000"/>
                <w:sz w:val="20"/>
              </w:rPr>
              <w:t>66 fotos por posición</w:t>
            </w:r>
          </w:p>
        </w:tc>
        <w:tc>
          <w:tcPr>
            <w:tcW w:type="dxa" w:w="2376"/>
            <w:vAlign w:val="center"/>
          </w:tcPr>
          <w:p>
            <w:pPr>
              <w:spacing w:after="0" w:line="240" w:lineRule="auto"/>
              <w:jc w:val="center"/>
            </w:pPr>
            <w:r>
              <w:rPr>
                <w:b w:val="0"/>
                <w:color w:val="000000"/>
                <w:sz w:val="20"/>
              </w:rPr>
              <w:t>t pareada por escena; bootstrap de grupos</w:t>
            </w:r>
          </w:p>
        </w:tc>
      </w:tr>
      <w:tr>
        <w:trPr>
          <w:cantSplit/>
        </w:trPr>
        <w:tc>
          <w:tcPr>
            <w:tcW w:type="dxa" w:w="2088"/>
            <w:vAlign w:val="center"/>
          </w:tcPr>
          <w:p>
            <w:pPr>
              <w:spacing w:after="0" w:line="240" w:lineRule="auto"/>
              <w:jc w:val="center"/>
            </w:pPr>
            <w:r>
              <w:rPr>
                <w:b w:val="0"/>
                <w:color w:val="000000"/>
                <w:sz w:val="20"/>
              </w:rPr>
              <w:t>4.3 Arnés y lente</w:t>
            </w:r>
          </w:p>
        </w:tc>
        <w:tc>
          <w:tcPr>
            <w:tcW w:type="dxa" w:w="2520"/>
            <w:vAlign w:val="center"/>
          </w:tcPr>
          <w:p>
            <w:pPr>
              <w:spacing w:after="0" w:line="240" w:lineRule="auto"/>
              <w:jc w:val="center"/>
            </w:pPr>
            <w:r>
              <w:rPr>
                <w:b w:val="0"/>
                <w:color w:val="000000"/>
                <w:sz w:val="20"/>
              </w:rPr>
              <w:t>Posición × lente (6 combinaciones)</w:t>
            </w:r>
          </w:p>
        </w:tc>
        <w:tc>
          <w:tcPr>
            <w:tcW w:type="dxa" w:w="1512"/>
            <w:vAlign w:val="center"/>
          </w:tcPr>
          <w:p>
            <w:pPr>
              <w:spacing w:after="0" w:line="240" w:lineRule="auto"/>
              <w:jc w:val="center"/>
            </w:pPr>
            <w:r>
              <w:rPr>
                <w:b w:val="0"/>
                <w:color w:val="000000"/>
                <w:sz w:val="20"/>
              </w:rPr>
              <w:t>33 fotos por combinación</w:t>
            </w:r>
          </w:p>
        </w:tc>
        <w:tc>
          <w:tcPr>
            <w:tcW w:type="dxa" w:w="2376"/>
            <w:vAlign w:val="center"/>
          </w:tcPr>
          <w:p>
            <w:pPr>
              <w:spacing w:after="0" w:line="240" w:lineRule="auto"/>
              <w:jc w:val="center"/>
            </w:pPr>
            <w:r>
              <w:rPr>
                <w:b w:val="0"/>
                <w:color w:val="000000"/>
                <w:sz w:val="20"/>
              </w:rPr>
              <w:t>t pareada por escena; bootstrap de grupos</w:t>
            </w:r>
          </w:p>
        </w:tc>
      </w:tr>
      <w:tr>
        <w:trPr>
          <w:cantSplit/>
        </w:trPr>
        <w:tc>
          <w:tcPr>
            <w:tcW w:type="dxa" w:w="2088"/>
            <w:vAlign w:val="center"/>
          </w:tcPr>
          <w:p>
            <w:pPr>
              <w:spacing w:after="0" w:line="240" w:lineRule="auto"/>
              <w:jc w:val="center"/>
            </w:pPr>
            <w:r>
              <w:rPr>
                <w:b w:val="0"/>
                <w:color w:val="000000"/>
                <w:sz w:val="20"/>
              </w:rPr>
              <w:t>4.4 Profundidad de detección</w:t>
            </w:r>
          </w:p>
        </w:tc>
        <w:tc>
          <w:tcPr>
            <w:tcW w:type="dxa" w:w="2520"/>
            <w:vAlign w:val="center"/>
          </w:tcPr>
          <w:p>
            <w:pPr>
              <w:spacing w:after="0" w:line="240" w:lineRule="auto"/>
              <w:jc w:val="center"/>
            </w:pPr>
            <w:r>
              <w:rPr>
                <w:b w:val="0"/>
                <w:color w:val="000000"/>
                <w:sz w:val="20"/>
              </w:rPr>
              <w:t>Distancia objeto-cámara (estimada, 6 bandas)</w:t>
            </w:r>
          </w:p>
        </w:tc>
        <w:tc>
          <w:tcPr>
            <w:tcW w:type="dxa" w:w="1512"/>
            <w:vAlign w:val="center"/>
          </w:tcPr>
          <w:p>
            <w:pPr>
              <w:spacing w:after="0" w:line="240" w:lineRule="auto"/>
              <w:jc w:val="center"/>
            </w:pPr>
            <w:r>
              <w:rPr>
                <w:b w:val="0"/>
                <w:color w:val="000000"/>
                <w:sz w:val="20"/>
              </w:rPr>
              <w:t>889 instancias en 198 fotos</w:t>
            </w:r>
          </w:p>
        </w:tc>
        <w:tc>
          <w:tcPr>
            <w:tcW w:type="dxa" w:w="2376"/>
            <w:vAlign w:val="center"/>
          </w:tcPr>
          <w:p>
            <w:pPr>
              <w:spacing w:after="0" w:line="240" w:lineRule="auto"/>
              <w:jc w:val="center"/>
            </w:pPr>
            <w:r>
              <w:rPr>
                <w:b w:val="0"/>
                <w:color w:val="000000"/>
                <w:sz w:val="20"/>
              </w:rPr>
              <w:t>Recall por banda con IC bootstrap</w:t>
            </w:r>
          </w:p>
        </w:tc>
      </w:tr>
    </w:tbl>
    <w:p/>
    <w:p>
      <w:pPr>
        <w:pStyle w:val="Heading1"/>
      </w:pPr>
      <w:r>
        <w:t>4.2 Escenario 1: posiciones del arnés</w:t>
      </w:r>
    </w:p>
    <w:p>
      <w:r>
        <w:t>Primero se contrastan las tres posiciones de montaje agrupando los dos lentes, de modo que cada posición acumula 66 fotografías (los 33 grupos × 2 lentes) sobre la misma secuencia de escenas. La tabla siguiente resume el desempeño del detector por posición.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656"/>
        <w:gridCol w:w="648"/>
        <w:gridCol w:w="893"/>
        <w:gridCol w:w="936"/>
        <w:gridCol w:w="720"/>
        <w:gridCol w:w="1152"/>
        <w:gridCol w:w="979"/>
        <w:gridCol w:w="792"/>
        <w:gridCol w:w="720"/>
        <w:gridCol w:w="1296"/>
        <w:gridCol w:w="1296"/>
      </w:tblGrid>
      <w:tr>
        <w:trPr>
          <w:cantSplit/>
          <w:tblHeader/>
        </w:trPr>
        <w:tc>
          <w:tcPr>
            <w:tcW w:type="dxa" w:w="821"/>
            <w:vAlign w:val="center"/>
          </w:tcPr>
          <w:p>
            <w:pPr>
              <w:spacing w:after="0" w:line="240" w:lineRule="auto"/>
              <w:jc w:val="center"/>
            </w:pPr>
            <w:r>
              <w:rPr>
                <w:b/>
                <w:color w:val="000000"/>
                <w:sz w:val="20"/>
              </w:rPr>
              <w:t>Posición</w:t>
            </w:r>
          </w:p>
        </w:tc>
        <w:tc>
          <w:tcPr>
            <w:tcW w:type="dxa" w:w="821"/>
            <w:vAlign w:val="center"/>
          </w:tcPr>
          <w:p>
            <w:pPr>
              <w:spacing w:after="0" w:line="240" w:lineRule="auto"/>
              <w:jc w:val="center"/>
            </w:pPr>
            <w:r>
              <w:rPr>
                <w:b/>
                <w:color w:val="000000"/>
                <w:sz w:val="20"/>
              </w:rPr>
              <w:t>Fotos</w:t>
            </w:r>
          </w:p>
        </w:tc>
        <w:tc>
          <w:tcPr>
            <w:tcW w:type="dxa" w:w="821"/>
            <w:vAlign w:val="center"/>
          </w:tcPr>
          <w:p>
            <w:pPr>
              <w:spacing w:after="0" w:line="240" w:lineRule="auto"/>
              <w:jc w:val="center"/>
            </w:pPr>
            <w:r>
              <w:rPr>
                <w:b/>
                <w:color w:val="000000"/>
                <w:sz w:val="20"/>
              </w:rPr>
              <w:t>Visibles</w:t>
            </w:r>
          </w:p>
        </w:tc>
        <w:tc>
          <w:tcPr>
            <w:tcW w:type="dxa" w:w="821"/>
            <w:vAlign w:val="center"/>
          </w:tcPr>
          <w:p>
            <w:pPr>
              <w:spacing w:after="0" w:line="240" w:lineRule="auto"/>
              <w:jc w:val="center"/>
            </w:pPr>
            <w:r>
              <w:rPr>
                <w:b/>
                <w:color w:val="000000"/>
                <w:sz w:val="20"/>
              </w:rPr>
              <w:t>Correctas</w:t>
            </w:r>
          </w:p>
        </w:tc>
        <w:tc>
          <w:tcPr>
            <w:tcW w:type="dxa" w:w="821"/>
            <w:vAlign w:val="center"/>
          </w:tcPr>
          <w:p>
            <w:pPr>
              <w:spacing w:after="0" w:line="240" w:lineRule="auto"/>
              <w:jc w:val="center"/>
            </w:pPr>
            <w:r>
              <w:rPr>
                <w:b/>
                <w:color w:val="000000"/>
                <w:sz w:val="20"/>
              </w:rPr>
              <w:t>Falsas</w:t>
            </w:r>
          </w:p>
        </w:tc>
        <w:tc>
          <w:tcPr>
            <w:tcW w:type="dxa" w:w="821"/>
            <w:vAlign w:val="center"/>
          </w:tcPr>
          <w:p>
            <w:pPr>
              <w:spacing w:after="0" w:line="240" w:lineRule="auto"/>
              <w:jc w:val="center"/>
            </w:pPr>
            <w:r>
              <w:rPr>
                <w:b/>
                <w:color w:val="000000"/>
                <w:sz w:val="20"/>
              </w:rPr>
              <w:t>Correctas/foto</w:t>
            </w:r>
          </w:p>
        </w:tc>
        <w:tc>
          <w:tcPr>
            <w:tcW w:type="dxa" w:w="821"/>
            <w:vAlign w:val="center"/>
          </w:tcPr>
          <w:p>
            <w:pPr>
              <w:spacing w:after="0" w:line="240" w:lineRule="auto"/>
              <w:jc w:val="center"/>
            </w:pPr>
            <w:r>
              <w:rPr>
                <w:b/>
                <w:color w:val="000000"/>
                <w:sz w:val="20"/>
              </w:rPr>
              <w:t>Precisión</w:t>
            </w:r>
          </w:p>
        </w:tc>
        <w:tc>
          <w:tcPr>
            <w:tcW w:type="dxa" w:w="821"/>
            <w:vAlign w:val="center"/>
          </w:tcPr>
          <w:p>
            <w:pPr>
              <w:spacing w:after="0" w:line="240" w:lineRule="auto"/>
              <w:jc w:val="center"/>
            </w:pPr>
            <w:r>
              <w:rPr>
                <w:b/>
                <w:color w:val="000000"/>
                <w:sz w:val="20"/>
              </w:rPr>
              <w:t>Recall</w:t>
            </w:r>
          </w:p>
        </w:tc>
        <w:tc>
          <w:tcPr>
            <w:tcW w:type="dxa" w:w="821"/>
            <w:vAlign w:val="center"/>
          </w:tcPr>
          <w:p>
            <w:pPr>
              <w:spacing w:after="0" w:line="240" w:lineRule="auto"/>
              <w:jc w:val="center"/>
            </w:pPr>
            <w:r>
              <w:rPr>
                <w:b/>
                <w:color w:val="000000"/>
                <w:sz w:val="20"/>
              </w:rPr>
              <w:t>F1</w:t>
            </w:r>
          </w:p>
        </w:tc>
        <w:tc>
          <w:tcPr>
            <w:tcW w:type="dxa" w:w="821"/>
            <w:vAlign w:val="center"/>
          </w:tcPr>
          <w:p>
            <w:pPr>
              <w:spacing w:after="0" w:line="240" w:lineRule="auto"/>
              <w:jc w:val="center"/>
            </w:pPr>
            <w:r>
              <w:rPr>
                <w:b/>
                <w:color w:val="000000"/>
                <w:sz w:val="20"/>
              </w:rPr>
              <w:t>Correctas (lista)</w:t>
            </w:r>
          </w:p>
        </w:tc>
        <w:tc>
          <w:tcPr>
            <w:tcW w:type="dxa" w:w="821"/>
            <w:vAlign w:val="center"/>
          </w:tcPr>
          <w:p>
            <w:pPr>
              <w:spacing w:after="0" w:line="240" w:lineRule="auto"/>
              <w:jc w:val="center"/>
            </w:pPr>
            <w:r>
              <w:rPr>
                <w:b/>
                <w:color w:val="000000"/>
                <w:sz w:val="20"/>
              </w:rPr>
              <w:t>Precisión (lista)</w:t>
            </w:r>
          </w:p>
        </w:tc>
      </w:tr>
      <w:tr>
        <w:trPr>
          <w:cantSplit/>
        </w:trPr>
        <w:tc>
          <w:tcPr>
            <w:tcW w:type="dxa" w:w="1656"/>
            <w:vAlign w:val="center"/>
          </w:tcPr>
          <w:p>
            <w:pPr>
              <w:spacing w:after="0" w:line="240" w:lineRule="auto"/>
              <w:jc w:val="center"/>
            </w:pPr>
            <w:r>
              <w:rPr>
                <w:b w:val="0"/>
                <w:color w:val="000000"/>
                <w:sz w:val="20"/>
              </w:rPr>
              <w:t>Arnés de cabeza</w:t>
            </w:r>
          </w:p>
        </w:tc>
        <w:tc>
          <w:tcPr>
            <w:tcW w:type="dxa" w:w="648"/>
            <w:vAlign w:val="center"/>
          </w:tcPr>
          <w:p>
            <w:pPr>
              <w:spacing w:after="0" w:line="240" w:lineRule="auto"/>
              <w:jc w:val="center"/>
            </w:pPr>
            <w:r>
              <w:rPr>
                <w:b w:val="0"/>
                <w:color w:val="000000"/>
                <w:sz w:val="20"/>
              </w:rPr>
              <w:t>66</w:t>
            </w:r>
          </w:p>
        </w:tc>
        <w:tc>
          <w:tcPr>
            <w:tcW w:type="dxa" w:w="893"/>
            <w:vAlign w:val="center"/>
          </w:tcPr>
          <w:p>
            <w:pPr>
              <w:spacing w:after="0" w:line="240" w:lineRule="auto"/>
              <w:jc w:val="center"/>
            </w:pPr>
            <w:r>
              <w:rPr>
                <w:b w:val="0"/>
                <w:color w:val="000000"/>
                <w:sz w:val="20"/>
              </w:rPr>
              <w:t>293</w:t>
            </w:r>
          </w:p>
        </w:tc>
        <w:tc>
          <w:tcPr>
            <w:tcW w:type="dxa" w:w="936"/>
            <w:vAlign w:val="center"/>
          </w:tcPr>
          <w:p>
            <w:pPr>
              <w:spacing w:after="0" w:line="240" w:lineRule="auto"/>
              <w:jc w:val="center"/>
            </w:pPr>
            <w:r>
              <w:rPr>
                <w:b w:val="0"/>
                <w:color w:val="000000"/>
                <w:sz w:val="20"/>
              </w:rPr>
              <w:t>126</w:t>
            </w:r>
          </w:p>
        </w:tc>
        <w:tc>
          <w:tcPr>
            <w:tcW w:type="dxa" w:w="720"/>
            <w:vAlign w:val="center"/>
          </w:tcPr>
          <w:p>
            <w:pPr>
              <w:spacing w:after="0" w:line="240" w:lineRule="auto"/>
              <w:jc w:val="center"/>
            </w:pPr>
            <w:r>
              <w:rPr>
                <w:b w:val="0"/>
                <w:color w:val="000000"/>
                <w:sz w:val="20"/>
              </w:rPr>
              <w:t>56</w:t>
            </w:r>
          </w:p>
        </w:tc>
        <w:tc>
          <w:tcPr>
            <w:tcW w:type="dxa" w:w="1152"/>
            <w:vAlign w:val="center"/>
          </w:tcPr>
          <w:p>
            <w:pPr>
              <w:spacing w:after="0" w:line="240" w:lineRule="auto"/>
              <w:jc w:val="center"/>
            </w:pPr>
            <w:r>
              <w:rPr>
                <w:b w:val="0"/>
                <w:color w:val="000000"/>
                <w:sz w:val="20"/>
              </w:rPr>
              <w:t>1,91</w:t>
            </w:r>
          </w:p>
        </w:tc>
        <w:tc>
          <w:tcPr>
            <w:tcW w:type="dxa" w:w="979"/>
            <w:vAlign w:val="center"/>
          </w:tcPr>
          <w:p>
            <w:pPr>
              <w:spacing w:after="0" w:line="240" w:lineRule="auto"/>
              <w:jc w:val="center"/>
            </w:pPr>
            <w:r>
              <w:rPr>
                <w:b w:val="0"/>
                <w:color w:val="000000"/>
                <w:sz w:val="20"/>
              </w:rPr>
              <w:t>69,2%</w:t>
            </w:r>
          </w:p>
        </w:tc>
        <w:tc>
          <w:tcPr>
            <w:tcW w:type="dxa" w:w="792"/>
            <w:vAlign w:val="center"/>
          </w:tcPr>
          <w:p>
            <w:pPr>
              <w:spacing w:after="0" w:line="240" w:lineRule="auto"/>
              <w:jc w:val="center"/>
            </w:pPr>
            <w:r>
              <w:rPr>
                <w:b w:val="0"/>
                <w:color w:val="000000"/>
                <w:sz w:val="20"/>
              </w:rPr>
              <w:t>43,0%</w:t>
            </w:r>
          </w:p>
        </w:tc>
        <w:tc>
          <w:tcPr>
            <w:tcW w:type="dxa" w:w="720"/>
            <w:vAlign w:val="center"/>
          </w:tcPr>
          <w:p>
            <w:pPr>
              <w:spacing w:after="0" w:line="240" w:lineRule="auto"/>
              <w:jc w:val="center"/>
            </w:pPr>
            <w:r>
              <w:rPr>
                <w:b w:val="0"/>
                <w:color w:val="000000"/>
                <w:sz w:val="20"/>
              </w:rPr>
              <w:t>53,1%</w:t>
            </w:r>
          </w:p>
        </w:tc>
        <w:tc>
          <w:tcPr>
            <w:tcW w:type="dxa" w:w="1296"/>
            <w:vAlign w:val="center"/>
          </w:tcPr>
          <w:p>
            <w:pPr>
              <w:spacing w:after="0" w:line="240" w:lineRule="auto"/>
              <w:jc w:val="center"/>
            </w:pPr>
            <w:r>
              <w:rPr>
                <w:b w:val="0"/>
                <w:color w:val="000000"/>
                <w:sz w:val="20"/>
              </w:rPr>
              <w:t>68</w:t>
            </w:r>
          </w:p>
        </w:tc>
        <w:tc>
          <w:tcPr>
            <w:tcW w:type="dxa" w:w="1296"/>
            <w:vAlign w:val="center"/>
          </w:tcPr>
          <w:p>
            <w:pPr>
              <w:spacing w:after="0" w:line="240" w:lineRule="auto"/>
              <w:jc w:val="center"/>
            </w:pPr>
            <w:r>
              <w:rPr>
                <w:b w:val="0"/>
                <w:color w:val="000000"/>
                <w:sz w:val="20"/>
              </w:rPr>
              <w:t>82,9%</w:t>
            </w:r>
          </w:p>
        </w:tc>
      </w:tr>
      <w:tr>
        <w:trPr>
          <w:cantSplit/>
        </w:trPr>
        <w:tc>
          <w:tcPr>
            <w:tcW w:type="dxa" w:w="1656"/>
            <w:vAlign w:val="center"/>
          </w:tcPr>
          <w:p>
            <w:pPr>
              <w:spacing w:after="0" w:line="240" w:lineRule="auto"/>
              <w:jc w:val="center"/>
            </w:pPr>
            <w:r>
              <w:rPr>
                <w:b w:val="0"/>
                <w:color w:val="000000"/>
                <w:sz w:val="20"/>
              </w:rPr>
              <w:t>Arnés de pecho</w:t>
            </w:r>
          </w:p>
        </w:tc>
        <w:tc>
          <w:tcPr>
            <w:tcW w:type="dxa" w:w="648"/>
            <w:vAlign w:val="center"/>
          </w:tcPr>
          <w:p>
            <w:pPr>
              <w:spacing w:after="0" w:line="240" w:lineRule="auto"/>
              <w:jc w:val="center"/>
            </w:pPr>
            <w:r>
              <w:rPr>
                <w:b w:val="0"/>
                <w:color w:val="000000"/>
                <w:sz w:val="20"/>
              </w:rPr>
              <w:t>66</w:t>
            </w:r>
          </w:p>
        </w:tc>
        <w:tc>
          <w:tcPr>
            <w:tcW w:type="dxa" w:w="893"/>
            <w:vAlign w:val="center"/>
          </w:tcPr>
          <w:p>
            <w:pPr>
              <w:spacing w:after="0" w:line="240" w:lineRule="auto"/>
              <w:jc w:val="center"/>
            </w:pPr>
            <w:r>
              <w:rPr>
                <w:b w:val="0"/>
                <w:color w:val="000000"/>
                <w:sz w:val="20"/>
              </w:rPr>
              <w:t>277</w:t>
            </w:r>
          </w:p>
        </w:tc>
        <w:tc>
          <w:tcPr>
            <w:tcW w:type="dxa" w:w="936"/>
            <w:vAlign w:val="center"/>
          </w:tcPr>
          <w:p>
            <w:pPr>
              <w:spacing w:after="0" w:line="240" w:lineRule="auto"/>
              <w:jc w:val="center"/>
            </w:pPr>
            <w:r>
              <w:rPr>
                <w:b w:val="0"/>
                <w:color w:val="000000"/>
                <w:sz w:val="20"/>
              </w:rPr>
              <w:t>142</w:t>
            </w:r>
          </w:p>
        </w:tc>
        <w:tc>
          <w:tcPr>
            <w:tcW w:type="dxa" w:w="720"/>
            <w:vAlign w:val="center"/>
          </w:tcPr>
          <w:p>
            <w:pPr>
              <w:spacing w:after="0" w:line="240" w:lineRule="auto"/>
              <w:jc w:val="center"/>
            </w:pPr>
            <w:r>
              <w:rPr>
                <w:b w:val="0"/>
                <w:color w:val="000000"/>
                <w:sz w:val="20"/>
              </w:rPr>
              <w:t>53</w:t>
            </w:r>
          </w:p>
        </w:tc>
        <w:tc>
          <w:tcPr>
            <w:tcW w:type="dxa" w:w="1152"/>
            <w:vAlign w:val="center"/>
          </w:tcPr>
          <w:p>
            <w:pPr>
              <w:spacing w:after="0" w:line="240" w:lineRule="auto"/>
              <w:jc w:val="center"/>
            </w:pPr>
            <w:r>
              <w:rPr>
                <w:b w:val="0"/>
                <w:color w:val="000000"/>
                <w:sz w:val="20"/>
              </w:rPr>
              <w:t>2,15</w:t>
            </w:r>
          </w:p>
        </w:tc>
        <w:tc>
          <w:tcPr>
            <w:tcW w:type="dxa" w:w="979"/>
            <w:vAlign w:val="center"/>
          </w:tcPr>
          <w:p>
            <w:pPr>
              <w:spacing w:after="0" w:line="240" w:lineRule="auto"/>
              <w:jc w:val="center"/>
            </w:pPr>
            <w:r>
              <w:rPr>
                <w:b w:val="0"/>
                <w:color w:val="000000"/>
                <w:sz w:val="20"/>
              </w:rPr>
              <w:t>72,8%</w:t>
            </w:r>
          </w:p>
        </w:tc>
        <w:tc>
          <w:tcPr>
            <w:tcW w:type="dxa" w:w="792"/>
            <w:vAlign w:val="center"/>
          </w:tcPr>
          <w:p>
            <w:pPr>
              <w:spacing w:after="0" w:line="240" w:lineRule="auto"/>
              <w:jc w:val="center"/>
            </w:pPr>
            <w:r>
              <w:rPr>
                <w:b w:val="0"/>
                <w:color w:val="000000"/>
                <w:sz w:val="20"/>
              </w:rPr>
              <w:t>51,3%</w:t>
            </w:r>
          </w:p>
        </w:tc>
        <w:tc>
          <w:tcPr>
            <w:tcW w:type="dxa" w:w="720"/>
            <w:vAlign w:val="center"/>
          </w:tcPr>
          <w:p>
            <w:pPr>
              <w:spacing w:after="0" w:line="240" w:lineRule="auto"/>
              <w:jc w:val="center"/>
            </w:pPr>
            <w:r>
              <w:rPr>
                <w:b w:val="0"/>
                <w:color w:val="000000"/>
                <w:sz w:val="20"/>
              </w:rPr>
              <w:t>60,2%</w:t>
            </w:r>
          </w:p>
        </w:tc>
        <w:tc>
          <w:tcPr>
            <w:tcW w:type="dxa" w:w="1296"/>
            <w:vAlign w:val="center"/>
          </w:tcPr>
          <w:p>
            <w:pPr>
              <w:spacing w:after="0" w:line="240" w:lineRule="auto"/>
              <w:jc w:val="center"/>
            </w:pPr>
            <w:r>
              <w:rPr>
                <w:b w:val="0"/>
                <w:color w:val="000000"/>
                <w:sz w:val="20"/>
              </w:rPr>
              <w:t>81</w:t>
            </w:r>
          </w:p>
        </w:tc>
        <w:tc>
          <w:tcPr>
            <w:tcW w:type="dxa" w:w="1296"/>
            <w:vAlign w:val="center"/>
          </w:tcPr>
          <w:p>
            <w:pPr>
              <w:spacing w:after="0" w:line="240" w:lineRule="auto"/>
              <w:jc w:val="center"/>
            </w:pPr>
            <w:r>
              <w:rPr>
                <w:b w:val="0"/>
                <w:color w:val="000000"/>
                <w:sz w:val="20"/>
              </w:rPr>
              <w:t>84,4%</w:t>
            </w:r>
          </w:p>
        </w:tc>
      </w:tr>
      <w:tr>
        <w:trPr>
          <w:cantSplit/>
        </w:trPr>
        <w:tc>
          <w:tcPr>
            <w:tcW w:type="dxa" w:w="1656"/>
            <w:vAlign w:val="center"/>
          </w:tcPr>
          <w:p>
            <w:pPr>
              <w:spacing w:after="0" w:line="240" w:lineRule="auto"/>
              <w:jc w:val="center"/>
            </w:pPr>
            <w:r>
              <w:rPr>
                <w:b w:val="0"/>
                <w:color w:val="000000"/>
                <w:sz w:val="20"/>
              </w:rPr>
              <w:t>Gorillapod</w:t>
            </w:r>
          </w:p>
        </w:tc>
        <w:tc>
          <w:tcPr>
            <w:tcW w:type="dxa" w:w="648"/>
            <w:vAlign w:val="center"/>
          </w:tcPr>
          <w:p>
            <w:pPr>
              <w:spacing w:after="0" w:line="240" w:lineRule="auto"/>
              <w:jc w:val="center"/>
            </w:pPr>
            <w:r>
              <w:rPr>
                <w:b w:val="0"/>
                <w:color w:val="000000"/>
                <w:sz w:val="20"/>
              </w:rPr>
              <w:t>66</w:t>
            </w:r>
          </w:p>
        </w:tc>
        <w:tc>
          <w:tcPr>
            <w:tcW w:type="dxa" w:w="893"/>
            <w:vAlign w:val="center"/>
          </w:tcPr>
          <w:p>
            <w:pPr>
              <w:spacing w:after="0" w:line="240" w:lineRule="auto"/>
              <w:jc w:val="center"/>
            </w:pPr>
            <w:r>
              <w:rPr>
                <w:b w:val="0"/>
                <w:color w:val="000000"/>
                <w:sz w:val="20"/>
              </w:rPr>
              <w:t>319</w:t>
            </w:r>
          </w:p>
        </w:tc>
        <w:tc>
          <w:tcPr>
            <w:tcW w:type="dxa" w:w="936"/>
            <w:vAlign w:val="center"/>
          </w:tcPr>
          <w:p>
            <w:pPr>
              <w:spacing w:after="0" w:line="240" w:lineRule="auto"/>
              <w:jc w:val="center"/>
            </w:pPr>
            <w:r>
              <w:rPr>
                <w:b w:val="0"/>
                <w:color w:val="000000"/>
                <w:sz w:val="20"/>
              </w:rPr>
              <w:t>157</w:t>
            </w:r>
          </w:p>
        </w:tc>
        <w:tc>
          <w:tcPr>
            <w:tcW w:type="dxa" w:w="720"/>
            <w:vAlign w:val="center"/>
          </w:tcPr>
          <w:p>
            <w:pPr>
              <w:spacing w:after="0" w:line="240" w:lineRule="auto"/>
              <w:jc w:val="center"/>
            </w:pPr>
            <w:r>
              <w:rPr>
                <w:b w:val="0"/>
                <w:color w:val="000000"/>
                <w:sz w:val="20"/>
              </w:rPr>
              <w:t>60</w:t>
            </w:r>
          </w:p>
        </w:tc>
        <w:tc>
          <w:tcPr>
            <w:tcW w:type="dxa" w:w="1152"/>
            <w:vAlign w:val="center"/>
          </w:tcPr>
          <w:p>
            <w:pPr>
              <w:spacing w:after="0" w:line="240" w:lineRule="auto"/>
              <w:jc w:val="center"/>
            </w:pPr>
            <w:r>
              <w:rPr>
                <w:b w:val="0"/>
                <w:color w:val="000000"/>
                <w:sz w:val="20"/>
              </w:rPr>
              <w:t>2,38</w:t>
            </w:r>
          </w:p>
        </w:tc>
        <w:tc>
          <w:tcPr>
            <w:tcW w:type="dxa" w:w="979"/>
            <w:vAlign w:val="center"/>
          </w:tcPr>
          <w:p>
            <w:pPr>
              <w:spacing w:after="0" w:line="240" w:lineRule="auto"/>
              <w:jc w:val="center"/>
            </w:pPr>
            <w:r>
              <w:rPr>
                <w:b w:val="0"/>
                <w:color w:val="000000"/>
                <w:sz w:val="20"/>
              </w:rPr>
              <w:t>72,4%</w:t>
            </w:r>
          </w:p>
        </w:tc>
        <w:tc>
          <w:tcPr>
            <w:tcW w:type="dxa" w:w="792"/>
            <w:vAlign w:val="center"/>
          </w:tcPr>
          <w:p>
            <w:pPr>
              <w:spacing w:after="0" w:line="240" w:lineRule="auto"/>
              <w:jc w:val="center"/>
            </w:pPr>
            <w:r>
              <w:rPr>
                <w:b w:val="0"/>
                <w:color w:val="000000"/>
                <w:sz w:val="20"/>
              </w:rPr>
              <w:t>49,2%</w:t>
            </w:r>
          </w:p>
        </w:tc>
        <w:tc>
          <w:tcPr>
            <w:tcW w:type="dxa" w:w="720"/>
            <w:vAlign w:val="center"/>
          </w:tcPr>
          <w:p>
            <w:pPr>
              <w:spacing w:after="0" w:line="240" w:lineRule="auto"/>
              <w:jc w:val="center"/>
            </w:pPr>
            <w:r>
              <w:rPr>
                <w:b w:val="0"/>
                <w:color w:val="000000"/>
                <w:sz w:val="20"/>
              </w:rPr>
              <w:t>58,6%</w:t>
            </w:r>
          </w:p>
        </w:tc>
        <w:tc>
          <w:tcPr>
            <w:tcW w:type="dxa" w:w="1296"/>
            <w:vAlign w:val="center"/>
          </w:tcPr>
          <w:p>
            <w:pPr>
              <w:spacing w:after="0" w:line="240" w:lineRule="auto"/>
              <w:jc w:val="center"/>
            </w:pPr>
            <w:r>
              <w:rPr>
                <w:b w:val="0"/>
                <w:color w:val="000000"/>
                <w:sz w:val="20"/>
              </w:rPr>
              <w:t>89</w:t>
            </w:r>
          </w:p>
        </w:tc>
        <w:tc>
          <w:tcPr>
            <w:tcW w:type="dxa" w:w="1296"/>
            <w:vAlign w:val="center"/>
          </w:tcPr>
          <w:p>
            <w:pPr>
              <w:spacing w:after="0" w:line="240" w:lineRule="auto"/>
              <w:jc w:val="center"/>
            </w:pPr>
            <w:r>
              <w:rPr>
                <w:b w:val="0"/>
                <w:color w:val="000000"/>
                <w:sz w:val="20"/>
              </w:rPr>
              <w:t>86,4%</w:t>
            </w:r>
          </w:p>
        </w:tc>
      </w:tr>
    </w:tbl>
    <w:p/>
    <w:p>
      <w:pPr>
        <w:pStyle w:val="Caption"/>
      </w:pPr>
      <w:r>
        <w:t>Cada posición suma 66 fotografías (33 escenas × 2 lentes). "Correctas/foto" es la media de detecciones correctas del detector por fotografía; las dos últimas columnas aplican el límite operacional de dos objetos por fotograma del prototipo.</w:t>
      </w:r>
    </w:p>
    <w:p>
      <w:r>
        <w:t>El arnés de pecho logra la mejor F1 agrupada (60,2%, con 72,8% de precisión); el Gorillapod produce la mayor cantidad absoluta de objetos correctos (157 de 319 visibles, 2,38 por fotografía); y el arnés de cabeza queda último en ambas dimensiones (53,1% de F1, 1,91 objetos por fotografía). El peor desempeño de la cabeza va acompañado de 13 fotografías donde no se anotó ningún objeto objetivo, contra 2 del pecho y 1 del Gorillapod, lo que apunta a problemas de encuadre y cobertura más que de clasificación.</w:t>
      </w:r>
    </w:p>
    <w:p>
      <w:r>
        <w:t>La prueba t pareada por escena (lentes agrupadas) contrasta las posiciones dentro de cada grupo de captura; con gl = 32 el valor crítico a dos colas es t = 2,04 (α = 0,05).</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800"/>
        <w:gridCol w:w="2520"/>
        <w:gridCol w:w="792"/>
        <w:gridCol w:w="648"/>
        <w:gridCol w:w="1224"/>
      </w:tblGrid>
      <w:tr>
        <w:trPr>
          <w:cantSplit/>
          <w:tblHeader/>
        </w:trPr>
        <w:tc>
          <w:tcPr>
            <w:tcW w:type="dxa" w:w="1505"/>
            <w:vAlign w:val="center"/>
          </w:tcPr>
          <w:p>
            <w:pPr>
              <w:spacing w:after="0" w:line="240" w:lineRule="auto"/>
              <w:jc w:val="center"/>
            </w:pPr>
            <w:r>
              <w:rPr>
                <w:b/>
                <w:color w:val="000000"/>
                <w:sz w:val="20"/>
              </w:rPr>
              <w:t>Posición A</w:t>
            </w:r>
          </w:p>
        </w:tc>
        <w:tc>
          <w:tcPr>
            <w:tcW w:type="dxa" w:w="1505"/>
            <w:vAlign w:val="center"/>
          </w:tcPr>
          <w:p>
            <w:pPr>
              <w:spacing w:after="0" w:line="240" w:lineRule="auto"/>
              <w:jc w:val="center"/>
            </w:pPr>
            <w:r>
              <w:rPr>
                <w:b/>
                <w:color w:val="000000"/>
                <w:sz w:val="20"/>
              </w:rPr>
              <w:t>Posición B</w:t>
            </w:r>
          </w:p>
        </w:tc>
        <w:tc>
          <w:tcPr>
            <w:tcW w:type="dxa" w:w="1505"/>
            <w:vAlign w:val="center"/>
          </w:tcPr>
          <w:p>
            <w:pPr>
              <w:spacing w:after="0" w:line="240" w:lineRule="auto"/>
              <w:jc w:val="center"/>
            </w:pPr>
            <w:r>
              <w:rPr>
                <w:b/>
                <w:color w:val="000000"/>
                <w:sz w:val="20"/>
              </w:rPr>
              <w:t>Diferencia media (A−B) objetos/escena</w:t>
            </w:r>
          </w:p>
        </w:tc>
        <w:tc>
          <w:tcPr>
            <w:tcW w:type="dxa" w:w="1505"/>
            <w:vAlign w:val="center"/>
          </w:tcPr>
          <w:p>
            <w:pPr>
              <w:spacing w:after="0" w:line="240" w:lineRule="auto"/>
              <w:jc w:val="center"/>
            </w:pPr>
            <w:r>
              <w:rPr>
                <w:b/>
                <w:color w:val="000000"/>
                <w:sz w:val="20"/>
              </w:rPr>
              <w:t>t</w:t>
            </w:r>
          </w:p>
        </w:tc>
        <w:tc>
          <w:tcPr>
            <w:tcW w:type="dxa" w:w="1505"/>
            <w:vAlign w:val="center"/>
          </w:tcPr>
          <w:p>
            <w:pPr>
              <w:spacing w:after="0" w:line="240" w:lineRule="auto"/>
              <w:jc w:val="center"/>
            </w:pPr>
            <w:r>
              <w:rPr>
                <w:b/>
                <w:color w:val="000000"/>
                <w:sz w:val="20"/>
              </w:rPr>
              <w:t>gl</w:t>
            </w:r>
          </w:p>
        </w:tc>
        <w:tc>
          <w:tcPr>
            <w:tcW w:type="dxa" w:w="1505"/>
            <w:vAlign w:val="center"/>
          </w:tcPr>
          <w:p>
            <w:pPr>
              <w:spacing w:after="0" w:line="240" w:lineRule="auto"/>
              <w:jc w:val="center"/>
            </w:pPr>
            <w:r>
              <w:rPr>
                <w:b/>
                <w:color w:val="000000"/>
                <w:sz w:val="20"/>
              </w:rPr>
              <w:t>p (dos colas)</w:t>
            </w:r>
          </w:p>
        </w:tc>
      </w:tr>
      <w:tr>
        <w:trPr>
          <w:cantSplit/>
        </w:trPr>
        <w:tc>
          <w:tcPr>
            <w:tcW w:type="dxa" w:w="1584"/>
            <w:vAlign w:val="center"/>
          </w:tcPr>
          <w:p>
            <w:pPr>
              <w:spacing w:after="0" w:line="240" w:lineRule="auto"/>
              <w:jc w:val="center"/>
            </w:pPr>
            <w:r>
              <w:rPr>
                <w:b w:val="0"/>
                <w:color w:val="000000"/>
                <w:sz w:val="20"/>
              </w:rPr>
              <w:t>Arnés de cabeza</w:t>
            </w:r>
          </w:p>
        </w:tc>
        <w:tc>
          <w:tcPr>
            <w:tcW w:type="dxa" w:w="1800"/>
            <w:vAlign w:val="center"/>
          </w:tcPr>
          <w:p>
            <w:pPr>
              <w:spacing w:after="0" w:line="240" w:lineRule="auto"/>
              <w:jc w:val="center"/>
            </w:pPr>
            <w:r>
              <w:rPr>
                <w:b w:val="0"/>
                <w:color w:val="000000"/>
                <w:sz w:val="20"/>
              </w:rPr>
              <w:t>Arnés de pecho</w:t>
            </w:r>
          </w:p>
        </w:tc>
        <w:tc>
          <w:tcPr>
            <w:tcW w:type="dxa" w:w="2520"/>
            <w:vAlign w:val="center"/>
          </w:tcPr>
          <w:p>
            <w:pPr>
              <w:spacing w:after="0" w:line="240" w:lineRule="auto"/>
              <w:jc w:val="center"/>
            </w:pPr>
            <w:r>
              <w:rPr>
                <w:b w:val="0"/>
                <w:color w:val="000000"/>
                <w:sz w:val="20"/>
              </w:rPr>
              <w:t>-0,485</w:t>
            </w:r>
          </w:p>
        </w:tc>
        <w:tc>
          <w:tcPr>
            <w:tcW w:type="dxa" w:w="792"/>
            <w:vAlign w:val="center"/>
          </w:tcPr>
          <w:p>
            <w:pPr>
              <w:spacing w:after="0" w:line="240" w:lineRule="auto"/>
              <w:jc w:val="center"/>
            </w:pPr>
            <w:r>
              <w:rPr>
                <w:b w:val="0"/>
                <w:color w:val="000000"/>
                <w:sz w:val="20"/>
              </w:rPr>
              <w:t>-1,49</w:t>
            </w:r>
          </w:p>
        </w:tc>
        <w:tc>
          <w:tcPr>
            <w:tcW w:type="dxa" w:w="648"/>
            <w:vAlign w:val="center"/>
          </w:tcPr>
          <w:p>
            <w:pPr>
              <w:spacing w:after="0" w:line="240" w:lineRule="auto"/>
              <w:jc w:val="center"/>
            </w:pPr>
            <w:r>
              <w:rPr>
                <w:b w:val="0"/>
                <w:color w:val="000000"/>
                <w:sz w:val="20"/>
              </w:rPr>
              <w:t>32</w:t>
            </w:r>
          </w:p>
        </w:tc>
        <w:tc>
          <w:tcPr>
            <w:tcW w:type="dxa" w:w="1224"/>
            <w:vAlign w:val="center"/>
          </w:tcPr>
          <w:p>
            <w:pPr>
              <w:spacing w:after="0" w:line="240" w:lineRule="auto"/>
              <w:jc w:val="center"/>
            </w:pPr>
            <w:r>
              <w:rPr>
                <w:b w:val="0"/>
                <w:color w:val="000000"/>
                <w:sz w:val="20"/>
              </w:rPr>
              <w:t>0,1075</w:t>
            </w:r>
          </w:p>
        </w:tc>
      </w:tr>
      <w:tr>
        <w:trPr>
          <w:cantSplit/>
        </w:trPr>
        <w:tc>
          <w:tcPr>
            <w:tcW w:type="dxa" w:w="1584"/>
            <w:vAlign w:val="center"/>
          </w:tcPr>
          <w:p>
            <w:pPr>
              <w:spacing w:after="0" w:line="240" w:lineRule="auto"/>
              <w:jc w:val="center"/>
            </w:pPr>
            <w:r>
              <w:rPr>
                <w:b w:val="0"/>
                <w:color w:val="000000"/>
                <w:sz w:val="20"/>
              </w:rPr>
              <w:t>Arnés de cabeza</w:t>
            </w:r>
          </w:p>
        </w:tc>
        <w:tc>
          <w:tcPr>
            <w:tcW w:type="dxa" w:w="1800"/>
            <w:vAlign w:val="center"/>
          </w:tcPr>
          <w:p>
            <w:pPr>
              <w:spacing w:after="0" w:line="240" w:lineRule="auto"/>
              <w:jc w:val="center"/>
            </w:pPr>
            <w:r>
              <w:rPr>
                <w:b w:val="0"/>
                <w:color w:val="000000"/>
                <w:sz w:val="20"/>
              </w:rPr>
              <w:t>Gorillapod</w:t>
            </w:r>
          </w:p>
        </w:tc>
        <w:tc>
          <w:tcPr>
            <w:tcW w:type="dxa" w:w="2520"/>
            <w:vAlign w:val="center"/>
          </w:tcPr>
          <w:p>
            <w:pPr>
              <w:spacing w:after="0" w:line="240" w:lineRule="auto"/>
              <w:jc w:val="center"/>
            </w:pPr>
            <w:r>
              <w:rPr>
                <w:b w:val="0"/>
                <w:color w:val="000000"/>
                <w:sz w:val="20"/>
              </w:rPr>
              <w:t>-0,939</w:t>
            </w:r>
          </w:p>
        </w:tc>
        <w:tc>
          <w:tcPr>
            <w:tcW w:type="dxa" w:w="792"/>
            <w:vAlign w:val="center"/>
          </w:tcPr>
          <w:p>
            <w:pPr>
              <w:spacing w:after="0" w:line="240" w:lineRule="auto"/>
              <w:jc w:val="center"/>
            </w:pPr>
            <w:r>
              <w:rPr>
                <w:b w:val="0"/>
                <w:color w:val="000000"/>
                <w:sz w:val="20"/>
              </w:rPr>
              <w:t>-3,71</w:t>
            </w:r>
          </w:p>
        </w:tc>
        <w:tc>
          <w:tcPr>
            <w:tcW w:type="dxa" w:w="648"/>
            <w:vAlign w:val="center"/>
          </w:tcPr>
          <w:p>
            <w:pPr>
              <w:spacing w:after="0" w:line="240" w:lineRule="auto"/>
              <w:jc w:val="center"/>
            </w:pPr>
            <w:r>
              <w:rPr>
                <w:b w:val="0"/>
                <w:color w:val="000000"/>
                <w:sz w:val="20"/>
              </w:rPr>
              <w:t>32</w:t>
            </w:r>
          </w:p>
        </w:tc>
        <w:tc>
          <w:tcPr>
            <w:tcW w:type="dxa" w:w="1224"/>
            <w:vAlign w:val="center"/>
          </w:tcPr>
          <w:p>
            <w:pPr>
              <w:spacing w:after="0" w:line="240" w:lineRule="auto"/>
              <w:jc w:val="center"/>
            </w:pPr>
            <w:r>
              <w:rPr>
                <w:b w:val="0"/>
                <w:color w:val="000000"/>
                <w:sz w:val="20"/>
              </w:rPr>
              <w:t>0,0008</w:t>
            </w:r>
          </w:p>
        </w:tc>
      </w:tr>
      <w:tr>
        <w:trPr>
          <w:cantSplit/>
        </w:trPr>
        <w:tc>
          <w:tcPr>
            <w:tcW w:type="dxa" w:w="1584"/>
            <w:vAlign w:val="center"/>
          </w:tcPr>
          <w:p>
            <w:pPr>
              <w:spacing w:after="0" w:line="240" w:lineRule="auto"/>
              <w:jc w:val="center"/>
            </w:pPr>
            <w:r>
              <w:rPr>
                <w:b w:val="0"/>
                <w:color w:val="000000"/>
                <w:sz w:val="20"/>
              </w:rPr>
              <w:t>Arnés de pecho</w:t>
            </w:r>
          </w:p>
        </w:tc>
        <w:tc>
          <w:tcPr>
            <w:tcW w:type="dxa" w:w="1800"/>
            <w:vAlign w:val="center"/>
          </w:tcPr>
          <w:p>
            <w:pPr>
              <w:spacing w:after="0" w:line="240" w:lineRule="auto"/>
              <w:jc w:val="center"/>
            </w:pPr>
            <w:r>
              <w:rPr>
                <w:b w:val="0"/>
                <w:color w:val="000000"/>
                <w:sz w:val="20"/>
              </w:rPr>
              <w:t>Gorillapod</w:t>
            </w:r>
          </w:p>
        </w:tc>
        <w:tc>
          <w:tcPr>
            <w:tcW w:type="dxa" w:w="2520"/>
            <w:vAlign w:val="center"/>
          </w:tcPr>
          <w:p>
            <w:pPr>
              <w:spacing w:after="0" w:line="240" w:lineRule="auto"/>
              <w:jc w:val="center"/>
            </w:pPr>
            <w:r>
              <w:rPr>
                <w:b w:val="0"/>
                <w:color w:val="000000"/>
                <w:sz w:val="20"/>
              </w:rPr>
              <w:t>-0,455</w:t>
            </w:r>
          </w:p>
        </w:tc>
        <w:tc>
          <w:tcPr>
            <w:tcW w:type="dxa" w:w="792"/>
            <w:vAlign w:val="center"/>
          </w:tcPr>
          <w:p>
            <w:pPr>
              <w:spacing w:after="0" w:line="240" w:lineRule="auto"/>
              <w:jc w:val="center"/>
            </w:pPr>
            <w:r>
              <w:rPr>
                <w:b w:val="0"/>
                <w:color w:val="000000"/>
                <w:sz w:val="20"/>
              </w:rPr>
              <w:t>-1,63</w:t>
            </w:r>
          </w:p>
        </w:tc>
        <w:tc>
          <w:tcPr>
            <w:tcW w:type="dxa" w:w="648"/>
            <w:vAlign w:val="center"/>
          </w:tcPr>
          <w:p>
            <w:pPr>
              <w:spacing w:after="0" w:line="240" w:lineRule="auto"/>
              <w:jc w:val="center"/>
            </w:pPr>
            <w:r>
              <w:rPr>
                <w:b w:val="0"/>
                <w:color w:val="000000"/>
                <w:sz w:val="20"/>
              </w:rPr>
              <w:t>32</w:t>
            </w:r>
          </w:p>
        </w:tc>
        <w:tc>
          <w:tcPr>
            <w:tcW w:type="dxa" w:w="1224"/>
            <w:vAlign w:val="center"/>
          </w:tcPr>
          <w:p>
            <w:pPr>
              <w:spacing w:after="0" w:line="240" w:lineRule="auto"/>
              <w:jc w:val="center"/>
            </w:pPr>
            <w:r>
              <w:rPr>
                <w:b w:val="0"/>
                <w:color w:val="000000"/>
                <w:sz w:val="20"/>
              </w:rPr>
              <w:t>0,0365</w:t>
            </w:r>
          </w:p>
        </w:tc>
      </w:tr>
    </w:tbl>
    <w:p/>
    <w:p>
      <w:pPr>
        <w:pStyle w:val="Caption"/>
      </w:pPr>
      <w:r>
        <w:t>Diferencias por escena del número de objetos correctos entre posiciones, prueba t pareada (gl = 32).</w:t>
      </w:r>
    </w:p>
    <w:p>
      <w:r>
        <w:t>El Gorillapod supera significativamente a la cabeza (t(32) = -3,71, p = 0,0008) y, con margen más estrecho, también al pecho (t(32) = -1,63, p = 0,0365); la diferencia entre cabeza y pecho no es significativa (t(32) = -1,49, p = 0,1075). En conjunto: la vista de cabeza queda descartada por cobertura; entre pecho y Gorillapod el mayor número de objetos del Gorillapod convive con un margen relativamente estrecho (0,455 objetos/escena), lo que anticipa el análisis por configuración de la sección 4.3. La figura siguiente muestra la dispersión de los conteos.</w:t>
      </w:r>
    </w:p>
    <w:p>
      <w:pPr>
        <w:jc w:val="center"/>
      </w:pPr>
      <w:r>
        <w:drawing>
          <wp:inline xmlns:a="http://schemas.openxmlformats.org/drawingml/2006/main" xmlns:pic="http://schemas.openxmlformats.org/drawingml/2006/picture">
            <wp:extent cx="4206240" cy="3154680"/>
            <wp:docPr id="1" name="Picture 1"/>
            <wp:cNvGraphicFramePr>
              <a:graphicFrameLocks noChangeAspect="1"/>
            </wp:cNvGraphicFramePr>
            <a:graphic>
              <a:graphicData uri="http://schemas.openxmlformats.org/drawingml/2006/picture">
                <pic:pic>
                  <pic:nvPicPr>
                    <pic:cNvPr id="0" name="boxplot_mount.png"/>
                    <pic:cNvPicPr/>
                  </pic:nvPicPr>
                  <pic:blipFill>
                    <a:blip r:embed="rId9"/>
                    <a:stretch>
                      <a:fillRect/>
                    </a:stretch>
                  </pic:blipFill>
                  <pic:spPr>
                    <a:xfrm>
                      <a:off x="0" y="0"/>
                      <a:ext cx="4206240" cy="3154680"/>
                    </a:xfrm>
                    <a:prstGeom prst="rect"/>
                  </pic:spPr>
                </pic:pic>
              </a:graphicData>
            </a:graphic>
          </wp:inline>
        </w:drawing>
      </w:r>
    </w:p>
    <w:p>
      <w:pPr>
        <w:pStyle w:val="Caption"/>
      </w:pPr>
      <w:r>
        <w:t>Figura 4.1. Objetos detectados correctamente por fotografía y posición de montaje (detector, 66 fotografías por posición, lentes agrupadas).</w:t>
      </w:r>
    </w:p>
    <w:p>
      <w:r>
        <w:t>Con el límite de dos objetos por fotograma, la lista de anuncios conserva 68 selecciones correctas de la cabeza, 81 del pecho y 89 del Gorillapod, con precisiones de 82,9%, 84,4% y 86,4% respectivamente: la restricción de salida prioriza la calidad de lo que se anuncia sobre la cantidad recuperada.</w:t>
      </w:r>
    </w:p>
    <w:p>
      <w:pPr>
        <w:pStyle w:val="Heading1"/>
      </w:pPr>
      <w:r>
        <w:t>4.3 Escenario 2: combinaciones de arnés y lente</w:t>
      </w:r>
    </w:p>
    <w:p>
      <w:r>
        <w:t>El segundo escenario desagrega el lente y cruza las tres posiciones con las dos focales, resultando seis configuraciones de 33 fotografías pareadas por escena (tabla siguiente).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01"/>
        <w:gridCol w:w="893"/>
        <w:gridCol w:w="936"/>
        <w:gridCol w:w="792"/>
        <w:gridCol w:w="864"/>
        <w:gridCol w:w="1512"/>
        <w:gridCol w:w="1267"/>
      </w:tblGrid>
      <w:tr>
        <w:trPr>
          <w:cantSplit/>
          <w:tblHeader/>
        </w:trPr>
        <w:tc>
          <w:tcPr>
            <w:tcW w:type="dxa" w:w="1290"/>
            <w:vAlign w:val="center"/>
          </w:tcPr>
          <w:p>
            <w:pPr>
              <w:spacing w:after="0" w:line="240" w:lineRule="auto"/>
              <w:jc w:val="center"/>
            </w:pPr>
            <w:r>
              <w:rPr>
                <w:b/>
                <w:color w:val="000000"/>
                <w:sz w:val="20"/>
              </w:rPr>
              <w:t>Configuración</w:t>
            </w:r>
          </w:p>
        </w:tc>
        <w:tc>
          <w:tcPr>
            <w:tcW w:type="dxa" w:w="1290"/>
            <w:vAlign w:val="center"/>
          </w:tcPr>
          <w:p>
            <w:pPr>
              <w:spacing w:after="0" w:line="240" w:lineRule="auto"/>
              <w:jc w:val="center"/>
            </w:pPr>
            <w:r>
              <w:rPr>
                <w:b/>
                <w:color w:val="000000"/>
                <w:sz w:val="20"/>
              </w:rPr>
              <w:t>Visibles</w:t>
            </w:r>
          </w:p>
        </w:tc>
        <w:tc>
          <w:tcPr>
            <w:tcW w:type="dxa" w:w="1290"/>
            <w:vAlign w:val="center"/>
          </w:tcPr>
          <w:p>
            <w:pPr>
              <w:spacing w:after="0" w:line="240" w:lineRule="auto"/>
              <w:jc w:val="center"/>
            </w:pPr>
            <w:r>
              <w:rPr>
                <w:b/>
                <w:color w:val="000000"/>
                <w:sz w:val="20"/>
              </w:rPr>
              <w:t>Correctas</w:t>
            </w:r>
          </w:p>
        </w:tc>
        <w:tc>
          <w:tcPr>
            <w:tcW w:type="dxa" w:w="1290"/>
            <w:vAlign w:val="center"/>
          </w:tcPr>
          <w:p>
            <w:pPr>
              <w:spacing w:after="0" w:line="240" w:lineRule="auto"/>
              <w:jc w:val="center"/>
            </w:pPr>
            <w:r>
              <w:rPr>
                <w:b/>
                <w:color w:val="000000"/>
                <w:sz w:val="20"/>
              </w:rPr>
              <w:t>Falsas</w:t>
            </w:r>
          </w:p>
        </w:tc>
        <w:tc>
          <w:tcPr>
            <w:tcW w:type="dxa" w:w="1290"/>
            <w:vAlign w:val="center"/>
          </w:tcPr>
          <w:p>
            <w:pPr>
              <w:spacing w:after="0" w:line="240" w:lineRule="auto"/>
              <w:jc w:val="center"/>
            </w:pPr>
            <w:r>
              <w:rPr>
                <w:b/>
                <w:color w:val="000000"/>
                <w:sz w:val="20"/>
              </w:rPr>
              <w:t>F1</w:t>
            </w:r>
          </w:p>
        </w:tc>
        <w:tc>
          <w:tcPr>
            <w:tcW w:type="dxa" w:w="1290"/>
            <w:vAlign w:val="center"/>
          </w:tcPr>
          <w:p>
            <w:pPr>
              <w:spacing w:after="0" w:line="240" w:lineRule="auto"/>
              <w:jc w:val="center"/>
            </w:pPr>
            <w:r>
              <w:rPr>
                <w:b/>
                <w:color w:val="000000"/>
                <w:sz w:val="20"/>
              </w:rPr>
              <w:t>AP50 / AP50-95</w:t>
            </w:r>
          </w:p>
        </w:tc>
        <w:tc>
          <w:tcPr>
            <w:tcW w:type="dxa" w:w="1290"/>
            <w:vAlign w:val="center"/>
          </w:tcPr>
          <w:p>
            <w:pPr>
              <w:spacing w:after="0" w:line="240" w:lineRule="auto"/>
              <w:jc w:val="center"/>
            </w:pPr>
            <w:r>
              <w:rPr>
                <w:b/>
                <w:color w:val="000000"/>
                <w:sz w:val="20"/>
              </w:rPr>
              <w:t>Correctas (lista)</w:t>
            </w:r>
          </w:p>
        </w:tc>
      </w:tr>
      <w:tr>
        <w:trPr>
          <w:cantSplit/>
        </w:trPr>
        <w:tc>
          <w:tcPr>
            <w:tcW w:type="dxa" w:w="1901"/>
            <w:vAlign w:val="center"/>
          </w:tcPr>
          <w:p>
            <w:pPr>
              <w:spacing w:after="0" w:line="240" w:lineRule="auto"/>
              <w:jc w:val="center"/>
            </w:pPr>
            <w:r>
              <w:rPr>
                <w:b w:val="0"/>
                <w:color w:val="000000"/>
                <w:sz w:val="20"/>
              </w:rPr>
              <w:t>Arnés de cabeza 1x</w:t>
            </w:r>
          </w:p>
        </w:tc>
        <w:tc>
          <w:tcPr>
            <w:tcW w:type="dxa" w:w="893"/>
            <w:vAlign w:val="center"/>
          </w:tcPr>
          <w:p>
            <w:pPr>
              <w:spacing w:after="0" w:line="240" w:lineRule="auto"/>
              <w:jc w:val="center"/>
            </w:pPr>
            <w:r>
              <w:rPr>
                <w:b w:val="0"/>
                <w:color w:val="000000"/>
                <w:sz w:val="20"/>
              </w:rPr>
              <w:t>129</w:t>
            </w:r>
          </w:p>
        </w:tc>
        <w:tc>
          <w:tcPr>
            <w:tcW w:type="dxa" w:w="936"/>
            <w:vAlign w:val="center"/>
          </w:tcPr>
          <w:p>
            <w:pPr>
              <w:spacing w:after="0" w:line="240" w:lineRule="auto"/>
              <w:jc w:val="center"/>
            </w:pPr>
            <w:r>
              <w:rPr>
                <w:b w:val="0"/>
                <w:color w:val="000000"/>
                <w:sz w:val="20"/>
              </w:rPr>
              <w:t>56</w:t>
            </w:r>
          </w:p>
        </w:tc>
        <w:tc>
          <w:tcPr>
            <w:tcW w:type="dxa" w:w="792"/>
            <w:vAlign w:val="center"/>
          </w:tcPr>
          <w:p>
            <w:pPr>
              <w:spacing w:after="0" w:line="240" w:lineRule="auto"/>
              <w:jc w:val="center"/>
            </w:pPr>
            <w:r>
              <w:rPr>
                <w:b w:val="0"/>
                <w:color w:val="000000"/>
                <w:sz w:val="20"/>
              </w:rPr>
              <w:t>20</w:t>
            </w:r>
          </w:p>
        </w:tc>
        <w:tc>
          <w:tcPr>
            <w:tcW w:type="dxa" w:w="864"/>
            <w:vAlign w:val="center"/>
          </w:tcPr>
          <w:p>
            <w:pPr>
              <w:spacing w:after="0" w:line="240" w:lineRule="auto"/>
              <w:jc w:val="center"/>
            </w:pPr>
            <w:r>
              <w:rPr>
                <w:b w:val="0"/>
                <w:color w:val="000000"/>
                <w:sz w:val="20"/>
              </w:rPr>
              <w:t>54,6%</w:t>
            </w:r>
          </w:p>
        </w:tc>
        <w:tc>
          <w:tcPr>
            <w:tcW w:type="dxa" w:w="1512"/>
            <w:vAlign w:val="center"/>
          </w:tcPr>
          <w:p>
            <w:pPr>
              <w:spacing w:after="0" w:line="240" w:lineRule="auto"/>
              <w:jc w:val="center"/>
            </w:pPr>
            <w:r>
              <w:rPr>
                <w:b w:val="0"/>
                <w:color w:val="000000"/>
                <w:sz w:val="20"/>
              </w:rPr>
              <w:t>53,4% / 33,0%</w:t>
            </w:r>
          </w:p>
        </w:tc>
        <w:tc>
          <w:tcPr>
            <w:tcW w:type="dxa" w:w="1267"/>
            <w:vAlign w:val="center"/>
          </w:tcPr>
          <w:p>
            <w:pPr>
              <w:spacing w:after="0" w:line="240" w:lineRule="auto"/>
              <w:jc w:val="center"/>
            </w:pPr>
            <w:r>
              <w:rPr>
                <w:b w:val="0"/>
                <w:color w:val="000000"/>
                <w:sz w:val="20"/>
              </w:rPr>
              <w:t>31</w:t>
            </w:r>
          </w:p>
        </w:tc>
      </w:tr>
      <w:tr>
        <w:trPr>
          <w:cantSplit/>
        </w:trPr>
        <w:tc>
          <w:tcPr>
            <w:tcW w:type="dxa" w:w="1901"/>
            <w:vAlign w:val="center"/>
          </w:tcPr>
          <w:p>
            <w:pPr>
              <w:spacing w:after="0" w:line="240" w:lineRule="auto"/>
              <w:jc w:val="center"/>
            </w:pPr>
            <w:r>
              <w:rPr>
                <w:b w:val="0"/>
                <w:color w:val="000000"/>
                <w:sz w:val="20"/>
              </w:rPr>
              <w:t>Arnés de cabeza 0,5x</w:t>
            </w:r>
          </w:p>
        </w:tc>
        <w:tc>
          <w:tcPr>
            <w:tcW w:type="dxa" w:w="893"/>
            <w:vAlign w:val="center"/>
          </w:tcPr>
          <w:p>
            <w:pPr>
              <w:spacing w:after="0" w:line="240" w:lineRule="auto"/>
              <w:jc w:val="center"/>
            </w:pPr>
            <w:r>
              <w:rPr>
                <w:b w:val="0"/>
                <w:color w:val="000000"/>
                <w:sz w:val="20"/>
              </w:rPr>
              <w:t>164</w:t>
            </w:r>
          </w:p>
        </w:tc>
        <w:tc>
          <w:tcPr>
            <w:tcW w:type="dxa" w:w="936"/>
            <w:vAlign w:val="center"/>
          </w:tcPr>
          <w:p>
            <w:pPr>
              <w:spacing w:after="0" w:line="240" w:lineRule="auto"/>
              <w:jc w:val="center"/>
            </w:pPr>
            <w:r>
              <w:rPr>
                <w:b w:val="0"/>
                <w:color w:val="000000"/>
                <w:sz w:val="20"/>
              </w:rPr>
              <w:t>70</w:t>
            </w:r>
          </w:p>
        </w:tc>
        <w:tc>
          <w:tcPr>
            <w:tcW w:type="dxa" w:w="792"/>
            <w:vAlign w:val="center"/>
          </w:tcPr>
          <w:p>
            <w:pPr>
              <w:spacing w:after="0" w:line="240" w:lineRule="auto"/>
              <w:jc w:val="center"/>
            </w:pPr>
            <w:r>
              <w:rPr>
                <w:b w:val="0"/>
                <w:color w:val="000000"/>
                <w:sz w:val="20"/>
              </w:rPr>
              <w:t>36</w:t>
            </w:r>
          </w:p>
        </w:tc>
        <w:tc>
          <w:tcPr>
            <w:tcW w:type="dxa" w:w="864"/>
            <w:vAlign w:val="center"/>
          </w:tcPr>
          <w:p>
            <w:pPr>
              <w:spacing w:after="0" w:line="240" w:lineRule="auto"/>
              <w:jc w:val="center"/>
            </w:pPr>
            <w:r>
              <w:rPr>
                <w:b w:val="0"/>
                <w:color w:val="000000"/>
                <w:sz w:val="20"/>
              </w:rPr>
              <w:t>51,9%</w:t>
            </w:r>
          </w:p>
        </w:tc>
        <w:tc>
          <w:tcPr>
            <w:tcW w:type="dxa" w:w="1512"/>
            <w:vAlign w:val="center"/>
          </w:tcPr>
          <w:p>
            <w:pPr>
              <w:spacing w:after="0" w:line="240" w:lineRule="auto"/>
              <w:jc w:val="center"/>
            </w:pPr>
            <w:r>
              <w:rPr>
                <w:b w:val="0"/>
                <w:color w:val="000000"/>
                <w:sz w:val="20"/>
              </w:rPr>
              <w:t>50,9% / 33,7%</w:t>
            </w:r>
          </w:p>
        </w:tc>
        <w:tc>
          <w:tcPr>
            <w:tcW w:type="dxa" w:w="1267"/>
            <w:vAlign w:val="center"/>
          </w:tcPr>
          <w:p>
            <w:pPr>
              <w:spacing w:after="0" w:line="240" w:lineRule="auto"/>
              <w:jc w:val="center"/>
            </w:pPr>
            <w:r>
              <w:rPr>
                <w:b w:val="0"/>
                <w:color w:val="000000"/>
                <w:sz w:val="20"/>
              </w:rPr>
              <w:t>37</w:t>
            </w:r>
          </w:p>
        </w:tc>
      </w:tr>
      <w:tr>
        <w:trPr>
          <w:cantSplit/>
        </w:trPr>
        <w:tc>
          <w:tcPr>
            <w:tcW w:type="dxa" w:w="1901"/>
            <w:vAlign w:val="center"/>
          </w:tcPr>
          <w:p>
            <w:pPr>
              <w:spacing w:after="0" w:line="240" w:lineRule="auto"/>
              <w:jc w:val="center"/>
            </w:pPr>
            <w:r>
              <w:rPr>
                <w:b w:val="0"/>
                <w:color w:val="000000"/>
                <w:sz w:val="20"/>
              </w:rPr>
              <w:t>Arnés de pecho 1x</w:t>
            </w:r>
          </w:p>
        </w:tc>
        <w:tc>
          <w:tcPr>
            <w:tcW w:type="dxa" w:w="893"/>
            <w:vAlign w:val="center"/>
          </w:tcPr>
          <w:p>
            <w:pPr>
              <w:spacing w:after="0" w:line="240" w:lineRule="auto"/>
              <w:jc w:val="center"/>
            </w:pPr>
            <w:r>
              <w:rPr>
                <w:b w:val="0"/>
                <w:color w:val="000000"/>
                <w:sz w:val="20"/>
              </w:rPr>
              <w:t>124</w:t>
            </w:r>
          </w:p>
        </w:tc>
        <w:tc>
          <w:tcPr>
            <w:tcW w:type="dxa" w:w="936"/>
            <w:vAlign w:val="center"/>
          </w:tcPr>
          <w:p>
            <w:pPr>
              <w:spacing w:after="0" w:line="240" w:lineRule="auto"/>
              <w:jc w:val="center"/>
            </w:pPr>
            <w:r>
              <w:rPr>
                <w:b w:val="0"/>
                <w:color w:val="000000"/>
                <w:sz w:val="20"/>
              </w:rPr>
              <w:t>65</w:t>
            </w:r>
          </w:p>
        </w:tc>
        <w:tc>
          <w:tcPr>
            <w:tcW w:type="dxa" w:w="792"/>
            <w:vAlign w:val="center"/>
          </w:tcPr>
          <w:p>
            <w:pPr>
              <w:spacing w:after="0" w:line="240" w:lineRule="auto"/>
              <w:jc w:val="center"/>
            </w:pPr>
            <w:r>
              <w:rPr>
                <w:b w:val="0"/>
                <w:color w:val="000000"/>
                <w:sz w:val="20"/>
              </w:rPr>
              <w:t>21</w:t>
            </w:r>
          </w:p>
        </w:tc>
        <w:tc>
          <w:tcPr>
            <w:tcW w:type="dxa" w:w="864"/>
            <w:vAlign w:val="center"/>
          </w:tcPr>
          <w:p>
            <w:pPr>
              <w:spacing w:after="0" w:line="240" w:lineRule="auto"/>
              <w:jc w:val="center"/>
            </w:pPr>
            <w:r>
              <w:rPr>
                <w:b w:val="0"/>
                <w:color w:val="000000"/>
                <w:sz w:val="20"/>
              </w:rPr>
              <w:t>61,9%</w:t>
            </w:r>
          </w:p>
        </w:tc>
        <w:tc>
          <w:tcPr>
            <w:tcW w:type="dxa" w:w="1512"/>
            <w:vAlign w:val="center"/>
          </w:tcPr>
          <w:p>
            <w:pPr>
              <w:spacing w:after="0" w:line="240" w:lineRule="auto"/>
              <w:jc w:val="center"/>
            </w:pPr>
            <w:r>
              <w:rPr>
                <w:b w:val="0"/>
                <w:color w:val="000000"/>
                <w:sz w:val="20"/>
              </w:rPr>
              <w:t>60,5% / 42,2%</w:t>
            </w:r>
          </w:p>
        </w:tc>
        <w:tc>
          <w:tcPr>
            <w:tcW w:type="dxa" w:w="1267"/>
            <w:vAlign w:val="center"/>
          </w:tcPr>
          <w:p>
            <w:pPr>
              <w:spacing w:after="0" w:line="240" w:lineRule="auto"/>
              <w:jc w:val="center"/>
            </w:pPr>
            <w:r>
              <w:rPr>
                <w:b w:val="0"/>
                <w:color w:val="000000"/>
                <w:sz w:val="20"/>
              </w:rPr>
              <w:t>37</w:t>
            </w:r>
          </w:p>
        </w:tc>
      </w:tr>
      <w:tr>
        <w:trPr>
          <w:cantSplit/>
        </w:trPr>
        <w:tc>
          <w:tcPr>
            <w:tcW w:type="dxa" w:w="1901"/>
            <w:vAlign w:val="center"/>
          </w:tcPr>
          <w:p>
            <w:pPr>
              <w:spacing w:after="0" w:line="240" w:lineRule="auto"/>
              <w:jc w:val="center"/>
            </w:pPr>
            <w:r>
              <w:rPr>
                <w:b w:val="0"/>
                <w:color w:val="000000"/>
                <w:sz w:val="20"/>
              </w:rPr>
              <w:t>Arnés de pecho 0,5x</w:t>
            </w:r>
          </w:p>
        </w:tc>
        <w:tc>
          <w:tcPr>
            <w:tcW w:type="dxa" w:w="893"/>
            <w:vAlign w:val="center"/>
          </w:tcPr>
          <w:p>
            <w:pPr>
              <w:spacing w:after="0" w:line="240" w:lineRule="auto"/>
              <w:jc w:val="center"/>
            </w:pPr>
            <w:r>
              <w:rPr>
                <w:b w:val="0"/>
                <w:color w:val="000000"/>
                <w:sz w:val="20"/>
              </w:rPr>
              <w:t>153</w:t>
            </w:r>
          </w:p>
        </w:tc>
        <w:tc>
          <w:tcPr>
            <w:tcW w:type="dxa" w:w="936"/>
            <w:vAlign w:val="center"/>
          </w:tcPr>
          <w:p>
            <w:pPr>
              <w:spacing w:after="0" w:line="240" w:lineRule="auto"/>
              <w:jc w:val="center"/>
            </w:pPr>
            <w:r>
              <w:rPr>
                <w:b w:val="0"/>
                <w:color w:val="000000"/>
                <w:sz w:val="20"/>
              </w:rPr>
              <w:t>77</w:t>
            </w:r>
          </w:p>
        </w:tc>
        <w:tc>
          <w:tcPr>
            <w:tcW w:type="dxa" w:w="792"/>
            <w:vAlign w:val="center"/>
          </w:tcPr>
          <w:p>
            <w:pPr>
              <w:spacing w:after="0" w:line="240" w:lineRule="auto"/>
              <w:jc w:val="center"/>
            </w:pPr>
            <w:r>
              <w:rPr>
                <w:b w:val="0"/>
                <w:color w:val="000000"/>
                <w:sz w:val="20"/>
              </w:rPr>
              <w:t>32</w:t>
            </w:r>
          </w:p>
        </w:tc>
        <w:tc>
          <w:tcPr>
            <w:tcW w:type="dxa" w:w="864"/>
            <w:vAlign w:val="center"/>
          </w:tcPr>
          <w:p>
            <w:pPr>
              <w:spacing w:after="0" w:line="240" w:lineRule="auto"/>
              <w:jc w:val="center"/>
            </w:pPr>
            <w:r>
              <w:rPr>
                <w:b w:val="0"/>
                <w:color w:val="000000"/>
                <w:sz w:val="20"/>
              </w:rPr>
              <w:t>58,8%</w:t>
            </w:r>
          </w:p>
        </w:tc>
        <w:tc>
          <w:tcPr>
            <w:tcW w:type="dxa" w:w="1512"/>
            <w:vAlign w:val="center"/>
          </w:tcPr>
          <w:p>
            <w:pPr>
              <w:spacing w:after="0" w:line="240" w:lineRule="auto"/>
              <w:jc w:val="center"/>
            </w:pPr>
            <w:r>
              <w:rPr>
                <w:b w:val="0"/>
                <w:color w:val="000000"/>
                <w:sz w:val="20"/>
              </w:rPr>
              <w:t>55,4% / 38,6%</w:t>
            </w:r>
          </w:p>
        </w:tc>
        <w:tc>
          <w:tcPr>
            <w:tcW w:type="dxa" w:w="1267"/>
            <w:vAlign w:val="center"/>
          </w:tcPr>
          <w:p>
            <w:pPr>
              <w:spacing w:after="0" w:line="240" w:lineRule="auto"/>
              <w:jc w:val="center"/>
            </w:pPr>
            <w:r>
              <w:rPr>
                <w:b w:val="0"/>
                <w:color w:val="000000"/>
                <w:sz w:val="20"/>
              </w:rPr>
              <w:t>44</w:t>
            </w:r>
          </w:p>
        </w:tc>
      </w:tr>
      <w:tr>
        <w:trPr>
          <w:cantSplit/>
        </w:trPr>
        <w:tc>
          <w:tcPr>
            <w:tcW w:type="dxa" w:w="1901"/>
            <w:vAlign w:val="center"/>
          </w:tcPr>
          <w:p>
            <w:pPr>
              <w:spacing w:after="0" w:line="240" w:lineRule="auto"/>
              <w:jc w:val="center"/>
            </w:pPr>
            <w:r>
              <w:rPr>
                <w:b w:val="0"/>
                <w:color w:val="000000"/>
                <w:sz w:val="20"/>
              </w:rPr>
              <w:t>Gorillapod 1x</w:t>
            </w:r>
          </w:p>
        </w:tc>
        <w:tc>
          <w:tcPr>
            <w:tcW w:type="dxa" w:w="893"/>
            <w:vAlign w:val="center"/>
          </w:tcPr>
          <w:p>
            <w:pPr>
              <w:spacing w:after="0" w:line="240" w:lineRule="auto"/>
              <w:jc w:val="center"/>
            </w:pPr>
            <w:r>
              <w:rPr>
                <w:b w:val="0"/>
                <w:color w:val="000000"/>
                <w:sz w:val="20"/>
              </w:rPr>
              <w:t>145</w:t>
            </w:r>
          </w:p>
        </w:tc>
        <w:tc>
          <w:tcPr>
            <w:tcW w:type="dxa" w:w="936"/>
            <w:vAlign w:val="center"/>
          </w:tcPr>
          <w:p>
            <w:pPr>
              <w:spacing w:after="0" w:line="240" w:lineRule="auto"/>
              <w:jc w:val="center"/>
            </w:pPr>
            <w:r>
              <w:rPr>
                <w:b w:val="0"/>
                <w:color w:val="000000"/>
                <w:sz w:val="20"/>
              </w:rPr>
              <w:t>75</w:t>
            </w:r>
          </w:p>
        </w:tc>
        <w:tc>
          <w:tcPr>
            <w:tcW w:type="dxa" w:w="792"/>
            <w:vAlign w:val="center"/>
          </w:tcPr>
          <w:p>
            <w:pPr>
              <w:spacing w:after="0" w:line="240" w:lineRule="auto"/>
              <w:jc w:val="center"/>
            </w:pPr>
            <w:r>
              <w:rPr>
                <w:b w:val="0"/>
                <w:color w:val="000000"/>
                <w:sz w:val="20"/>
              </w:rPr>
              <w:t>29</w:t>
            </w:r>
          </w:p>
        </w:tc>
        <w:tc>
          <w:tcPr>
            <w:tcW w:type="dxa" w:w="864"/>
            <w:vAlign w:val="center"/>
          </w:tcPr>
          <w:p>
            <w:pPr>
              <w:spacing w:after="0" w:line="240" w:lineRule="auto"/>
              <w:jc w:val="center"/>
            </w:pPr>
            <w:r>
              <w:rPr>
                <w:b w:val="0"/>
                <w:color w:val="000000"/>
                <w:sz w:val="20"/>
              </w:rPr>
              <w:t>60,2%</w:t>
            </w:r>
          </w:p>
        </w:tc>
        <w:tc>
          <w:tcPr>
            <w:tcW w:type="dxa" w:w="1512"/>
            <w:vAlign w:val="center"/>
          </w:tcPr>
          <w:p>
            <w:pPr>
              <w:spacing w:after="0" w:line="240" w:lineRule="auto"/>
              <w:jc w:val="center"/>
            </w:pPr>
            <w:r>
              <w:rPr>
                <w:b w:val="0"/>
                <w:color w:val="000000"/>
                <w:sz w:val="20"/>
              </w:rPr>
              <w:t>61,9% / 39,0%</w:t>
            </w:r>
          </w:p>
        </w:tc>
        <w:tc>
          <w:tcPr>
            <w:tcW w:type="dxa" w:w="1267"/>
            <w:vAlign w:val="center"/>
          </w:tcPr>
          <w:p>
            <w:pPr>
              <w:spacing w:after="0" w:line="240" w:lineRule="auto"/>
              <w:jc w:val="center"/>
            </w:pPr>
            <w:r>
              <w:rPr>
                <w:b w:val="0"/>
                <w:color w:val="000000"/>
                <w:sz w:val="20"/>
              </w:rPr>
              <w:t>40</w:t>
            </w:r>
          </w:p>
        </w:tc>
      </w:tr>
      <w:tr>
        <w:trPr>
          <w:cantSplit/>
        </w:trPr>
        <w:tc>
          <w:tcPr>
            <w:tcW w:type="dxa" w:w="1901"/>
            <w:vAlign w:val="center"/>
          </w:tcPr>
          <w:p>
            <w:pPr>
              <w:spacing w:after="0" w:line="240" w:lineRule="auto"/>
              <w:jc w:val="center"/>
            </w:pPr>
            <w:r>
              <w:rPr>
                <w:b w:val="0"/>
                <w:color w:val="000000"/>
                <w:sz w:val="20"/>
              </w:rPr>
              <w:t>Gorillapod 0,5x</w:t>
            </w:r>
          </w:p>
        </w:tc>
        <w:tc>
          <w:tcPr>
            <w:tcW w:type="dxa" w:w="893"/>
            <w:vAlign w:val="center"/>
          </w:tcPr>
          <w:p>
            <w:pPr>
              <w:spacing w:after="0" w:line="240" w:lineRule="auto"/>
              <w:jc w:val="center"/>
            </w:pPr>
            <w:r>
              <w:rPr>
                <w:b w:val="0"/>
                <w:color w:val="000000"/>
                <w:sz w:val="20"/>
              </w:rPr>
              <w:t>174</w:t>
            </w:r>
          </w:p>
        </w:tc>
        <w:tc>
          <w:tcPr>
            <w:tcW w:type="dxa" w:w="936"/>
            <w:vAlign w:val="center"/>
          </w:tcPr>
          <w:p>
            <w:pPr>
              <w:spacing w:after="0" w:line="240" w:lineRule="auto"/>
              <w:jc w:val="center"/>
            </w:pPr>
            <w:r>
              <w:rPr>
                <w:b w:val="0"/>
                <w:color w:val="000000"/>
                <w:sz w:val="20"/>
              </w:rPr>
              <w:t>82</w:t>
            </w:r>
          </w:p>
        </w:tc>
        <w:tc>
          <w:tcPr>
            <w:tcW w:type="dxa" w:w="792"/>
            <w:vAlign w:val="center"/>
          </w:tcPr>
          <w:p>
            <w:pPr>
              <w:spacing w:after="0" w:line="240" w:lineRule="auto"/>
              <w:jc w:val="center"/>
            </w:pPr>
            <w:r>
              <w:rPr>
                <w:b w:val="0"/>
                <w:color w:val="000000"/>
                <w:sz w:val="20"/>
              </w:rPr>
              <w:t>31</w:t>
            </w:r>
          </w:p>
        </w:tc>
        <w:tc>
          <w:tcPr>
            <w:tcW w:type="dxa" w:w="864"/>
            <w:vAlign w:val="center"/>
          </w:tcPr>
          <w:p>
            <w:pPr>
              <w:spacing w:after="0" w:line="240" w:lineRule="auto"/>
              <w:jc w:val="center"/>
            </w:pPr>
            <w:r>
              <w:rPr>
                <w:b w:val="0"/>
                <w:color w:val="000000"/>
                <w:sz w:val="20"/>
              </w:rPr>
              <w:t>57,1%</w:t>
            </w:r>
          </w:p>
        </w:tc>
        <w:tc>
          <w:tcPr>
            <w:tcW w:type="dxa" w:w="1512"/>
            <w:vAlign w:val="center"/>
          </w:tcPr>
          <w:p>
            <w:pPr>
              <w:spacing w:after="0" w:line="240" w:lineRule="auto"/>
              <w:jc w:val="center"/>
            </w:pPr>
            <w:r>
              <w:rPr>
                <w:b w:val="0"/>
                <w:color w:val="000000"/>
                <w:sz w:val="20"/>
              </w:rPr>
              <w:t>56,5% / 41,5%</w:t>
            </w:r>
          </w:p>
        </w:tc>
        <w:tc>
          <w:tcPr>
            <w:tcW w:type="dxa" w:w="1267"/>
            <w:vAlign w:val="center"/>
          </w:tcPr>
          <w:p>
            <w:pPr>
              <w:spacing w:after="0" w:line="240" w:lineRule="auto"/>
              <w:jc w:val="center"/>
            </w:pPr>
            <w:r>
              <w:rPr>
                <w:b w:val="0"/>
                <w:color w:val="000000"/>
                <w:sz w:val="20"/>
              </w:rPr>
              <w:t>49</w:t>
            </w:r>
          </w:p>
        </w:tc>
      </w:tr>
    </w:tbl>
    <w:p/>
    <w:p>
      <w:pPr>
        <w:pStyle w:val="Caption"/>
      </w:pPr>
      <w:r>
        <w:t>Correctas y falsas se contabilizan con confianza 0,30 e IoU ≥ 0,50 sobre las 33 fotografías por configuración; AP se calcula con el historial completo de puntuaciones del detector; "Correctas (lista)" aplica el límite de dos objetos por fotograma.</w:t>
      </w:r>
    </w:p>
    <w:p>
      <w:r>
        <w:t>La mejor F1 es del arnés de pecho 1x (61,9%; precisión 75,6%, recall 52,4%, AP50-95 42,2%) y el máximo de objetos correctos es del Gorillapod 0,5x (82 de 174 instancias visibles). Como la cantidad de objetos anunciados es el objetivo para la utilidad del sistema, el análisis principal compara el Gorillapod 0,5x contra cada alternativa en los mismos 33 grupos de captura.</w:t>
      </w:r>
    </w:p>
    <w:p>
      <w:r>
        <w:t>La comparación de lentes agrupando montajes tampoco es concluyente: F1 59,0% para 1x frente a 55,9% para 0,5x (diferencia pareada +3,1 puntos de F1, IC 95 % [-2,2; 8,9]). La vista amplia contiene 491 instancias visibles frente a 398 del 1x (+23,4 %) y recupera 229 correctas frente a 196 (+16,8 %): la ganancia en recuperación se paga con más falsas por fotograma y una F1 levemente menor.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45"/>
        <w:gridCol w:w="1368"/>
        <w:gridCol w:w="1440"/>
        <w:gridCol w:w="1152"/>
        <w:gridCol w:w="1512"/>
        <w:gridCol w:w="1152"/>
      </w:tblGrid>
      <w:tr>
        <w:trPr>
          <w:cantSplit/>
          <w:tblHeader/>
        </w:trPr>
        <w:tc>
          <w:tcPr>
            <w:tcW w:type="dxa" w:w="1505"/>
            <w:vAlign w:val="center"/>
          </w:tcPr>
          <w:p>
            <w:pPr>
              <w:spacing w:after="0" w:line="240" w:lineRule="auto"/>
              <w:jc w:val="center"/>
            </w:pPr>
            <w:r>
              <w:rPr>
                <w:b/>
                <w:color w:val="000000"/>
                <w:sz w:val="20"/>
              </w:rPr>
              <w:t>Alternativa</w:t>
            </w:r>
          </w:p>
        </w:tc>
        <w:tc>
          <w:tcPr>
            <w:tcW w:type="dxa" w:w="1505"/>
            <w:vAlign w:val="center"/>
          </w:tcPr>
          <w:p>
            <w:pPr>
              <w:spacing w:after="0" w:line="240" w:lineRule="auto"/>
              <w:jc w:val="center"/>
            </w:pPr>
            <w:r>
              <w:rPr>
                <w:b/>
                <w:color w:val="000000"/>
                <w:sz w:val="20"/>
              </w:rPr>
              <w:t>Escenas + / = / −</w:t>
            </w:r>
          </w:p>
        </w:tc>
        <w:tc>
          <w:tcPr>
            <w:tcW w:type="dxa" w:w="1505"/>
            <w:vAlign w:val="center"/>
          </w:tcPr>
          <w:p>
            <w:pPr>
              <w:spacing w:after="0" w:line="240" w:lineRule="auto"/>
              <w:jc w:val="center"/>
            </w:pPr>
            <w:r>
              <w:rPr>
                <w:b/>
                <w:color w:val="000000"/>
                <w:sz w:val="20"/>
              </w:rPr>
              <w:t>Ganancia total de objetos</w:t>
            </w:r>
          </w:p>
        </w:tc>
        <w:tc>
          <w:tcPr>
            <w:tcW w:type="dxa" w:w="1505"/>
            <w:vAlign w:val="center"/>
          </w:tcPr>
          <w:p>
            <w:pPr>
              <w:spacing w:after="0" w:line="240" w:lineRule="auto"/>
              <w:jc w:val="center"/>
            </w:pPr>
            <w:r>
              <w:rPr>
                <w:b/>
                <w:color w:val="000000"/>
                <w:sz w:val="20"/>
              </w:rPr>
              <w:t>Ganancia/escena</w:t>
            </w:r>
          </w:p>
        </w:tc>
        <w:tc>
          <w:tcPr>
            <w:tcW w:type="dxa" w:w="1505"/>
            <w:vAlign w:val="center"/>
          </w:tcPr>
          <w:p>
            <w:pPr>
              <w:spacing w:after="0" w:line="240" w:lineRule="auto"/>
              <w:jc w:val="center"/>
            </w:pPr>
            <w:r>
              <w:rPr>
                <w:b/>
                <w:color w:val="000000"/>
                <w:sz w:val="20"/>
              </w:rPr>
              <w:t>IC 95 % (bootstrap)</w:t>
            </w:r>
          </w:p>
        </w:tc>
        <w:tc>
          <w:tcPr>
            <w:tcW w:type="dxa" w:w="1505"/>
            <w:vAlign w:val="center"/>
          </w:tcPr>
          <w:p>
            <w:pPr>
              <w:spacing w:after="0" w:line="240" w:lineRule="auto"/>
              <w:jc w:val="center"/>
            </w:pPr>
            <w:r>
              <w:rPr>
                <w:b/>
                <w:color w:val="000000"/>
                <w:sz w:val="20"/>
              </w:rPr>
              <w:t>p (t pareada)</w:t>
            </w:r>
          </w:p>
        </w:tc>
      </w:tr>
      <w:tr>
        <w:trPr>
          <w:cantSplit/>
        </w:trPr>
        <w:tc>
          <w:tcPr>
            <w:tcW w:type="dxa" w:w="2045"/>
            <w:vAlign w:val="center"/>
          </w:tcPr>
          <w:p>
            <w:pPr>
              <w:spacing w:after="0" w:line="240" w:lineRule="auto"/>
              <w:jc w:val="center"/>
            </w:pPr>
            <w:r>
              <w:rPr>
                <w:b w:val="0"/>
                <w:color w:val="000000"/>
                <w:sz w:val="20"/>
              </w:rPr>
              <w:t>Arnés de cabeza 1x</w:t>
            </w:r>
          </w:p>
        </w:tc>
        <w:tc>
          <w:tcPr>
            <w:tcW w:type="dxa" w:w="1368"/>
            <w:vAlign w:val="center"/>
          </w:tcPr>
          <w:p>
            <w:pPr>
              <w:spacing w:after="0" w:line="240" w:lineRule="auto"/>
              <w:jc w:val="center"/>
            </w:pPr>
            <w:r>
              <w:rPr>
                <w:b w:val="0"/>
                <w:color w:val="000000"/>
                <w:sz w:val="20"/>
              </w:rPr>
              <w:t>19 / 9 / 5</w:t>
            </w:r>
          </w:p>
        </w:tc>
        <w:tc>
          <w:tcPr>
            <w:tcW w:type="dxa" w:w="1440"/>
            <w:vAlign w:val="center"/>
          </w:tcPr>
          <w:p>
            <w:pPr>
              <w:spacing w:after="0" w:line="240" w:lineRule="auto"/>
              <w:jc w:val="center"/>
            </w:pPr>
            <w:r>
              <w:rPr>
                <w:b w:val="0"/>
                <w:color w:val="000000"/>
                <w:sz w:val="20"/>
              </w:rPr>
              <w:t>+26</w:t>
            </w:r>
          </w:p>
        </w:tc>
        <w:tc>
          <w:tcPr>
            <w:tcW w:type="dxa" w:w="1152"/>
            <w:vAlign w:val="center"/>
          </w:tcPr>
          <w:p>
            <w:pPr>
              <w:spacing w:after="0" w:line="240" w:lineRule="auto"/>
              <w:jc w:val="center"/>
            </w:pPr>
            <w:r>
              <w:rPr>
                <w:b w:val="0"/>
                <w:color w:val="000000"/>
                <w:sz w:val="20"/>
              </w:rPr>
              <w:t>+0,788</w:t>
            </w:r>
          </w:p>
        </w:tc>
        <w:tc>
          <w:tcPr>
            <w:tcW w:type="dxa" w:w="1512"/>
            <w:vAlign w:val="center"/>
          </w:tcPr>
          <w:p>
            <w:pPr>
              <w:spacing w:after="0" w:line="240" w:lineRule="auto"/>
              <w:jc w:val="center"/>
            </w:pPr>
            <w:r>
              <w:rPr>
                <w:b w:val="0"/>
                <w:color w:val="000000"/>
                <w:sz w:val="20"/>
              </w:rPr>
              <w:t>[0,333, 1,273]</w:t>
            </w:r>
          </w:p>
        </w:tc>
        <w:tc>
          <w:tcPr>
            <w:tcW w:type="dxa" w:w="1152"/>
            <w:vAlign w:val="center"/>
          </w:tcPr>
          <w:p>
            <w:pPr>
              <w:spacing w:after="0" w:line="240" w:lineRule="auto"/>
              <w:jc w:val="center"/>
            </w:pPr>
            <w:r>
              <w:rPr>
                <w:b w:val="0"/>
                <w:color w:val="000000"/>
                <w:sz w:val="20"/>
              </w:rPr>
              <w:t>0,0023</w:t>
            </w:r>
          </w:p>
        </w:tc>
      </w:tr>
      <w:tr>
        <w:trPr>
          <w:cantSplit/>
        </w:trPr>
        <w:tc>
          <w:tcPr>
            <w:tcW w:type="dxa" w:w="2045"/>
            <w:vAlign w:val="center"/>
          </w:tcPr>
          <w:p>
            <w:pPr>
              <w:spacing w:after="0" w:line="240" w:lineRule="auto"/>
              <w:jc w:val="center"/>
            </w:pPr>
            <w:r>
              <w:rPr>
                <w:b w:val="0"/>
                <w:color w:val="000000"/>
                <w:sz w:val="20"/>
              </w:rPr>
              <w:t>Arnés de cabeza 0,5x</w:t>
            </w:r>
          </w:p>
        </w:tc>
        <w:tc>
          <w:tcPr>
            <w:tcW w:type="dxa" w:w="1368"/>
            <w:vAlign w:val="center"/>
          </w:tcPr>
          <w:p>
            <w:pPr>
              <w:spacing w:after="0" w:line="240" w:lineRule="auto"/>
              <w:jc w:val="center"/>
            </w:pPr>
            <w:r>
              <w:rPr>
                <w:b w:val="0"/>
                <w:color w:val="000000"/>
                <w:sz w:val="20"/>
              </w:rPr>
              <w:t>10 / 20 / 3</w:t>
            </w:r>
          </w:p>
        </w:tc>
        <w:tc>
          <w:tcPr>
            <w:tcW w:type="dxa" w:w="1440"/>
            <w:vAlign w:val="center"/>
          </w:tcPr>
          <w:p>
            <w:pPr>
              <w:spacing w:after="0" w:line="240" w:lineRule="auto"/>
              <w:jc w:val="center"/>
            </w:pPr>
            <w:r>
              <w:rPr>
                <w:b w:val="0"/>
                <w:color w:val="000000"/>
                <w:sz w:val="20"/>
              </w:rPr>
              <w:t>+12</w:t>
            </w:r>
          </w:p>
        </w:tc>
        <w:tc>
          <w:tcPr>
            <w:tcW w:type="dxa" w:w="1152"/>
            <w:vAlign w:val="center"/>
          </w:tcPr>
          <w:p>
            <w:pPr>
              <w:spacing w:after="0" w:line="240" w:lineRule="auto"/>
              <w:jc w:val="center"/>
            </w:pPr>
            <w:r>
              <w:rPr>
                <w:b w:val="0"/>
                <w:color w:val="000000"/>
                <w:sz w:val="20"/>
              </w:rPr>
              <w:t>+0,364</w:t>
            </w:r>
          </w:p>
        </w:tc>
        <w:tc>
          <w:tcPr>
            <w:tcW w:type="dxa" w:w="1512"/>
            <w:vAlign w:val="center"/>
          </w:tcPr>
          <w:p>
            <w:pPr>
              <w:spacing w:after="0" w:line="240" w:lineRule="auto"/>
              <w:jc w:val="center"/>
            </w:pPr>
            <w:r>
              <w:rPr>
                <w:b w:val="0"/>
                <w:color w:val="000000"/>
                <w:sz w:val="20"/>
              </w:rPr>
              <w:t>[0,091, 0,667]</w:t>
            </w:r>
          </w:p>
        </w:tc>
        <w:tc>
          <w:tcPr>
            <w:tcW w:type="dxa" w:w="1152"/>
            <w:vAlign w:val="center"/>
          </w:tcPr>
          <w:p>
            <w:pPr>
              <w:spacing w:after="0" w:line="240" w:lineRule="auto"/>
              <w:jc w:val="center"/>
            </w:pPr>
            <w:r>
              <w:rPr>
                <w:b w:val="0"/>
                <w:color w:val="000000"/>
                <w:sz w:val="20"/>
              </w:rPr>
              <w:t>0,0261</w:t>
            </w:r>
          </w:p>
        </w:tc>
      </w:tr>
      <w:tr>
        <w:trPr>
          <w:cantSplit/>
        </w:trPr>
        <w:tc>
          <w:tcPr>
            <w:tcW w:type="dxa" w:w="2045"/>
            <w:vAlign w:val="center"/>
          </w:tcPr>
          <w:p>
            <w:pPr>
              <w:spacing w:after="0" w:line="240" w:lineRule="auto"/>
              <w:jc w:val="center"/>
            </w:pPr>
            <w:r>
              <w:rPr>
                <w:b w:val="0"/>
                <w:color w:val="000000"/>
                <w:sz w:val="20"/>
              </w:rPr>
              <w:t>Arnés de pecho 1x</w:t>
            </w:r>
          </w:p>
        </w:tc>
        <w:tc>
          <w:tcPr>
            <w:tcW w:type="dxa" w:w="1368"/>
            <w:vAlign w:val="center"/>
          </w:tcPr>
          <w:p>
            <w:pPr>
              <w:spacing w:after="0" w:line="240" w:lineRule="auto"/>
              <w:jc w:val="center"/>
            </w:pPr>
            <w:r>
              <w:rPr>
                <w:b w:val="0"/>
                <w:color w:val="000000"/>
                <w:sz w:val="20"/>
              </w:rPr>
              <w:t>16 / 10 / 7</w:t>
            </w:r>
          </w:p>
        </w:tc>
        <w:tc>
          <w:tcPr>
            <w:tcW w:type="dxa" w:w="1440"/>
            <w:vAlign w:val="center"/>
          </w:tcPr>
          <w:p>
            <w:pPr>
              <w:spacing w:after="0" w:line="240" w:lineRule="auto"/>
              <w:jc w:val="center"/>
            </w:pPr>
            <w:r>
              <w:rPr>
                <w:b w:val="0"/>
                <w:color w:val="000000"/>
                <w:sz w:val="20"/>
              </w:rPr>
              <w:t>+17</w:t>
            </w:r>
          </w:p>
        </w:tc>
        <w:tc>
          <w:tcPr>
            <w:tcW w:type="dxa" w:w="1152"/>
            <w:vAlign w:val="center"/>
          </w:tcPr>
          <w:p>
            <w:pPr>
              <w:spacing w:after="0" w:line="240" w:lineRule="auto"/>
              <w:jc w:val="center"/>
            </w:pPr>
            <w:r>
              <w:rPr>
                <w:b w:val="0"/>
                <w:color w:val="000000"/>
                <w:sz w:val="20"/>
              </w:rPr>
              <w:t>+0,515</w:t>
            </w:r>
          </w:p>
        </w:tc>
        <w:tc>
          <w:tcPr>
            <w:tcW w:type="dxa" w:w="1512"/>
            <w:vAlign w:val="center"/>
          </w:tcPr>
          <w:p>
            <w:pPr>
              <w:spacing w:after="0" w:line="240" w:lineRule="auto"/>
              <w:jc w:val="center"/>
            </w:pPr>
            <w:r>
              <w:rPr>
                <w:b w:val="0"/>
                <w:color w:val="000000"/>
                <w:sz w:val="20"/>
              </w:rPr>
              <w:t>[0,121, 0,939]</w:t>
            </w:r>
          </w:p>
        </w:tc>
        <w:tc>
          <w:tcPr>
            <w:tcW w:type="dxa" w:w="1152"/>
            <w:vAlign w:val="center"/>
          </w:tcPr>
          <w:p>
            <w:pPr>
              <w:spacing w:after="0" w:line="240" w:lineRule="auto"/>
              <w:jc w:val="center"/>
            </w:pPr>
            <w:r>
              <w:rPr>
                <w:b w:val="0"/>
                <w:color w:val="000000"/>
                <w:sz w:val="20"/>
              </w:rPr>
              <w:t>0,0194</w:t>
            </w:r>
          </w:p>
        </w:tc>
      </w:tr>
      <w:tr>
        <w:trPr>
          <w:cantSplit/>
        </w:trPr>
        <w:tc>
          <w:tcPr>
            <w:tcW w:type="dxa" w:w="2045"/>
            <w:vAlign w:val="center"/>
          </w:tcPr>
          <w:p>
            <w:pPr>
              <w:spacing w:after="0" w:line="240" w:lineRule="auto"/>
              <w:jc w:val="center"/>
            </w:pPr>
            <w:r>
              <w:rPr>
                <w:b w:val="0"/>
                <w:color w:val="000000"/>
                <w:sz w:val="20"/>
              </w:rPr>
              <w:t>Arnés de pecho 0,5x</w:t>
            </w:r>
          </w:p>
        </w:tc>
        <w:tc>
          <w:tcPr>
            <w:tcW w:type="dxa" w:w="1368"/>
            <w:vAlign w:val="center"/>
          </w:tcPr>
          <w:p>
            <w:pPr>
              <w:spacing w:after="0" w:line="240" w:lineRule="auto"/>
              <w:jc w:val="center"/>
            </w:pPr>
            <w:r>
              <w:rPr>
                <w:b w:val="0"/>
                <w:color w:val="000000"/>
                <w:sz w:val="20"/>
              </w:rPr>
              <w:t>6 / 24 / 3</w:t>
            </w:r>
          </w:p>
        </w:tc>
        <w:tc>
          <w:tcPr>
            <w:tcW w:type="dxa" w:w="1440"/>
            <w:vAlign w:val="center"/>
          </w:tcPr>
          <w:p>
            <w:pPr>
              <w:spacing w:after="0" w:line="240" w:lineRule="auto"/>
              <w:jc w:val="center"/>
            </w:pPr>
            <w:r>
              <w:rPr>
                <w:b w:val="0"/>
                <w:color w:val="000000"/>
                <w:sz w:val="20"/>
              </w:rPr>
              <w:t>+5</w:t>
            </w:r>
          </w:p>
        </w:tc>
        <w:tc>
          <w:tcPr>
            <w:tcW w:type="dxa" w:w="1152"/>
            <w:vAlign w:val="center"/>
          </w:tcPr>
          <w:p>
            <w:pPr>
              <w:spacing w:after="0" w:line="240" w:lineRule="auto"/>
              <w:jc w:val="center"/>
            </w:pPr>
            <w:r>
              <w:rPr>
                <w:b w:val="0"/>
                <w:color w:val="000000"/>
                <w:sz w:val="20"/>
              </w:rPr>
              <w:t>+0,152</w:t>
            </w:r>
          </w:p>
        </w:tc>
        <w:tc>
          <w:tcPr>
            <w:tcW w:type="dxa" w:w="1512"/>
            <w:vAlign w:val="center"/>
          </w:tcPr>
          <w:p>
            <w:pPr>
              <w:spacing w:after="0" w:line="240" w:lineRule="auto"/>
              <w:jc w:val="center"/>
            </w:pPr>
            <w:r>
              <w:rPr>
                <w:b w:val="0"/>
                <w:color w:val="000000"/>
                <w:sz w:val="20"/>
              </w:rPr>
              <w:t>[-0,182, 0,515]</w:t>
            </w:r>
          </w:p>
        </w:tc>
        <w:tc>
          <w:tcPr>
            <w:tcW w:type="dxa" w:w="1152"/>
            <w:vAlign w:val="center"/>
          </w:tcPr>
          <w:p>
            <w:pPr>
              <w:spacing w:after="0" w:line="240" w:lineRule="auto"/>
              <w:jc w:val="center"/>
            </w:pPr>
            <w:r>
              <w:rPr>
                <w:b w:val="0"/>
                <w:color w:val="000000"/>
                <w:sz w:val="20"/>
              </w:rPr>
              <w:t>0,4056</w:t>
            </w:r>
          </w:p>
        </w:tc>
      </w:tr>
      <w:tr>
        <w:trPr>
          <w:cantSplit/>
        </w:trPr>
        <w:tc>
          <w:tcPr>
            <w:tcW w:type="dxa" w:w="2045"/>
            <w:vAlign w:val="center"/>
          </w:tcPr>
          <w:p>
            <w:pPr>
              <w:spacing w:after="0" w:line="240" w:lineRule="auto"/>
              <w:jc w:val="center"/>
            </w:pPr>
            <w:r>
              <w:rPr>
                <w:b w:val="0"/>
                <w:color w:val="000000"/>
                <w:sz w:val="20"/>
              </w:rPr>
              <w:t>Gorillapod 1x</w:t>
            </w:r>
          </w:p>
        </w:tc>
        <w:tc>
          <w:tcPr>
            <w:tcW w:type="dxa" w:w="1368"/>
            <w:vAlign w:val="center"/>
          </w:tcPr>
          <w:p>
            <w:pPr>
              <w:spacing w:after="0" w:line="240" w:lineRule="auto"/>
              <w:jc w:val="center"/>
            </w:pPr>
            <w:r>
              <w:rPr>
                <w:b w:val="0"/>
                <w:color w:val="000000"/>
                <w:sz w:val="20"/>
              </w:rPr>
              <w:t>11 / 17 / 5</w:t>
            </w:r>
          </w:p>
        </w:tc>
        <w:tc>
          <w:tcPr>
            <w:tcW w:type="dxa" w:w="1440"/>
            <w:vAlign w:val="center"/>
          </w:tcPr>
          <w:p>
            <w:pPr>
              <w:spacing w:after="0" w:line="240" w:lineRule="auto"/>
              <w:jc w:val="center"/>
            </w:pPr>
            <w:r>
              <w:rPr>
                <w:b w:val="0"/>
                <w:color w:val="000000"/>
                <w:sz w:val="20"/>
              </w:rPr>
              <w:t>+7</w:t>
            </w:r>
          </w:p>
        </w:tc>
        <w:tc>
          <w:tcPr>
            <w:tcW w:type="dxa" w:w="1152"/>
            <w:vAlign w:val="center"/>
          </w:tcPr>
          <w:p>
            <w:pPr>
              <w:spacing w:after="0" w:line="240" w:lineRule="auto"/>
              <w:jc w:val="center"/>
            </w:pPr>
            <w:r>
              <w:rPr>
                <w:b w:val="0"/>
                <w:color w:val="000000"/>
                <w:sz w:val="20"/>
              </w:rPr>
              <w:t>+0,212</w:t>
            </w:r>
          </w:p>
        </w:tc>
        <w:tc>
          <w:tcPr>
            <w:tcW w:type="dxa" w:w="1512"/>
            <w:vAlign w:val="center"/>
          </w:tcPr>
          <w:p>
            <w:pPr>
              <w:spacing w:after="0" w:line="240" w:lineRule="auto"/>
              <w:jc w:val="center"/>
            </w:pPr>
            <w:r>
              <w:rPr>
                <w:b w:val="0"/>
                <w:color w:val="000000"/>
                <w:sz w:val="20"/>
              </w:rPr>
              <w:t>[-0,242, 0,667]</w:t>
            </w:r>
          </w:p>
        </w:tc>
        <w:tc>
          <w:tcPr>
            <w:tcW w:type="dxa" w:w="1152"/>
            <w:vAlign w:val="center"/>
          </w:tcPr>
          <w:p>
            <w:pPr>
              <w:spacing w:after="0" w:line="240" w:lineRule="auto"/>
              <w:jc w:val="center"/>
            </w:pPr>
            <w:r>
              <w:rPr>
                <w:b w:val="0"/>
                <w:color w:val="000000"/>
                <w:sz w:val="20"/>
              </w:rPr>
              <w:t>0,3689</w:t>
            </w:r>
          </w:p>
        </w:tc>
      </w:tr>
    </w:tbl>
    <w:p/>
    <w:p>
      <w:pPr>
        <w:pStyle w:val="Caption"/>
      </w:pPr>
      <w:r>
        <w:t>Escenas + / = / − cuenta en cuántos de los 33 grupos el Gorillapod 0,5x detectó más, igual o menos objetos correctos que la alternativa. El IC proviene de un bootstrap percentil de 10 000 remuestreos pareados por grupos (semilla 20261013, sin corrección por comparaciones múltiples); p proviene de la prueba t pareada de objetos correctos por escena.</w:t>
      </w:r>
    </w:p>
    <w:p>
      <w:r>
        <w:t>Frente al arnés de pecho 1x la ventaja es de +0,515 objetos por escena (IC 95 % [0,121; 0,939]; p = 0,019), y frente al pecho 0,5x se reduce a +0,152 con un intervalo que incluye el cero (p = 0,406), de modo que esa ventaja no queda establecida. El conteo por escena alcanza el mejor resultado con detección no nula en 29 de 33 escenas, y el mejor conteo no nulo por escena en 20 de 33 (empates incluidos).</w:t>
      </w:r>
    </w:p>
    <w:p>
      <w:pPr>
        <w:jc w:val="center"/>
      </w:pPr>
      <w:r>
        <w:drawing>
          <wp:inline xmlns:a="http://schemas.openxmlformats.org/drawingml/2006/main" xmlns:pic="http://schemas.openxmlformats.org/drawingml/2006/picture">
            <wp:extent cx="4480560" cy="2520315"/>
            <wp:docPr id="2" name="Picture 2"/>
            <wp:cNvGraphicFramePr>
              <a:graphicFrameLocks noChangeAspect="1"/>
            </wp:cNvGraphicFramePr>
            <a:graphic>
              <a:graphicData uri="http://schemas.openxmlformats.org/drawingml/2006/picture">
                <pic:pic>
                  <pic:nvPicPr>
                    <pic:cNvPr id="0" name="boxplot_configuration.png"/>
                    <pic:cNvPicPr/>
                  </pic:nvPicPr>
                  <pic:blipFill>
                    <a:blip r:embed="rId10"/>
                    <a:stretch>
                      <a:fillRect/>
                    </a:stretch>
                  </pic:blipFill>
                  <pic:spPr>
                    <a:xfrm>
                      <a:off x="0" y="0"/>
                      <a:ext cx="4480560" cy="2520315"/>
                    </a:xfrm>
                    <a:prstGeom prst="rect"/>
                  </pic:spPr>
                </pic:pic>
              </a:graphicData>
            </a:graphic>
          </wp:inline>
        </w:drawing>
      </w:r>
    </w:p>
    <w:p>
      <w:pPr>
        <w:pStyle w:val="Caption"/>
      </w:pPr>
      <w:r>
        <w:t>Figura 4.2. Objetos detectados correctamente por fotografía en las seis configuraciones (detector, 33 fotografías por configuración).</w:t>
      </w:r>
    </w:p>
    <w:p>
      <w:r>
        <w:t>La elección definitiva depende del objetivo del sistema: para maximizar los objetos anunciados al usuario, el Gorillapod 0,5x es el candidato provisional; para maximizar el equilibrio precisión/recall por fotograma, el arnés de pecho 1x. En ambos casos los intervalos no descartan todas las alternativas, por lo que la confirmación en escenas nuevas forma parte del plan de validación (sección 4.6).</w:t>
      </w:r>
    </w:p>
    <w:p>
      <w:pPr>
        <w:pStyle w:val="Heading1"/>
      </w:pPr>
      <w:r>
        <w:t>4.4 Escenario 3: rango de profundidad de detección</w:t>
      </w:r>
    </w:p>
    <w:p>
      <w:r>
        <w:t>Para caracterizar el rango de profundidad útil del sistema se estima la distancia entre el objeto y la cámara para cada instancia anotada de las mismas 198 fotografías, sin capturas adicionales. El modelo estenopeico de la cámara entrega d ≈ f_px · H_cls / h_px, donde f_px es la distancia focal en píxeles —calculada del campo FocalLengthIn35mmFilm del EXIF (equivalente a 25 mm para el lente 1x y a 14 mm para el 0,5x; en 7 de las 198 fotografías el EXIF no coincide con lo previsto en el protocolo y se adoptó el valor del EXIF)—, h_px es la altura de la caja anotada en píxeles y H_cls es una altura de referencia fija por clase (persona 1,70 m; nevera 1,75 m; silla 0,90 m; sofá 0,85 m; inodoro 0,78 m; mesa de comedor 0,76 m; lavamanos 0,80 m; televisor 0,60 m; cama 0,60 m; computador portátil 0,25 m). Las distancias resultantes son aproximaciones, no mediciones, por lo que el análisis se reporta exclusivamente en bandas.</w:t>
      </w:r>
    </w:p>
    <w:p>
      <w:r>
        <w:t>La tabla siguiente resume el recall del detector por banda de distancia estimada agregando las seis configuraciones. "Recall" se calcula agrupando todas las instancias de la banda; "Media por grupo" y su IC 95 % ponderan por los 33 grupos de captura (bootstrap de 10 000 remuestreos, semilla 20261013).</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68"/>
        <w:gridCol w:w="1037"/>
        <w:gridCol w:w="1037"/>
        <w:gridCol w:w="864"/>
        <w:gridCol w:w="1224"/>
        <w:gridCol w:w="1584"/>
        <w:gridCol w:w="2160"/>
      </w:tblGrid>
      <w:tr>
        <w:trPr>
          <w:cantSplit/>
          <w:tblHeader/>
        </w:trPr>
        <w:tc>
          <w:tcPr>
            <w:tcW w:type="dxa" w:w="1290"/>
            <w:vAlign w:val="center"/>
          </w:tcPr>
          <w:p>
            <w:pPr>
              <w:spacing w:after="0" w:line="240" w:lineRule="auto"/>
              <w:jc w:val="center"/>
            </w:pPr>
            <w:r>
              <w:rPr>
                <w:b/>
                <w:color w:val="000000"/>
                <w:sz w:val="20"/>
              </w:rPr>
              <w:t>Banda de distancia</w:t>
            </w:r>
          </w:p>
        </w:tc>
        <w:tc>
          <w:tcPr>
            <w:tcW w:type="dxa" w:w="1290"/>
            <w:vAlign w:val="center"/>
          </w:tcPr>
          <w:p>
            <w:pPr>
              <w:spacing w:after="0" w:line="240" w:lineRule="auto"/>
              <w:jc w:val="center"/>
            </w:pPr>
            <w:r>
              <w:rPr>
                <w:b/>
                <w:color w:val="000000"/>
                <w:sz w:val="20"/>
              </w:rPr>
              <w:t>Instancias</w:t>
            </w:r>
          </w:p>
        </w:tc>
        <w:tc>
          <w:tcPr>
            <w:tcW w:type="dxa" w:w="1290"/>
            <w:vAlign w:val="center"/>
          </w:tcPr>
          <w:p>
            <w:pPr>
              <w:spacing w:after="0" w:line="240" w:lineRule="auto"/>
              <w:jc w:val="center"/>
            </w:pPr>
            <w:r>
              <w:rPr>
                <w:b/>
                <w:color w:val="000000"/>
                <w:sz w:val="20"/>
              </w:rPr>
              <w:t>Correctas</w:t>
            </w:r>
          </w:p>
        </w:tc>
        <w:tc>
          <w:tcPr>
            <w:tcW w:type="dxa" w:w="1290"/>
            <w:vAlign w:val="center"/>
          </w:tcPr>
          <w:p>
            <w:pPr>
              <w:spacing w:after="0" w:line="240" w:lineRule="auto"/>
              <w:jc w:val="center"/>
            </w:pPr>
            <w:r>
              <w:rPr>
                <w:b/>
                <w:color w:val="000000"/>
                <w:sz w:val="20"/>
              </w:rPr>
              <w:t>Recall</w:t>
            </w:r>
          </w:p>
        </w:tc>
        <w:tc>
          <w:tcPr>
            <w:tcW w:type="dxa" w:w="1290"/>
            <w:vAlign w:val="center"/>
          </w:tcPr>
          <w:p>
            <w:pPr>
              <w:spacing w:after="0" w:line="240" w:lineRule="auto"/>
              <w:jc w:val="center"/>
            </w:pPr>
            <w:r>
              <w:rPr>
                <w:b/>
                <w:color w:val="000000"/>
                <w:sz w:val="20"/>
              </w:rPr>
              <w:t>Media por grupo</w:t>
            </w:r>
          </w:p>
        </w:tc>
        <w:tc>
          <w:tcPr>
            <w:tcW w:type="dxa" w:w="1290"/>
            <w:vAlign w:val="center"/>
          </w:tcPr>
          <w:p>
            <w:pPr>
              <w:spacing w:after="0" w:line="240" w:lineRule="auto"/>
              <w:jc w:val="center"/>
            </w:pPr>
            <w:r>
              <w:rPr>
                <w:b/>
                <w:color w:val="000000"/>
                <w:sz w:val="20"/>
              </w:rPr>
              <w:t>IC 95 %</w:t>
            </w:r>
          </w:p>
        </w:tc>
        <w:tc>
          <w:tcPr>
            <w:tcW w:type="dxa" w:w="1290"/>
            <w:vAlign w:val="center"/>
          </w:tcPr>
          <w:p>
            <w:pPr>
              <w:spacing w:after="0" w:line="240" w:lineRule="auto"/>
              <w:jc w:val="center"/>
            </w:pPr>
            <w:r>
              <w:rPr>
                <w:b/>
                <w:color w:val="000000"/>
                <w:sz w:val="20"/>
              </w:rPr>
              <w:t>Clases dominantes</w:t>
            </w:r>
          </w:p>
        </w:tc>
      </w:tr>
      <w:tr>
        <w:trPr>
          <w:cantSplit/>
        </w:trPr>
        <w:tc>
          <w:tcPr>
            <w:tcW w:type="dxa" w:w="1368"/>
            <w:vAlign w:val="center"/>
          </w:tcPr>
          <w:p>
            <w:pPr>
              <w:spacing w:after="0" w:line="240" w:lineRule="auto"/>
              <w:jc w:val="center"/>
            </w:pPr>
            <w:r>
              <w:rPr>
                <w:b w:val="0"/>
                <w:color w:val="000000"/>
                <w:sz w:val="20"/>
              </w:rPr>
              <w:t>0,5-1,0 m</w:t>
            </w:r>
          </w:p>
        </w:tc>
        <w:tc>
          <w:tcPr>
            <w:tcW w:type="dxa" w:w="1037"/>
            <w:vAlign w:val="center"/>
          </w:tcPr>
          <w:p>
            <w:pPr>
              <w:spacing w:after="0" w:line="240" w:lineRule="auto"/>
              <w:jc w:val="center"/>
            </w:pPr>
            <w:r>
              <w:rPr>
                <w:b w:val="0"/>
                <w:color w:val="000000"/>
                <w:sz w:val="20"/>
              </w:rPr>
              <w:t>73</w:t>
            </w:r>
          </w:p>
        </w:tc>
        <w:tc>
          <w:tcPr>
            <w:tcW w:type="dxa" w:w="1037"/>
            <w:vAlign w:val="center"/>
          </w:tcPr>
          <w:p>
            <w:pPr>
              <w:spacing w:after="0" w:line="240" w:lineRule="auto"/>
              <w:jc w:val="center"/>
            </w:pPr>
            <w:r>
              <w:rPr>
                <w:b w:val="0"/>
                <w:color w:val="000000"/>
                <w:sz w:val="20"/>
              </w:rPr>
              <w:t>55</w:t>
            </w:r>
          </w:p>
        </w:tc>
        <w:tc>
          <w:tcPr>
            <w:tcW w:type="dxa" w:w="864"/>
            <w:vAlign w:val="center"/>
          </w:tcPr>
          <w:p>
            <w:pPr>
              <w:spacing w:after="0" w:line="240" w:lineRule="auto"/>
              <w:jc w:val="center"/>
            </w:pPr>
            <w:r>
              <w:rPr>
                <w:b w:val="0"/>
                <w:color w:val="000000"/>
                <w:sz w:val="20"/>
              </w:rPr>
              <w:t>75,3%</w:t>
            </w:r>
          </w:p>
        </w:tc>
        <w:tc>
          <w:tcPr>
            <w:tcW w:type="dxa" w:w="1224"/>
            <w:vAlign w:val="center"/>
          </w:tcPr>
          <w:p>
            <w:pPr>
              <w:spacing w:after="0" w:line="240" w:lineRule="auto"/>
              <w:jc w:val="center"/>
            </w:pPr>
            <w:r>
              <w:rPr>
                <w:b w:val="0"/>
                <w:color w:val="000000"/>
                <w:sz w:val="20"/>
              </w:rPr>
              <w:t>75,7%</w:t>
            </w:r>
          </w:p>
        </w:tc>
        <w:tc>
          <w:tcPr>
            <w:tcW w:type="dxa" w:w="1584"/>
            <w:vAlign w:val="center"/>
          </w:tcPr>
          <w:p>
            <w:pPr>
              <w:spacing w:after="0" w:line="240" w:lineRule="auto"/>
              <w:jc w:val="center"/>
            </w:pPr>
            <w:r>
              <w:rPr>
                <w:b w:val="0"/>
                <w:color w:val="000000"/>
                <w:sz w:val="20"/>
              </w:rPr>
              <w:t>[57,0%; 94,1%]</w:t>
            </w:r>
          </w:p>
        </w:tc>
        <w:tc>
          <w:tcPr>
            <w:tcW w:type="dxa" w:w="2160"/>
            <w:vAlign w:val="center"/>
          </w:tcPr>
          <w:p>
            <w:pPr>
              <w:spacing w:after="0" w:line="240" w:lineRule="auto"/>
              <w:jc w:val="center"/>
            </w:pPr>
            <w:r>
              <w:rPr>
                <w:b w:val="0"/>
                <w:color w:val="000000"/>
                <w:sz w:val="20"/>
              </w:rPr>
              <w:t>cama 52 %, portátil 18 %, silla 14 %</w:t>
            </w:r>
          </w:p>
        </w:tc>
      </w:tr>
      <w:tr>
        <w:trPr>
          <w:cantSplit/>
        </w:trPr>
        <w:tc>
          <w:tcPr>
            <w:tcW w:type="dxa" w:w="1368"/>
            <w:vAlign w:val="center"/>
          </w:tcPr>
          <w:p>
            <w:pPr>
              <w:spacing w:after="0" w:line="240" w:lineRule="auto"/>
              <w:jc w:val="center"/>
            </w:pPr>
            <w:r>
              <w:rPr>
                <w:b w:val="0"/>
                <w:color w:val="000000"/>
                <w:sz w:val="20"/>
              </w:rPr>
              <w:t>1,0-2,0 m</w:t>
            </w:r>
          </w:p>
        </w:tc>
        <w:tc>
          <w:tcPr>
            <w:tcW w:type="dxa" w:w="1037"/>
            <w:vAlign w:val="center"/>
          </w:tcPr>
          <w:p>
            <w:pPr>
              <w:spacing w:after="0" w:line="240" w:lineRule="auto"/>
              <w:jc w:val="center"/>
            </w:pPr>
            <w:r>
              <w:rPr>
                <w:b w:val="0"/>
                <w:color w:val="000000"/>
                <w:sz w:val="20"/>
              </w:rPr>
              <w:t>160</w:t>
            </w:r>
          </w:p>
        </w:tc>
        <w:tc>
          <w:tcPr>
            <w:tcW w:type="dxa" w:w="1037"/>
            <w:vAlign w:val="center"/>
          </w:tcPr>
          <w:p>
            <w:pPr>
              <w:spacing w:after="0" w:line="240" w:lineRule="auto"/>
              <w:jc w:val="center"/>
            </w:pPr>
            <w:r>
              <w:rPr>
                <w:b w:val="0"/>
                <w:color w:val="000000"/>
                <w:sz w:val="20"/>
              </w:rPr>
              <w:t>106</w:t>
            </w:r>
          </w:p>
        </w:tc>
        <w:tc>
          <w:tcPr>
            <w:tcW w:type="dxa" w:w="864"/>
            <w:vAlign w:val="center"/>
          </w:tcPr>
          <w:p>
            <w:pPr>
              <w:spacing w:after="0" w:line="240" w:lineRule="auto"/>
              <w:jc w:val="center"/>
            </w:pPr>
            <w:r>
              <w:rPr>
                <w:b w:val="0"/>
                <w:color w:val="000000"/>
                <w:sz w:val="20"/>
              </w:rPr>
              <w:t>66,2%</w:t>
            </w:r>
          </w:p>
        </w:tc>
        <w:tc>
          <w:tcPr>
            <w:tcW w:type="dxa" w:w="1224"/>
            <w:vAlign w:val="center"/>
          </w:tcPr>
          <w:p>
            <w:pPr>
              <w:spacing w:after="0" w:line="240" w:lineRule="auto"/>
              <w:jc w:val="center"/>
            </w:pPr>
            <w:r>
              <w:rPr>
                <w:b w:val="0"/>
                <w:color w:val="000000"/>
                <w:sz w:val="20"/>
              </w:rPr>
              <w:t>66,6%</w:t>
            </w:r>
          </w:p>
        </w:tc>
        <w:tc>
          <w:tcPr>
            <w:tcW w:type="dxa" w:w="1584"/>
            <w:vAlign w:val="center"/>
          </w:tcPr>
          <w:p>
            <w:pPr>
              <w:spacing w:after="0" w:line="240" w:lineRule="auto"/>
              <w:jc w:val="center"/>
            </w:pPr>
            <w:r>
              <w:rPr>
                <w:b w:val="0"/>
                <w:color w:val="000000"/>
                <w:sz w:val="20"/>
              </w:rPr>
              <w:t>[54,7%; 78,4%]</w:t>
            </w:r>
          </w:p>
        </w:tc>
        <w:tc>
          <w:tcPr>
            <w:tcW w:type="dxa" w:w="2160"/>
            <w:vAlign w:val="center"/>
          </w:tcPr>
          <w:p>
            <w:pPr>
              <w:spacing w:after="0" w:line="240" w:lineRule="auto"/>
              <w:jc w:val="center"/>
            </w:pPr>
            <w:r>
              <w:rPr>
                <w:b w:val="0"/>
                <w:color w:val="000000"/>
                <w:sz w:val="20"/>
              </w:rPr>
              <w:t>silla 41 %, inodoro 12 %, portátil 11 %</w:t>
            </w:r>
          </w:p>
        </w:tc>
      </w:tr>
      <w:tr>
        <w:trPr>
          <w:cantSplit/>
        </w:trPr>
        <w:tc>
          <w:tcPr>
            <w:tcW w:type="dxa" w:w="1368"/>
            <w:vAlign w:val="center"/>
          </w:tcPr>
          <w:p>
            <w:pPr>
              <w:spacing w:after="0" w:line="240" w:lineRule="auto"/>
              <w:jc w:val="center"/>
            </w:pPr>
            <w:r>
              <w:rPr>
                <w:b w:val="0"/>
                <w:color w:val="000000"/>
                <w:sz w:val="20"/>
              </w:rPr>
              <w:t>2,0-3,0 m</w:t>
            </w:r>
          </w:p>
        </w:tc>
        <w:tc>
          <w:tcPr>
            <w:tcW w:type="dxa" w:w="1037"/>
            <w:vAlign w:val="center"/>
          </w:tcPr>
          <w:p>
            <w:pPr>
              <w:spacing w:after="0" w:line="240" w:lineRule="auto"/>
              <w:jc w:val="center"/>
            </w:pPr>
            <w:r>
              <w:rPr>
                <w:b w:val="0"/>
                <w:color w:val="000000"/>
                <w:sz w:val="20"/>
              </w:rPr>
              <w:t>120</w:t>
            </w:r>
          </w:p>
        </w:tc>
        <w:tc>
          <w:tcPr>
            <w:tcW w:type="dxa" w:w="1037"/>
            <w:vAlign w:val="center"/>
          </w:tcPr>
          <w:p>
            <w:pPr>
              <w:spacing w:after="0" w:line="240" w:lineRule="auto"/>
              <w:jc w:val="center"/>
            </w:pPr>
            <w:r>
              <w:rPr>
                <w:b w:val="0"/>
                <w:color w:val="000000"/>
                <w:sz w:val="20"/>
              </w:rPr>
              <w:t>75</w:t>
            </w:r>
          </w:p>
        </w:tc>
        <w:tc>
          <w:tcPr>
            <w:tcW w:type="dxa" w:w="864"/>
            <w:vAlign w:val="center"/>
          </w:tcPr>
          <w:p>
            <w:pPr>
              <w:spacing w:after="0" w:line="240" w:lineRule="auto"/>
              <w:jc w:val="center"/>
            </w:pPr>
            <w:r>
              <w:rPr>
                <w:b w:val="0"/>
                <w:color w:val="000000"/>
                <w:sz w:val="20"/>
              </w:rPr>
              <w:t>62,5%</w:t>
            </w:r>
          </w:p>
        </w:tc>
        <w:tc>
          <w:tcPr>
            <w:tcW w:type="dxa" w:w="1224"/>
            <w:vAlign w:val="center"/>
          </w:tcPr>
          <w:p>
            <w:pPr>
              <w:spacing w:after="0" w:line="240" w:lineRule="auto"/>
              <w:jc w:val="center"/>
            </w:pPr>
            <w:r>
              <w:rPr>
                <w:b w:val="0"/>
                <w:color w:val="000000"/>
                <w:sz w:val="20"/>
              </w:rPr>
              <w:t>62,3%</w:t>
            </w:r>
          </w:p>
        </w:tc>
        <w:tc>
          <w:tcPr>
            <w:tcW w:type="dxa" w:w="1584"/>
            <w:vAlign w:val="center"/>
          </w:tcPr>
          <w:p>
            <w:pPr>
              <w:spacing w:after="0" w:line="240" w:lineRule="auto"/>
              <w:jc w:val="center"/>
            </w:pPr>
            <w:r>
              <w:rPr>
                <w:b w:val="0"/>
                <w:color w:val="000000"/>
                <w:sz w:val="20"/>
              </w:rPr>
              <w:t>[50,0%; 73,4%]</w:t>
            </w:r>
          </w:p>
        </w:tc>
        <w:tc>
          <w:tcPr>
            <w:tcW w:type="dxa" w:w="2160"/>
            <w:vAlign w:val="center"/>
          </w:tcPr>
          <w:p>
            <w:pPr>
              <w:spacing w:after="0" w:line="240" w:lineRule="auto"/>
              <w:jc w:val="center"/>
            </w:pPr>
            <w:r>
              <w:rPr>
                <w:b w:val="0"/>
                <w:color w:val="000000"/>
                <w:sz w:val="20"/>
              </w:rPr>
              <w:t>silla 53 %, mesa 23 %, inodoro 7 %</w:t>
            </w:r>
          </w:p>
        </w:tc>
      </w:tr>
      <w:tr>
        <w:trPr>
          <w:cantSplit/>
        </w:trPr>
        <w:tc>
          <w:tcPr>
            <w:tcW w:type="dxa" w:w="1368"/>
            <w:vAlign w:val="center"/>
          </w:tcPr>
          <w:p>
            <w:pPr>
              <w:spacing w:after="0" w:line="240" w:lineRule="auto"/>
              <w:jc w:val="center"/>
            </w:pPr>
            <w:r>
              <w:rPr>
                <w:b w:val="0"/>
                <w:color w:val="000000"/>
                <w:sz w:val="20"/>
              </w:rPr>
              <w:t>3,0-4,0 m</w:t>
            </w:r>
          </w:p>
        </w:tc>
        <w:tc>
          <w:tcPr>
            <w:tcW w:type="dxa" w:w="1037"/>
            <w:vAlign w:val="center"/>
          </w:tcPr>
          <w:p>
            <w:pPr>
              <w:spacing w:after="0" w:line="240" w:lineRule="auto"/>
              <w:jc w:val="center"/>
            </w:pPr>
            <w:r>
              <w:rPr>
                <w:b w:val="0"/>
                <w:color w:val="000000"/>
                <w:sz w:val="20"/>
              </w:rPr>
              <w:t>143</w:t>
            </w:r>
          </w:p>
        </w:tc>
        <w:tc>
          <w:tcPr>
            <w:tcW w:type="dxa" w:w="1037"/>
            <w:vAlign w:val="center"/>
          </w:tcPr>
          <w:p>
            <w:pPr>
              <w:spacing w:after="0" w:line="240" w:lineRule="auto"/>
              <w:jc w:val="center"/>
            </w:pPr>
            <w:r>
              <w:rPr>
                <w:b w:val="0"/>
                <w:color w:val="000000"/>
                <w:sz w:val="20"/>
              </w:rPr>
              <w:t>89</w:t>
            </w:r>
          </w:p>
        </w:tc>
        <w:tc>
          <w:tcPr>
            <w:tcW w:type="dxa" w:w="864"/>
            <w:vAlign w:val="center"/>
          </w:tcPr>
          <w:p>
            <w:pPr>
              <w:spacing w:after="0" w:line="240" w:lineRule="auto"/>
              <w:jc w:val="center"/>
            </w:pPr>
            <w:r>
              <w:rPr>
                <w:b w:val="0"/>
                <w:color w:val="000000"/>
                <w:sz w:val="20"/>
              </w:rPr>
              <w:t>62,2%</w:t>
            </w:r>
          </w:p>
        </w:tc>
        <w:tc>
          <w:tcPr>
            <w:tcW w:type="dxa" w:w="1224"/>
            <w:vAlign w:val="center"/>
          </w:tcPr>
          <w:p>
            <w:pPr>
              <w:spacing w:after="0" w:line="240" w:lineRule="auto"/>
              <w:jc w:val="center"/>
            </w:pPr>
            <w:r>
              <w:rPr>
                <w:b w:val="0"/>
                <w:color w:val="000000"/>
                <w:sz w:val="20"/>
              </w:rPr>
              <w:t>62,6%</w:t>
            </w:r>
          </w:p>
        </w:tc>
        <w:tc>
          <w:tcPr>
            <w:tcW w:type="dxa" w:w="1584"/>
            <w:vAlign w:val="center"/>
          </w:tcPr>
          <w:p>
            <w:pPr>
              <w:spacing w:after="0" w:line="240" w:lineRule="auto"/>
              <w:jc w:val="center"/>
            </w:pPr>
            <w:r>
              <w:rPr>
                <w:b w:val="0"/>
                <w:color w:val="000000"/>
                <w:sz w:val="20"/>
              </w:rPr>
              <w:t>[45,9%; 76,2%]</w:t>
            </w:r>
          </w:p>
        </w:tc>
        <w:tc>
          <w:tcPr>
            <w:tcW w:type="dxa" w:w="2160"/>
            <w:vAlign w:val="center"/>
          </w:tcPr>
          <w:p>
            <w:pPr>
              <w:spacing w:after="0" w:line="240" w:lineRule="auto"/>
              <w:jc w:val="center"/>
            </w:pPr>
            <w:r>
              <w:rPr>
                <w:b w:val="0"/>
                <w:color w:val="000000"/>
                <w:sz w:val="20"/>
              </w:rPr>
              <w:t>silla 59 %, televisor 13 %, mesa 10 %</w:t>
            </w:r>
          </w:p>
        </w:tc>
      </w:tr>
      <w:tr>
        <w:trPr>
          <w:cantSplit/>
        </w:trPr>
        <w:tc>
          <w:tcPr>
            <w:tcW w:type="dxa" w:w="1368"/>
            <w:vAlign w:val="center"/>
          </w:tcPr>
          <w:p>
            <w:pPr>
              <w:spacing w:after="0" w:line="240" w:lineRule="auto"/>
              <w:jc w:val="center"/>
            </w:pPr>
            <w:r>
              <w:rPr>
                <w:b w:val="0"/>
                <w:color w:val="000000"/>
                <w:sz w:val="20"/>
              </w:rPr>
              <w:t>4,0-6,0 m</w:t>
            </w:r>
          </w:p>
        </w:tc>
        <w:tc>
          <w:tcPr>
            <w:tcW w:type="dxa" w:w="1037"/>
            <w:vAlign w:val="center"/>
          </w:tcPr>
          <w:p>
            <w:pPr>
              <w:spacing w:after="0" w:line="240" w:lineRule="auto"/>
              <w:jc w:val="center"/>
            </w:pPr>
            <w:r>
              <w:rPr>
                <w:b w:val="0"/>
                <w:color w:val="000000"/>
                <w:sz w:val="20"/>
              </w:rPr>
              <w:t>142</w:t>
            </w:r>
          </w:p>
        </w:tc>
        <w:tc>
          <w:tcPr>
            <w:tcW w:type="dxa" w:w="1037"/>
            <w:vAlign w:val="center"/>
          </w:tcPr>
          <w:p>
            <w:pPr>
              <w:spacing w:after="0" w:line="240" w:lineRule="auto"/>
              <w:jc w:val="center"/>
            </w:pPr>
            <w:r>
              <w:rPr>
                <w:b w:val="0"/>
                <w:color w:val="000000"/>
                <w:sz w:val="20"/>
              </w:rPr>
              <w:t>52</w:t>
            </w:r>
          </w:p>
        </w:tc>
        <w:tc>
          <w:tcPr>
            <w:tcW w:type="dxa" w:w="864"/>
            <w:vAlign w:val="center"/>
          </w:tcPr>
          <w:p>
            <w:pPr>
              <w:spacing w:after="0" w:line="240" w:lineRule="auto"/>
              <w:jc w:val="center"/>
            </w:pPr>
            <w:r>
              <w:rPr>
                <w:b w:val="0"/>
                <w:color w:val="000000"/>
                <w:sz w:val="20"/>
              </w:rPr>
              <w:t>36,6%</w:t>
            </w:r>
          </w:p>
        </w:tc>
        <w:tc>
          <w:tcPr>
            <w:tcW w:type="dxa" w:w="1224"/>
            <w:vAlign w:val="center"/>
          </w:tcPr>
          <w:p>
            <w:pPr>
              <w:spacing w:after="0" w:line="240" w:lineRule="auto"/>
              <w:jc w:val="center"/>
            </w:pPr>
            <w:r>
              <w:rPr>
                <w:b w:val="0"/>
                <w:color w:val="000000"/>
                <w:sz w:val="20"/>
              </w:rPr>
              <w:t>36,4%</w:t>
            </w:r>
          </w:p>
        </w:tc>
        <w:tc>
          <w:tcPr>
            <w:tcW w:type="dxa" w:w="1584"/>
            <w:vAlign w:val="center"/>
          </w:tcPr>
          <w:p>
            <w:pPr>
              <w:spacing w:after="0" w:line="240" w:lineRule="auto"/>
              <w:jc w:val="center"/>
            </w:pPr>
            <w:r>
              <w:rPr>
                <w:b w:val="0"/>
                <w:color w:val="000000"/>
                <w:sz w:val="20"/>
              </w:rPr>
              <w:t>[25,0%; 48,1%]</w:t>
            </w:r>
          </w:p>
        </w:tc>
        <w:tc>
          <w:tcPr>
            <w:tcW w:type="dxa" w:w="2160"/>
            <w:vAlign w:val="center"/>
          </w:tcPr>
          <w:p>
            <w:pPr>
              <w:spacing w:after="0" w:line="240" w:lineRule="auto"/>
              <w:jc w:val="center"/>
            </w:pPr>
            <w:r>
              <w:rPr>
                <w:b w:val="0"/>
                <w:color w:val="000000"/>
                <w:sz w:val="20"/>
              </w:rPr>
              <w:t>silla 58 %, televisor 14 %, mesa 12 %</w:t>
            </w:r>
          </w:p>
        </w:tc>
      </w:tr>
      <w:tr>
        <w:trPr>
          <w:cantSplit/>
        </w:trPr>
        <w:tc>
          <w:tcPr>
            <w:tcW w:type="dxa" w:w="1368"/>
            <w:vAlign w:val="center"/>
          </w:tcPr>
          <w:p>
            <w:pPr>
              <w:spacing w:after="0" w:line="240" w:lineRule="auto"/>
              <w:jc w:val="center"/>
            </w:pPr>
            <w:r>
              <w:rPr>
                <w:b w:val="0"/>
                <w:color w:val="000000"/>
                <w:sz w:val="20"/>
              </w:rPr>
              <w:t>6,0+ m</w:t>
            </w:r>
          </w:p>
        </w:tc>
        <w:tc>
          <w:tcPr>
            <w:tcW w:type="dxa" w:w="1037"/>
            <w:vAlign w:val="center"/>
          </w:tcPr>
          <w:p>
            <w:pPr>
              <w:spacing w:after="0" w:line="240" w:lineRule="auto"/>
              <w:jc w:val="center"/>
            </w:pPr>
            <w:r>
              <w:rPr>
                <w:b w:val="0"/>
                <w:color w:val="000000"/>
                <w:sz w:val="20"/>
              </w:rPr>
              <w:t>245</w:t>
            </w:r>
          </w:p>
        </w:tc>
        <w:tc>
          <w:tcPr>
            <w:tcW w:type="dxa" w:w="1037"/>
            <w:vAlign w:val="center"/>
          </w:tcPr>
          <w:p>
            <w:pPr>
              <w:spacing w:after="0" w:line="240" w:lineRule="auto"/>
              <w:jc w:val="center"/>
            </w:pPr>
            <w:r>
              <w:rPr>
                <w:b w:val="0"/>
                <w:color w:val="000000"/>
                <w:sz w:val="20"/>
              </w:rPr>
              <w:t>43</w:t>
            </w:r>
          </w:p>
        </w:tc>
        <w:tc>
          <w:tcPr>
            <w:tcW w:type="dxa" w:w="864"/>
            <w:vAlign w:val="center"/>
          </w:tcPr>
          <w:p>
            <w:pPr>
              <w:spacing w:after="0" w:line="240" w:lineRule="auto"/>
              <w:jc w:val="center"/>
            </w:pPr>
            <w:r>
              <w:rPr>
                <w:b w:val="0"/>
                <w:color w:val="000000"/>
                <w:sz w:val="20"/>
              </w:rPr>
              <w:t>17,6%</w:t>
            </w:r>
          </w:p>
        </w:tc>
        <w:tc>
          <w:tcPr>
            <w:tcW w:type="dxa" w:w="1224"/>
            <w:vAlign w:val="center"/>
          </w:tcPr>
          <w:p>
            <w:pPr>
              <w:spacing w:after="0" w:line="240" w:lineRule="auto"/>
              <w:jc w:val="center"/>
            </w:pPr>
            <w:r>
              <w:rPr>
                <w:b w:val="0"/>
                <w:color w:val="000000"/>
                <w:sz w:val="20"/>
              </w:rPr>
              <w:t>16,5%</w:t>
            </w:r>
          </w:p>
        </w:tc>
        <w:tc>
          <w:tcPr>
            <w:tcW w:type="dxa" w:w="1584"/>
            <w:vAlign w:val="center"/>
          </w:tcPr>
          <w:p>
            <w:pPr>
              <w:spacing w:after="0" w:line="240" w:lineRule="auto"/>
              <w:jc w:val="center"/>
            </w:pPr>
            <w:r>
              <w:rPr>
                <w:b w:val="0"/>
                <w:color w:val="000000"/>
                <w:sz w:val="20"/>
              </w:rPr>
              <w:t>[7,9%; 21,4%]</w:t>
            </w:r>
          </w:p>
        </w:tc>
        <w:tc>
          <w:tcPr>
            <w:tcW w:type="dxa" w:w="2160"/>
            <w:vAlign w:val="center"/>
          </w:tcPr>
          <w:p>
            <w:pPr>
              <w:spacing w:after="0" w:line="240" w:lineRule="auto"/>
              <w:jc w:val="center"/>
            </w:pPr>
            <w:r>
              <w:rPr>
                <w:b w:val="0"/>
                <w:color w:val="000000"/>
                <w:sz w:val="20"/>
              </w:rPr>
              <w:t>silla 53 %, lavamanos 15 %, persona 13 %</w:t>
            </w:r>
          </w:p>
        </w:tc>
      </w:tr>
    </w:tbl>
    <w:p/>
    <w:p>
      <w:pPr>
        <w:pStyle w:val="Caption"/>
      </w:pPr>
      <w:r>
        <w:t>Detector: confianza 0,30, IoU ≥ 0,50 y coincidencia de clase. Las clases dominantes muestran la proporción de la banda que ocupan las tres clases más frecuentes: la mezcla de clases cambia con la distancia, de modo que profundidad y clase están parcialmente confundidas.</w:t>
      </w:r>
    </w:p>
    <w:p>
      <w:pPr>
        <w:jc w:val="center"/>
      </w:pPr>
      <w:r>
        <w:drawing>
          <wp:inline xmlns:a="http://schemas.openxmlformats.org/drawingml/2006/main" xmlns:pic="http://schemas.openxmlformats.org/drawingml/2006/picture">
            <wp:extent cx="4480560" cy="2880360"/>
            <wp:docPr id="3" name="Picture 3"/>
            <wp:cNvGraphicFramePr>
              <a:graphicFrameLocks noChangeAspect="1"/>
            </wp:cNvGraphicFramePr>
            <a:graphic>
              <a:graphicData uri="http://schemas.openxmlformats.org/drawingml/2006/picture">
                <pic:pic>
                  <pic:nvPicPr>
                    <pic:cNvPr id="0" name="depth_recall.png"/>
                    <pic:cNvPicPr/>
                  </pic:nvPicPr>
                  <pic:blipFill>
                    <a:blip r:embed="rId11"/>
                    <a:stretch>
                      <a:fillRect/>
                    </a:stretch>
                  </pic:blipFill>
                  <pic:spPr>
                    <a:xfrm>
                      <a:off x="0" y="0"/>
                      <a:ext cx="4480560" cy="2880360"/>
                    </a:xfrm>
                    <a:prstGeom prst="rect"/>
                  </pic:spPr>
                </pic:pic>
              </a:graphicData>
            </a:graphic>
          </wp:inline>
        </w:drawing>
      </w:r>
    </w:p>
    <w:p>
      <w:pPr>
        <w:pStyle w:val="Caption"/>
      </w:pPr>
      <w:r>
        <w:t>Figura 4.3. Recall del detector por banda de distancia estimada objeto-cámara, agrupado sobre las seis configuraciones. Barras de error: IC 95 % por bootstrap de grupos de captura.</w:t>
      </w:r>
    </w:p>
    <w:p>
      <w:r>
        <w:t>El recall se mantiene entre 60 % y 75 % hasta aproximadamente 4 m (bandas 0,5-1 m: 75,3%; 1-2 m: 66,2%; 2-3 m: 62,5%; 3-4 m: 62,2%), cae a 36,6% en 4-6 m y colapsa a 17,6% a partir de 6 m. Bajo un criterio operativo de recall ≥ 50 % con al menos 30 instancias anotadas por banda, el rango de detección sugerido para el prototipo es de unos 4 metros: los objetos más lejanos deberían presentarse al usuario con baja confianza o quedar fuera del alcance del asistente.</w:t>
      </w:r>
    </w:p>
    <w:p>
      <w:r>
        <w:t>Entre posiciones también hay matices en las bandas lejanas: a más de 6 m, el Gorillapod 1x preserva el mejor recall (26,7% con 45 instancias) frente a 16,3% del arnés de cabeza y 21,2% del de pecho; y el ultra gran angular pierde algo más a distancia (Gorillapod 0,5x: 6,8%). Como en las bandas lejanas dominan sillas, mesas y lavamanos vistos de lejos, ese margen es únicamente exploratorio.</w:t>
      </w:r>
    </w:p>
    <w:p>
      <w:r>
        <w:t>Tres limitaciones condicionan esta conclusión. Primero, la incertidumbre de la altura de referencia por clase es proporcional (~±30 %), de manera que una instancia puede desplazarse una banda. Segundo, los objetos parcialmente ocultos pierden altura visible en la caja, lo que sobreestima su distancia. Tercero, la mezcla de clases cambia con la distancia (las bandas cercanas concentran camas y computadores; las lejanas, sillas), por lo que el recall por banda mezcla profundidad con dificultad por clase. El resultado debe entenderse como una guía operacional del prototipo —priorizar objetos a menos de ~4 m— y no como una caracterización del sensor; su adopción como restricción de producto requiere validación con distancias medidas en escenas nuevas.</w:t>
      </w:r>
    </w:p>
    <w:p>
      <w:pPr>
        <w:pStyle w:val="Heading1"/>
      </w:pPr>
      <w:r>
        <w:t>4.5 Métricas complementarias con métodos bioinspirados</w:t>
      </w:r>
    </w:p>
    <w:p>
      <w:r>
        <w:t>Los detectores evaluados son métodos bioinspirados: redes neuronales convolucionales de una sola pasada cuyo procesamiento jerárquico de la imagen imita los estadios de la corteza visual. Como métricas complementarias al conteo bruto de objetos se reportan, por configuración, la media de objetos visibles y correctos por fotografía, el recall, la precisión, la F1 y las métricas COCO AP50/AP50-95, además de las métricas de la lista de anuncios con el límite de dos objetos.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01"/>
        <w:gridCol w:w="1037"/>
        <w:gridCol w:w="1080"/>
        <w:gridCol w:w="792"/>
        <w:gridCol w:w="864"/>
        <w:gridCol w:w="648"/>
        <w:gridCol w:w="1440"/>
        <w:gridCol w:w="936"/>
        <w:gridCol w:w="936"/>
      </w:tblGrid>
      <w:tr>
        <w:trPr>
          <w:cantSplit/>
          <w:tblHeader/>
        </w:trPr>
        <w:tc>
          <w:tcPr>
            <w:tcW w:type="dxa" w:w="1003"/>
            <w:vAlign w:val="center"/>
          </w:tcPr>
          <w:p>
            <w:pPr>
              <w:spacing w:after="0" w:line="240" w:lineRule="auto"/>
              <w:jc w:val="center"/>
            </w:pPr>
            <w:r>
              <w:rPr>
                <w:b/>
                <w:color w:val="000000"/>
                <w:sz w:val="20"/>
              </w:rPr>
              <w:t>Configuración</w:t>
            </w:r>
          </w:p>
        </w:tc>
        <w:tc>
          <w:tcPr>
            <w:tcW w:type="dxa" w:w="1003"/>
            <w:vAlign w:val="center"/>
          </w:tcPr>
          <w:p>
            <w:pPr>
              <w:spacing w:after="0" w:line="240" w:lineRule="auto"/>
              <w:jc w:val="center"/>
            </w:pPr>
            <w:r>
              <w:rPr>
                <w:b/>
                <w:color w:val="000000"/>
                <w:sz w:val="20"/>
              </w:rPr>
              <w:t>Visibles/foto</w:t>
            </w:r>
          </w:p>
        </w:tc>
        <w:tc>
          <w:tcPr>
            <w:tcW w:type="dxa" w:w="1003"/>
            <w:vAlign w:val="center"/>
          </w:tcPr>
          <w:p>
            <w:pPr>
              <w:spacing w:after="0" w:line="240" w:lineRule="auto"/>
              <w:jc w:val="center"/>
            </w:pPr>
            <w:r>
              <w:rPr>
                <w:b/>
                <w:color w:val="000000"/>
                <w:sz w:val="20"/>
              </w:rPr>
              <w:t>Correctas/foto</w:t>
            </w:r>
          </w:p>
        </w:tc>
        <w:tc>
          <w:tcPr>
            <w:tcW w:type="dxa" w:w="1003"/>
            <w:vAlign w:val="center"/>
          </w:tcPr>
          <w:p>
            <w:pPr>
              <w:spacing w:after="0" w:line="240" w:lineRule="auto"/>
              <w:jc w:val="center"/>
            </w:pPr>
            <w:r>
              <w:rPr>
                <w:b/>
                <w:color w:val="000000"/>
                <w:sz w:val="20"/>
              </w:rPr>
              <w:t>Recall</w:t>
            </w:r>
          </w:p>
        </w:tc>
        <w:tc>
          <w:tcPr>
            <w:tcW w:type="dxa" w:w="1003"/>
            <w:vAlign w:val="center"/>
          </w:tcPr>
          <w:p>
            <w:pPr>
              <w:spacing w:after="0" w:line="240" w:lineRule="auto"/>
              <w:jc w:val="center"/>
            </w:pPr>
            <w:r>
              <w:rPr>
                <w:b/>
                <w:color w:val="000000"/>
                <w:sz w:val="20"/>
              </w:rPr>
              <w:t>Precisión</w:t>
            </w:r>
          </w:p>
        </w:tc>
        <w:tc>
          <w:tcPr>
            <w:tcW w:type="dxa" w:w="1003"/>
            <w:vAlign w:val="center"/>
          </w:tcPr>
          <w:p>
            <w:pPr>
              <w:spacing w:after="0" w:line="240" w:lineRule="auto"/>
              <w:jc w:val="center"/>
            </w:pPr>
            <w:r>
              <w:rPr>
                <w:b/>
                <w:color w:val="000000"/>
                <w:sz w:val="20"/>
              </w:rPr>
              <w:t>F1</w:t>
            </w:r>
          </w:p>
        </w:tc>
        <w:tc>
          <w:tcPr>
            <w:tcW w:type="dxa" w:w="1003"/>
            <w:vAlign w:val="center"/>
          </w:tcPr>
          <w:p>
            <w:pPr>
              <w:spacing w:after="0" w:line="240" w:lineRule="auto"/>
              <w:jc w:val="center"/>
            </w:pPr>
            <w:r>
              <w:rPr>
                <w:b/>
                <w:color w:val="000000"/>
                <w:sz w:val="20"/>
              </w:rPr>
              <w:t>AP50 / AP50-95</w:t>
            </w:r>
          </w:p>
        </w:tc>
        <w:tc>
          <w:tcPr>
            <w:tcW w:type="dxa" w:w="1003"/>
            <w:vAlign w:val="center"/>
          </w:tcPr>
          <w:p>
            <w:pPr>
              <w:spacing w:after="0" w:line="240" w:lineRule="auto"/>
              <w:jc w:val="center"/>
            </w:pPr>
            <w:r>
              <w:rPr>
                <w:b/>
                <w:color w:val="000000"/>
                <w:sz w:val="20"/>
              </w:rPr>
              <w:t>Lista/foto</w:t>
            </w:r>
          </w:p>
        </w:tc>
        <w:tc>
          <w:tcPr>
            <w:tcW w:type="dxa" w:w="1003"/>
            <w:vAlign w:val="center"/>
          </w:tcPr>
          <w:p>
            <w:pPr>
              <w:spacing w:after="0" w:line="240" w:lineRule="auto"/>
              <w:jc w:val="center"/>
            </w:pPr>
            <w:r>
              <w:rPr>
                <w:b/>
                <w:color w:val="000000"/>
                <w:sz w:val="20"/>
              </w:rPr>
              <w:t>Recall lista</w:t>
            </w:r>
          </w:p>
        </w:tc>
      </w:tr>
      <w:tr>
        <w:trPr>
          <w:cantSplit/>
        </w:trPr>
        <w:tc>
          <w:tcPr>
            <w:tcW w:type="dxa" w:w="1901"/>
            <w:vAlign w:val="center"/>
          </w:tcPr>
          <w:p>
            <w:pPr>
              <w:spacing w:after="0" w:line="240" w:lineRule="auto"/>
              <w:jc w:val="center"/>
            </w:pPr>
            <w:r>
              <w:rPr>
                <w:b w:val="0"/>
                <w:color w:val="000000"/>
                <w:sz w:val="20"/>
              </w:rPr>
              <w:t>Arnés de cabeza 1x</w:t>
            </w:r>
          </w:p>
        </w:tc>
        <w:tc>
          <w:tcPr>
            <w:tcW w:type="dxa" w:w="1037"/>
            <w:vAlign w:val="center"/>
          </w:tcPr>
          <w:p>
            <w:pPr>
              <w:spacing w:after="0" w:line="240" w:lineRule="auto"/>
              <w:jc w:val="center"/>
            </w:pPr>
            <w:r>
              <w:rPr>
                <w:b w:val="0"/>
                <w:color w:val="000000"/>
                <w:sz w:val="20"/>
              </w:rPr>
              <w:t>3,91</w:t>
            </w:r>
          </w:p>
        </w:tc>
        <w:tc>
          <w:tcPr>
            <w:tcW w:type="dxa" w:w="1080"/>
            <w:vAlign w:val="center"/>
          </w:tcPr>
          <w:p>
            <w:pPr>
              <w:spacing w:after="0" w:line="240" w:lineRule="auto"/>
              <w:jc w:val="center"/>
            </w:pPr>
            <w:r>
              <w:rPr>
                <w:b w:val="0"/>
                <w:color w:val="000000"/>
                <w:sz w:val="20"/>
              </w:rPr>
              <w:t>1,70</w:t>
            </w:r>
          </w:p>
        </w:tc>
        <w:tc>
          <w:tcPr>
            <w:tcW w:type="dxa" w:w="792"/>
            <w:vAlign w:val="center"/>
          </w:tcPr>
          <w:p>
            <w:pPr>
              <w:spacing w:after="0" w:line="240" w:lineRule="auto"/>
              <w:jc w:val="center"/>
            </w:pPr>
            <w:r>
              <w:rPr>
                <w:b w:val="0"/>
                <w:color w:val="000000"/>
                <w:sz w:val="20"/>
              </w:rPr>
              <w:t>43,4%</w:t>
            </w:r>
          </w:p>
        </w:tc>
        <w:tc>
          <w:tcPr>
            <w:tcW w:type="dxa" w:w="864"/>
            <w:vAlign w:val="center"/>
          </w:tcPr>
          <w:p>
            <w:pPr>
              <w:spacing w:after="0" w:line="240" w:lineRule="auto"/>
              <w:jc w:val="center"/>
            </w:pPr>
            <w:r>
              <w:rPr>
                <w:b w:val="0"/>
                <w:color w:val="000000"/>
                <w:sz w:val="20"/>
              </w:rPr>
              <w:t>73,7%</w:t>
            </w:r>
          </w:p>
        </w:tc>
        <w:tc>
          <w:tcPr>
            <w:tcW w:type="dxa" w:w="648"/>
            <w:vAlign w:val="center"/>
          </w:tcPr>
          <w:p>
            <w:pPr>
              <w:spacing w:after="0" w:line="240" w:lineRule="auto"/>
              <w:jc w:val="center"/>
            </w:pPr>
            <w:r>
              <w:rPr>
                <w:b w:val="0"/>
                <w:color w:val="000000"/>
                <w:sz w:val="20"/>
              </w:rPr>
              <w:t>54,6%</w:t>
            </w:r>
          </w:p>
        </w:tc>
        <w:tc>
          <w:tcPr>
            <w:tcW w:type="dxa" w:w="1440"/>
            <w:vAlign w:val="center"/>
          </w:tcPr>
          <w:p>
            <w:pPr>
              <w:spacing w:after="0" w:line="240" w:lineRule="auto"/>
              <w:jc w:val="center"/>
            </w:pPr>
            <w:r>
              <w:rPr>
                <w:b w:val="0"/>
                <w:color w:val="000000"/>
                <w:sz w:val="20"/>
              </w:rPr>
              <w:t>53,4% / 33,0%</w:t>
            </w:r>
          </w:p>
        </w:tc>
        <w:tc>
          <w:tcPr>
            <w:tcW w:type="dxa" w:w="936"/>
            <w:vAlign w:val="center"/>
          </w:tcPr>
          <w:p>
            <w:pPr>
              <w:spacing w:after="0" w:line="240" w:lineRule="auto"/>
              <w:jc w:val="center"/>
            </w:pPr>
            <w:r>
              <w:rPr>
                <w:b w:val="0"/>
                <w:color w:val="000000"/>
                <w:sz w:val="20"/>
              </w:rPr>
              <w:t>0,94</w:t>
            </w:r>
          </w:p>
        </w:tc>
        <w:tc>
          <w:tcPr>
            <w:tcW w:type="dxa" w:w="936"/>
            <w:vAlign w:val="center"/>
          </w:tcPr>
          <w:p>
            <w:pPr>
              <w:spacing w:after="0" w:line="240" w:lineRule="auto"/>
              <w:jc w:val="center"/>
            </w:pPr>
            <w:r>
              <w:rPr>
                <w:b w:val="0"/>
                <w:color w:val="000000"/>
                <w:sz w:val="20"/>
              </w:rPr>
              <w:t>24,0%</w:t>
            </w:r>
          </w:p>
        </w:tc>
      </w:tr>
      <w:tr>
        <w:trPr>
          <w:cantSplit/>
        </w:trPr>
        <w:tc>
          <w:tcPr>
            <w:tcW w:type="dxa" w:w="1901"/>
            <w:vAlign w:val="center"/>
          </w:tcPr>
          <w:p>
            <w:pPr>
              <w:spacing w:after="0" w:line="240" w:lineRule="auto"/>
              <w:jc w:val="center"/>
            </w:pPr>
            <w:r>
              <w:rPr>
                <w:b w:val="0"/>
                <w:color w:val="000000"/>
                <w:sz w:val="20"/>
              </w:rPr>
              <w:t>Arnés de cabeza 0,5x</w:t>
            </w:r>
          </w:p>
        </w:tc>
        <w:tc>
          <w:tcPr>
            <w:tcW w:type="dxa" w:w="1037"/>
            <w:vAlign w:val="center"/>
          </w:tcPr>
          <w:p>
            <w:pPr>
              <w:spacing w:after="0" w:line="240" w:lineRule="auto"/>
              <w:jc w:val="center"/>
            </w:pPr>
            <w:r>
              <w:rPr>
                <w:b w:val="0"/>
                <w:color w:val="000000"/>
                <w:sz w:val="20"/>
              </w:rPr>
              <w:t>4,97</w:t>
            </w:r>
          </w:p>
        </w:tc>
        <w:tc>
          <w:tcPr>
            <w:tcW w:type="dxa" w:w="1080"/>
            <w:vAlign w:val="center"/>
          </w:tcPr>
          <w:p>
            <w:pPr>
              <w:spacing w:after="0" w:line="240" w:lineRule="auto"/>
              <w:jc w:val="center"/>
            </w:pPr>
            <w:r>
              <w:rPr>
                <w:b w:val="0"/>
                <w:color w:val="000000"/>
                <w:sz w:val="20"/>
              </w:rPr>
              <w:t>2,12</w:t>
            </w:r>
          </w:p>
        </w:tc>
        <w:tc>
          <w:tcPr>
            <w:tcW w:type="dxa" w:w="792"/>
            <w:vAlign w:val="center"/>
          </w:tcPr>
          <w:p>
            <w:pPr>
              <w:spacing w:after="0" w:line="240" w:lineRule="auto"/>
              <w:jc w:val="center"/>
            </w:pPr>
            <w:r>
              <w:rPr>
                <w:b w:val="0"/>
                <w:color w:val="000000"/>
                <w:sz w:val="20"/>
              </w:rPr>
              <w:t>42,7%</w:t>
            </w:r>
          </w:p>
        </w:tc>
        <w:tc>
          <w:tcPr>
            <w:tcW w:type="dxa" w:w="864"/>
            <w:vAlign w:val="center"/>
          </w:tcPr>
          <w:p>
            <w:pPr>
              <w:spacing w:after="0" w:line="240" w:lineRule="auto"/>
              <w:jc w:val="center"/>
            </w:pPr>
            <w:r>
              <w:rPr>
                <w:b w:val="0"/>
                <w:color w:val="000000"/>
                <w:sz w:val="20"/>
              </w:rPr>
              <w:t>66,0%</w:t>
            </w:r>
          </w:p>
        </w:tc>
        <w:tc>
          <w:tcPr>
            <w:tcW w:type="dxa" w:w="648"/>
            <w:vAlign w:val="center"/>
          </w:tcPr>
          <w:p>
            <w:pPr>
              <w:spacing w:after="0" w:line="240" w:lineRule="auto"/>
              <w:jc w:val="center"/>
            </w:pPr>
            <w:r>
              <w:rPr>
                <w:b w:val="0"/>
                <w:color w:val="000000"/>
                <w:sz w:val="20"/>
              </w:rPr>
              <w:t>51,9%</w:t>
            </w:r>
          </w:p>
        </w:tc>
        <w:tc>
          <w:tcPr>
            <w:tcW w:type="dxa" w:w="1440"/>
            <w:vAlign w:val="center"/>
          </w:tcPr>
          <w:p>
            <w:pPr>
              <w:spacing w:after="0" w:line="240" w:lineRule="auto"/>
              <w:jc w:val="center"/>
            </w:pPr>
            <w:r>
              <w:rPr>
                <w:b w:val="0"/>
                <w:color w:val="000000"/>
                <w:sz w:val="20"/>
              </w:rPr>
              <w:t>50,9% / 33,7%</w:t>
            </w:r>
          </w:p>
        </w:tc>
        <w:tc>
          <w:tcPr>
            <w:tcW w:type="dxa" w:w="936"/>
            <w:vAlign w:val="center"/>
          </w:tcPr>
          <w:p>
            <w:pPr>
              <w:spacing w:after="0" w:line="240" w:lineRule="auto"/>
              <w:jc w:val="center"/>
            </w:pPr>
            <w:r>
              <w:rPr>
                <w:b w:val="0"/>
                <w:color w:val="000000"/>
                <w:sz w:val="20"/>
              </w:rPr>
              <w:t>1,12</w:t>
            </w:r>
          </w:p>
        </w:tc>
        <w:tc>
          <w:tcPr>
            <w:tcW w:type="dxa" w:w="936"/>
            <w:vAlign w:val="center"/>
          </w:tcPr>
          <w:p>
            <w:pPr>
              <w:spacing w:after="0" w:line="240" w:lineRule="auto"/>
              <w:jc w:val="center"/>
            </w:pPr>
            <w:r>
              <w:rPr>
                <w:b w:val="0"/>
                <w:color w:val="000000"/>
                <w:sz w:val="20"/>
              </w:rPr>
              <w:t>22,6%</w:t>
            </w:r>
          </w:p>
        </w:tc>
      </w:tr>
      <w:tr>
        <w:trPr>
          <w:cantSplit/>
        </w:trPr>
        <w:tc>
          <w:tcPr>
            <w:tcW w:type="dxa" w:w="1901"/>
            <w:vAlign w:val="center"/>
          </w:tcPr>
          <w:p>
            <w:pPr>
              <w:spacing w:after="0" w:line="240" w:lineRule="auto"/>
              <w:jc w:val="center"/>
            </w:pPr>
            <w:r>
              <w:rPr>
                <w:b w:val="0"/>
                <w:color w:val="000000"/>
                <w:sz w:val="20"/>
              </w:rPr>
              <w:t>Arnés de pecho 1x</w:t>
            </w:r>
          </w:p>
        </w:tc>
        <w:tc>
          <w:tcPr>
            <w:tcW w:type="dxa" w:w="1037"/>
            <w:vAlign w:val="center"/>
          </w:tcPr>
          <w:p>
            <w:pPr>
              <w:spacing w:after="0" w:line="240" w:lineRule="auto"/>
              <w:jc w:val="center"/>
            </w:pPr>
            <w:r>
              <w:rPr>
                <w:b w:val="0"/>
                <w:color w:val="000000"/>
                <w:sz w:val="20"/>
              </w:rPr>
              <w:t>3,76</w:t>
            </w:r>
          </w:p>
        </w:tc>
        <w:tc>
          <w:tcPr>
            <w:tcW w:type="dxa" w:w="1080"/>
            <w:vAlign w:val="center"/>
          </w:tcPr>
          <w:p>
            <w:pPr>
              <w:spacing w:after="0" w:line="240" w:lineRule="auto"/>
              <w:jc w:val="center"/>
            </w:pPr>
            <w:r>
              <w:rPr>
                <w:b w:val="0"/>
                <w:color w:val="000000"/>
                <w:sz w:val="20"/>
              </w:rPr>
              <w:t>1,97</w:t>
            </w:r>
          </w:p>
        </w:tc>
        <w:tc>
          <w:tcPr>
            <w:tcW w:type="dxa" w:w="792"/>
            <w:vAlign w:val="center"/>
          </w:tcPr>
          <w:p>
            <w:pPr>
              <w:spacing w:after="0" w:line="240" w:lineRule="auto"/>
              <w:jc w:val="center"/>
            </w:pPr>
            <w:r>
              <w:rPr>
                <w:b w:val="0"/>
                <w:color w:val="000000"/>
                <w:sz w:val="20"/>
              </w:rPr>
              <w:t>52,4%</w:t>
            </w:r>
          </w:p>
        </w:tc>
        <w:tc>
          <w:tcPr>
            <w:tcW w:type="dxa" w:w="864"/>
            <w:vAlign w:val="center"/>
          </w:tcPr>
          <w:p>
            <w:pPr>
              <w:spacing w:after="0" w:line="240" w:lineRule="auto"/>
              <w:jc w:val="center"/>
            </w:pPr>
            <w:r>
              <w:rPr>
                <w:b w:val="0"/>
                <w:color w:val="000000"/>
                <w:sz w:val="20"/>
              </w:rPr>
              <w:t>75,6%</w:t>
            </w:r>
          </w:p>
        </w:tc>
        <w:tc>
          <w:tcPr>
            <w:tcW w:type="dxa" w:w="648"/>
            <w:vAlign w:val="center"/>
          </w:tcPr>
          <w:p>
            <w:pPr>
              <w:spacing w:after="0" w:line="240" w:lineRule="auto"/>
              <w:jc w:val="center"/>
            </w:pPr>
            <w:r>
              <w:rPr>
                <w:b w:val="0"/>
                <w:color w:val="000000"/>
                <w:sz w:val="20"/>
              </w:rPr>
              <w:t>61,9%</w:t>
            </w:r>
          </w:p>
        </w:tc>
        <w:tc>
          <w:tcPr>
            <w:tcW w:type="dxa" w:w="1440"/>
            <w:vAlign w:val="center"/>
          </w:tcPr>
          <w:p>
            <w:pPr>
              <w:spacing w:after="0" w:line="240" w:lineRule="auto"/>
              <w:jc w:val="center"/>
            </w:pPr>
            <w:r>
              <w:rPr>
                <w:b w:val="0"/>
                <w:color w:val="000000"/>
                <w:sz w:val="20"/>
              </w:rPr>
              <w:t>60,5% / 42,2%</w:t>
            </w:r>
          </w:p>
        </w:tc>
        <w:tc>
          <w:tcPr>
            <w:tcW w:type="dxa" w:w="936"/>
            <w:vAlign w:val="center"/>
          </w:tcPr>
          <w:p>
            <w:pPr>
              <w:spacing w:after="0" w:line="240" w:lineRule="auto"/>
              <w:jc w:val="center"/>
            </w:pPr>
            <w:r>
              <w:rPr>
                <w:b w:val="0"/>
                <w:color w:val="000000"/>
                <w:sz w:val="20"/>
              </w:rPr>
              <w:t>1,12</w:t>
            </w:r>
          </w:p>
        </w:tc>
        <w:tc>
          <w:tcPr>
            <w:tcW w:type="dxa" w:w="936"/>
            <w:vAlign w:val="center"/>
          </w:tcPr>
          <w:p>
            <w:pPr>
              <w:spacing w:after="0" w:line="240" w:lineRule="auto"/>
              <w:jc w:val="center"/>
            </w:pPr>
            <w:r>
              <w:rPr>
                <w:b w:val="0"/>
                <w:color w:val="000000"/>
                <w:sz w:val="20"/>
              </w:rPr>
              <w:t>29,8%</w:t>
            </w:r>
          </w:p>
        </w:tc>
      </w:tr>
      <w:tr>
        <w:trPr>
          <w:cantSplit/>
        </w:trPr>
        <w:tc>
          <w:tcPr>
            <w:tcW w:type="dxa" w:w="1901"/>
            <w:vAlign w:val="center"/>
          </w:tcPr>
          <w:p>
            <w:pPr>
              <w:spacing w:after="0" w:line="240" w:lineRule="auto"/>
              <w:jc w:val="center"/>
            </w:pPr>
            <w:r>
              <w:rPr>
                <w:b w:val="0"/>
                <w:color w:val="000000"/>
                <w:sz w:val="20"/>
              </w:rPr>
              <w:t>Arnés de pecho 0,5x</w:t>
            </w:r>
          </w:p>
        </w:tc>
        <w:tc>
          <w:tcPr>
            <w:tcW w:type="dxa" w:w="1037"/>
            <w:vAlign w:val="center"/>
          </w:tcPr>
          <w:p>
            <w:pPr>
              <w:spacing w:after="0" w:line="240" w:lineRule="auto"/>
              <w:jc w:val="center"/>
            </w:pPr>
            <w:r>
              <w:rPr>
                <w:b w:val="0"/>
                <w:color w:val="000000"/>
                <w:sz w:val="20"/>
              </w:rPr>
              <w:t>4,64</w:t>
            </w:r>
          </w:p>
        </w:tc>
        <w:tc>
          <w:tcPr>
            <w:tcW w:type="dxa" w:w="1080"/>
            <w:vAlign w:val="center"/>
          </w:tcPr>
          <w:p>
            <w:pPr>
              <w:spacing w:after="0" w:line="240" w:lineRule="auto"/>
              <w:jc w:val="center"/>
            </w:pPr>
            <w:r>
              <w:rPr>
                <w:b w:val="0"/>
                <w:color w:val="000000"/>
                <w:sz w:val="20"/>
              </w:rPr>
              <w:t>2,33</w:t>
            </w:r>
          </w:p>
        </w:tc>
        <w:tc>
          <w:tcPr>
            <w:tcW w:type="dxa" w:w="792"/>
            <w:vAlign w:val="center"/>
          </w:tcPr>
          <w:p>
            <w:pPr>
              <w:spacing w:after="0" w:line="240" w:lineRule="auto"/>
              <w:jc w:val="center"/>
            </w:pPr>
            <w:r>
              <w:rPr>
                <w:b w:val="0"/>
                <w:color w:val="000000"/>
                <w:sz w:val="20"/>
              </w:rPr>
              <w:t>50,3%</w:t>
            </w:r>
          </w:p>
        </w:tc>
        <w:tc>
          <w:tcPr>
            <w:tcW w:type="dxa" w:w="864"/>
            <w:vAlign w:val="center"/>
          </w:tcPr>
          <w:p>
            <w:pPr>
              <w:spacing w:after="0" w:line="240" w:lineRule="auto"/>
              <w:jc w:val="center"/>
            </w:pPr>
            <w:r>
              <w:rPr>
                <w:b w:val="0"/>
                <w:color w:val="000000"/>
                <w:sz w:val="20"/>
              </w:rPr>
              <w:t>70,6%</w:t>
            </w:r>
          </w:p>
        </w:tc>
        <w:tc>
          <w:tcPr>
            <w:tcW w:type="dxa" w:w="648"/>
            <w:vAlign w:val="center"/>
          </w:tcPr>
          <w:p>
            <w:pPr>
              <w:spacing w:after="0" w:line="240" w:lineRule="auto"/>
              <w:jc w:val="center"/>
            </w:pPr>
            <w:r>
              <w:rPr>
                <w:b w:val="0"/>
                <w:color w:val="000000"/>
                <w:sz w:val="20"/>
              </w:rPr>
              <w:t>58,8%</w:t>
            </w:r>
          </w:p>
        </w:tc>
        <w:tc>
          <w:tcPr>
            <w:tcW w:type="dxa" w:w="1440"/>
            <w:vAlign w:val="center"/>
          </w:tcPr>
          <w:p>
            <w:pPr>
              <w:spacing w:after="0" w:line="240" w:lineRule="auto"/>
              <w:jc w:val="center"/>
            </w:pPr>
            <w:r>
              <w:rPr>
                <w:b w:val="0"/>
                <w:color w:val="000000"/>
                <w:sz w:val="20"/>
              </w:rPr>
              <w:t>55,4% / 38,6%</w:t>
            </w:r>
          </w:p>
        </w:tc>
        <w:tc>
          <w:tcPr>
            <w:tcW w:type="dxa" w:w="936"/>
            <w:vAlign w:val="center"/>
          </w:tcPr>
          <w:p>
            <w:pPr>
              <w:spacing w:after="0" w:line="240" w:lineRule="auto"/>
              <w:jc w:val="center"/>
            </w:pPr>
            <w:r>
              <w:rPr>
                <w:b w:val="0"/>
                <w:color w:val="000000"/>
                <w:sz w:val="20"/>
              </w:rPr>
              <w:t>1,33</w:t>
            </w:r>
          </w:p>
        </w:tc>
        <w:tc>
          <w:tcPr>
            <w:tcW w:type="dxa" w:w="936"/>
            <w:vAlign w:val="center"/>
          </w:tcPr>
          <w:p>
            <w:pPr>
              <w:spacing w:after="0" w:line="240" w:lineRule="auto"/>
              <w:jc w:val="center"/>
            </w:pPr>
            <w:r>
              <w:rPr>
                <w:b w:val="0"/>
                <w:color w:val="000000"/>
                <w:sz w:val="20"/>
              </w:rPr>
              <w:t>28,8%</w:t>
            </w:r>
          </w:p>
        </w:tc>
      </w:tr>
      <w:tr>
        <w:trPr>
          <w:cantSplit/>
        </w:trPr>
        <w:tc>
          <w:tcPr>
            <w:tcW w:type="dxa" w:w="1901"/>
            <w:vAlign w:val="center"/>
          </w:tcPr>
          <w:p>
            <w:pPr>
              <w:spacing w:after="0" w:line="240" w:lineRule="auto"/>
              <w:jc w:val="center"/>
            </w:pPr>
            <w:r>
              <w:rPr>
                <w:b w:val="0"/>
                <w:color w:val="000000"/>
                <w:sz w:val="20"/>
              </w:rPr>
              <w:t>Gorillapod 1x</w:t>
            </w:r>
          </w:p>
        </w:tc>
        <w:tc>
          <w:tcPr>
            <w:tcW w:type="dxa" w:w="1037"/>
            <w:vAlign w:val="center"/>
          </w:tcPr>
          <w:p>
            <w:pPr>
              <w:spacing w:after="0" w:line="240" w:lineRule="auto"/>
              <w:jc w:val="center"/>
            </w:pPr>
            <w:r>
              <w:rPr>
                <w:b w:val="0"/>
                <w:color w:val="000000"/>
                <w:sz w:val="20"/>
              </w:rPr>
              <w:t>4,39</w:t>
            </w:r>
          </w:p>
        </w:tc>
        <w:tc>
          <w:tcPr>
            <w:tcW w:type="dxa" w:w="1080"/>
            <w:vAlign w:val="center"/>
          </w:tcPr>
          <w:p>
            <w:pPr>
              <w:spacing w:after="0" w:line="240" w:lineRule="auto"/>
              <w:jc w:val="center"/>
            </w:pPr>
            <w:r>
              <w:rPr>
                <w:b w:val="0"/>
                <w:color w:val="000000"/>
                <w:sz w:val="20"/>
              </w:rPr>
              <w:t>2,27</w:t>
            </w:r>
          </w:p>
        </w:tc>
        <w:tc>
          <w:tcPr>
            <w:tcW w:type="dxa" w:w="792"/>
            <w:vAlign w:val="center"/>
          </w:tcPr>
          <w:p>
            <w:pPr>
              <w:spacing w:after="0" w:line="240" w:lineRule="auto"/>
              <w:jc w:val="center"/>
            </w:pPr>
            <w:r>
              <w:rPr>
                <w:b w:val="0"/>
                <w:color w:val="000000"/>
                <w:sz w:val="20"/>
              </w:rPr>
              <w:t>51,7%</w:t>
            </w:r>
          </w:p>
        </w:tc>
        <w:tc>
          <w:tcPr>
            <w:tcW w:type="dxa" w:w="864"/>
            <w:vAlign w:val="center"/>
          </w:tcPr>
          <w:p>
            <w:pPr>
              <w:spacing w:after="0" w:line="240" w:lineRule="auto"/>
              <w:jc w:val="center"/>
            </w:pPr>
            <w:r>
              <w:rPr>
                <w:b w:val="0"/>
                <w:color w:val="000000"/>
                <w:sz w:val="20"/>
              </w:rPr>
              <w:t>72,1%</w:t>
            </w:r>
          </w:p>
        </w:tc>
        <w:tc>
          <w:tcPr>
            <w:tcW w:type="dxa" w:w="648"/>
            <w:vAlign w:val="center"/>
          </w:tcPr>
          <w:p>
            <w:pPr>
              <w:spacing w:after="0" w:line="240" w:lineRule="auto"/>
              <w:jc w:val="center"/>
            </w:pPr>
            <w:r>
              <w:rPr>
                <w:b w:val="0"/>
                <w:color w:val="000000"/>
                <w:sz w:val="20"/>
              </w:rPr>
              <w:t>60,2%</w:t>
            </w:r>
          </w:p>
        </w:tc>
        <w:tc>
          <w:tcPr>
            <w:tcW w:type="dxa" w:w="1440"/>
            <w:vAlign w:val="center"/>
          </w:tcPr>
          <w:p>
            <w:pPr>
              <w:spacing w:after="0" w:line="240" w:lineRule="auto"/>
              <w:jc w:val="center"/>
            </w:pPr>
            <w:r>
              <w:rPr>
                <w:b w:val="0"/>
                <w:color w:val="000000"/>
                <w:sz w:val="20"/>
              </w:rPr>
              <w:t>61,9% / 39,0%</w:t>
            </w:r>
          </w:p>
        </w:tc>
        <w:tc>
          <w:tcPr>
            <w:tcW w:type="dxa" w:w="936"/>
            <w:vAlign w:val="center"/>
          </w:tcPr>
          <w:p>
            <w:pPr>
              <w:spacing w:after="0" w:line="240" w:lineRule="auto"/>
              <w:jc w:val="center"/>
            </w:pPr>
            <w:r>
              <w:rPr>
                <w:b w:val="0"/>
                <w:color w:val="000000"/>
                <w:sz w:val="20"/>
              </w:rPr>
              <w:t>1,21</w:t>
            </w:r>
          </w:p>
        </w:tc>
        <w:tc>
          <w:tcPr>
            <w:tcW w:type="dxa" w:w="936"/>
            <w:vAlign w:val="center"/>
          </w:tcPr>
          <w:p>
            <w:pPr>
              <w:spacing w:after="0" w:line="240" w:lineRule="auto"/>
              <w:jc w:val="center"/>
            </w:pPr>
            <w:r>
              <w:rPr>
                <w:b w:val="0"/>
                <w:color w:val="000000"/>
                <w:sz w:val="20"/>
              </w:rPr>
              <w:t>27,6%</w:t>
            </w:r>
          </w:p>
        </w:tc>
      </w:tr>
      <w:tr>
        <w:trPr>
          <w:cantSplit/>
        </w:trPr>
        <w:tc>
          <w:tcPr>
            <w:tcW w:type="dxa" w:w="1901"/>
            <w:vAlign w:val="center"/>
          </w:tcPr>
          <w:p>
            <w:pPr>
              <w:spacing w:after="0" w:line="240" w:lineRule="auto"/>
              <w:jc w:val="center"/>
            </w:pPr>
            <w:r>
              <w:rPr>
                <w:b w:val="0"/>
                <w:color w:val="000000"/>
                <w:sz w:val="20"/>
              </w:rPr>
              <w:t>Gorillapod 0,5x</w:t>
            </w:r>
          </w:p>
        </w:tc>
        <w:tc>
          <w:tcPr>
            <w:tcW w:type="dxa" w:w="1037"/>
            <w:vAlign w:val="center"/>
          </w:tcPr>
          <w:p>
            <w:pPr>
              <w:spacing w:after="0" w:line="240" w:lineRule="auto"/>
              <w:jc w:val="center"/>
            </w:pPr>
            <w:r>
              <w:rPr>
                <w:b w:val="0"/>
                <w:color w:val="000000"/>
                <w:sz w:val="20"/>
              </w:rPr>
              <w:t>5,27</w:t>
            </w:r>
          </w:p>
        </w:tc>
        <w:tc>
          <w:tcPr>
            <w:tcW w:type="dxa" w:w="1080"/>
            <w:vAlign w:val="center"/>
          </w:tcPr>
          <w:p>
            <w:pPr>
              <w:spacing w:after="0" w:line="240" w:lineRule="auto"/>
              <w:jc w:val="center"/>
            </w:pPr>
            <w:r>
              <w:rPr>
                <w:b w:val="0"/>
                <w:color w:val="000000"/>
                <w:sz w:val="20"/>
              </w:rPr>
              <w:t>2,48</w:t>
            </w:r>
          </w:p>
        </w:tc>
        <w:tc>
          <w:tcPr>
            <w:tcW w:type="dxa" w:w="792"/>
            <w:vAlign w:val="center"/>
          </w:tcPr>
          <w:p>
            <w:pPr>
              <w:spacing w:after="0" w:line="240" w:lineRule="auto"/>
              <w:jc w:val="center"/>
            </w:pPr>
            <w:r>
              <w:rPr>
                <w:b w:val="0"/>
                <w:color w:val="000000"/>
                <w:sz w:val="20"/>
              </w:rPr>
              <w:t>47,1%</w:t>
            </w:r>
          </w:p>
        </w:tc>
        <w:tc>
          <w:tcPr>
            <w:tcW w:type="dxa" w:w="864"/>
            <w:vAlign w:val="center"/>
          </w:tcPr>
          <w:p>
            <w:pPr>
              <w:spacing w:after="0" w:line="240" w:lineRule="auto"/>
              <w:jc w:val="center"/>
            </w:pPr>
            <w:r>
              <w:rPr>
                <w:b w:val="0"/>
                <w:color w:val="000000"/>
                <w:sz w:val="20"/>
              </w:rPr>
              <w:t>72,6%</w:t>
            </w:r>
          </w:p>
        </w:tc>
        <w:tc>
          <w:tcPr>
            <w:tcW w:type="dxa" w:w="648"/>
            <w:vAlign w:val="center"/>
          </w:tcPr>
          <w:p>
            <w:pPr>
              <w:spacing w:after="0" w:line="240" w:lineRule="auto"/>
              <w:jc w:val="center"/>
            </w:pPr>
            <w:r>
              <w:rPr>
                <w:b w:val="0"/>
                <w:color w:val="000000"/>
                <w:sz w:val="20"/>
              </w:rPr>
              <w:t>57,1%</w:t>
            </w:r>
          </w:p>
        </w:tc>
        <w:tc>
          <w:tcPr>
            <w:tcW w:type="dxa" w:w="1440"/>
            <w:vAlign w:val="center"/>
          </w:tcPr>
          <w:p>
            <w:pPr>
              <w:spacing w:after="0" w:line="240" w:lineRule="auto"/>
              <w:jc w:val="center"/>
            </w:pPr>
            <w:r>
              <w:rPr>
                <w:b w:val="0"/>
                <w:color w:val="000000"/>
                <w:sz w:val="20"/>
              </w:rPr>
              <w:t>56,5% / 41,5%</w:t>
            </w:r>
          </w:p>
        </w:tc>
        <w:tc>
          <w:tcPr>
            <w:tcW w:type="dxa" w:w="936"/>
            <w:vAlign w:val="center"/>
          </w:tcPr>
          <w:p>
            <w:pPr>
              <w:spacing w:after="0" w:line="240" w:lineRule="auto"/>
              <w:jc w:val="center"/>
            </w:pPr>
            <w:r>
              <w:rPr>
                <w:b w:val="0"/>
                <w:color w:val="000000"/>
                <w:sz w:val="20"/>
              </w:rPr>
              <w:t>1,48</w:t>
            </w:r>
          </w:p>
        </w:tc>
        <w:tc>
          <w:tcPr>
            <w:tcW w:type="dxa" w:w="936"/>
            <w:vAlign w:val="center"/>
          </w:tcPr>
          <w:p>
            <w:pPr>
              <w:spacing w:after="0" w:line="240" w:lineRule="auto"/>
              <w:jc w:val="center"/>
            </w:pPr>
            <w:r>
              <w:rPr>
                <w:b w:val="0"/>
                <w:color w:val="000000"/>
                <w:sz w:val="20"/>
              </w:rPr>
              <w:t>28,2%</w:t>
            </w:r>
          </w:p>
        </w:tc>
      </w:tr>
    </w:tbl>
    <w:p/>
    <w:p>
      <w:pPr>
        <w:pStyle w:val="Caption"/>
      </w:pPr>
      <w:r>
        <w:t>"Correctas/foto" (y "Lista/foto") es la media de objetos emparejados correctamente por fotografía del detector (y de la lista de anuncios de dos objetos); "Recall lista" se define sobre las instancias visibles de cada fotografía.</w:t>
      </w:r>
    </w:p>
    <w:p>
      <w:r>
        <w:t>Dos observaciones atraviesan la tabla. Primera: recall y conteo medio se separan porque las vistas amplias contienen más instancias —el Gorillapod 0,5x tiene la mayor media de visibles por foto (5,27) y recupera la mayor media de objetos (2,48)—, pero su recall relativo (47,1%) queda por debajo del del arnés de pecho 1x (52,4%); el recall aislado premia encuadres estrechos que ocultan objetos difíciles, por eso siempre se acompaña de la media de visibles. Segunda: la caída entre AP50 (60,5%) y AP50-95 (42,2%) indica que las cajas correctas son a menudo imprecisas, consecuencia esperada del redimensionamiento a 448 × 448; para la tarea del prototipo (nombrar el objeto y ubicarlo en izquierda/centro/derecha) la soltura geométrica exigida por AP50-95 es secundaria.</w:t>
      </w:r>
    </w:p>
    <w:p>
      <w:r>
        <w:t>Finalmente, el límite de dos objetos eleva la precisión de la lista por encima del 80 % en todas las configuraciones: anunciar menos objetos mejora la calidad de cada anuncio. Ese intercambio entre cantidad y calidad de lo anunciado es un comportamiento de diseño del prototipo y este experimento no mide la claridad del habla, cuyo desempeño corresponde al módulo de descriptores de audio.</w:t>
      </w:r>
    </w:p>
    <w:p>
      <w:pPr>
        <w:pStyle w:val="Heading1"/>
      </w:pPr>
      <w:r>
        <w:t>4.6 Consideraciones de validez</w:t>
      </w:r>
    </w:p>
    <w:p>
      <w:pPr>
        <w:pStyle w:val="Heading2"/>
      </w:pPr>
      <w:r>
        <w:t>Validez interna</w:t>
      </w:r>
    </w:p>
    <w:p>
      <w:r>
        <w:t>El emparejamiento por escena controla ambiente, objetos y pose entre las seis capturas de cada grupo; es la fortaleza principal del diseño. Las amenazas principales son: (a) la verdad de campo se revisó una única vez por el autor del proyecto sobre un borrador asistido por modelo, sin auditoría de un segundo revisor independiente; (b) el emparejamiento por grupos proviene del orden ascendente de archivo y debe verificarse contra las notas de captura; (c) seleccionar la mejor configuración sobre este mismo conjunto lo convierte en conjunto de selección, sesgando a favor del ganador observado; (d) los remuestreos de grupos pueden compartir habitación entre grupos vecinos, con lo que la varianza queda subestimada; y (e) ninguna comparación se ajusta por comparaciones múltiples.</w:t>
      </w:r>
    </w:p>
    <w:p>
      <w:pPr>
        <w:pStyle w:val="Heading2"/>
      </w:pPr>
      <w:r>
        <w:t>Validez de construcción</w:t>
      </w:r>
    </w:p>
    <w:p>
      <w:r>
        <w:t>Las métricas cuentan instancias visibles en cada fotografía, no objetos únicos del mundo: un mismo escritorio fotografiado desde tres posiciones genera tres instancias y tres oportunidades de acierto, y un objeto fuera de encuadre no penaliza al detector. La lista de dos objetos modela la salida de la aplicación, pero no mide la calidad del habla ni la utilidad para el usuario con discapacidad visual. Las sillas representan 49,3% de las instancias, de modo que las métricas agrupadas heredan ese desbalance; las métricas por clase acompañan el reporte y deben consultarse antes de sacar conclusiones de utilidad por objeto.</w:t>
      </w:r>
    </w:p>
    <w:p>
      <w:pPr>
        <w:pStyle w:val="Heading2"/>
      </w:pPr>
      <w:r>
        <w:t>Validez externa</w:t>
      </w:r>
    </w:p>
    <w:p>
      <w:r>
        <w:t>Las fotografías provienen de un iPhone 12 Pro Max y la inferencia corrió en un perfil de emulador Pixel 8 (Android 17, API 37, x86_64): las latencias reportadas (mediana 246,3 ms por detección y 104,0 ms por decodificación + preprocesamiento) son mediciones de depuración sobre emulador y no extrapolan al teléfono de destino. Las ópticas del lente 0,5x del iPhone no se trasferirán directamente al teléfono Android del prototipo. El muestreo se limita a interiores con iluminación doméstica o diurna y a diez clases COCO; la generalización a exteriores, iluminación nocturna u otras clases queda fuera del alcance de este capítulo.</w:t>
      </w:r>
    </w:p>
    <w:p>
      <w:pPr>
        <w:pStyle w:val="Heading2"/>
      </w:pPr>
      <w:r>
        <w:t>Validez del análisis de profundidad</w:t>
      </w:r>
    </w:p>
    <w:p>
      <w:r>
        <w:t>Las distancias del escenario 3 se estiman con el EXIF del iPhone y alturas de referencia por clase: su incertidumbre es proporcional a la altura de la clase (~±30 %), los objetos ocultos se alejan artificialmente y la mezcla de clases confunde profundidad con dificultad. El rango sugerido de ~4 m es una guía operacional del prototipo; de adoptarse como restricción del producto, debe validarse con distancias medidas en escenas nuevas.</w:t>
      </w:r>
    </w:p>
    <w:p>
      <w:pPr>
        <w:pStyle w:val="Heading2"/>
      </w:pPr>
      <w:r>
        <w:t>Validez estadística</w:t>
      </w:r>
    </w:p>
    <w:p>
      <w:r>
        <w:t>La prueba t pareada usa 33 escenas por comparación (gl = 32) y el bootstrap 10 000 remuestreos por grupos de captura (semilla 20261013); ambos se reportan como análisis exploratorio. Los intervalos no se ajustan ni por la correlación entre grupos vecinos ni por las comparaciones pareadas múltiples entre configuraciones; los p-valores y los intervalos describen este conjunto de datos y no recomiendan por sí solos una configuración de despliegue. La agenda de trabajo posterior queda definida por estas limitaciones: segunda revisión de la verdad de campo, validación en escenas nuevas con el teléfono físico, protocolo de distancias medido y pruebas de claridad del módulo de audio.</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