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[PENDIENTE: línea de investigación]</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oddPage"/>
          <w:pgSz w:w="12240" w:h="15840" w:code="1"/>
          <w:pgMar w:top="1440" w:right="1440" w:bottom="1440" w:left="2041" w:header="709" w:footer="709" w:gutter="0"/>
          <w:pgNumType w:fmt="upperRoman"/>
          <w:cols w:space="708"/>
          <w:titlePg/>
          <w:docGrid w:linePitch="360"/>
        </w:sectPr>
      </w:pPr>
      <w:r>
        <w:rPr>
          <w:rFonts w:cs="Arial"/>
          <w:szCs w:val="22"/>
        </w:rPr>
        <w:t>2026</w:t>
      </w:r>
    </w:p>
    <w:p w:rsidR="001C21DF" w:rsidRPr="00FF3BFC" w:rsidRDefault="001C21DF" w:rsidP="001C21DF">
      <w:pPr>
        <w:pStyle w:val="Ttulo"/>
        <w:jc w:val="left"/>
        <w:rPr>
          <w:b w:val="0"/>
        </w:rPr>
      </w:pPr>
      <w:r w:rsidRPr="004806E5">
        <w:lastRenderedPageBreak/>
        <w:t>Nota</w:t>
      </w:r>
      <w:r w:rsidRPr="00FF3BFC">
        <w:t xml:space="preserve"> de aceptación:</w:t>
      </w:r>
    </w:p>
    <w:p w:rsidR="001C21DF" w:rsidRPr="00FF3BFC" w:rsidRDefault="001C21DF" w:rsidP="001C21DF">
      <w:pPr>
        <w:spacing w:after="0"/>
        <w:ind w:left="4253"/>
        <w:rPr>
          <w:b/>
        </w:rPr>
      </w:pPr>
      <w:r>
        <w:rPr>
          <w:b/>
        </w:rPr>
        <w:t>Aprobado por el Consejo de Programa en cumplimiento de los requisitos exigidos por la Universidad del Magdalena para optar al título de Ingeniero de Sistemas</w:t>
      </w: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Pr="00FF3BFC" w:rsidRDefault="001C21DF" w:rsidP="001C21DF">
      <w:pPr>
        <w:spacing w:after="0"/>
        <w:ind w:left="4253"/>
        <w:rPr>
          <w:b/>
        </w:rPr>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ind w:left="4253"/>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ind w:left="4253"/>
      </w:pPr>
    </w:p>
    <w:p w:rsidR="001C21DF" w:rsidRDefault="001C21DF" w:rsidP="001C21DF">
      <w:pPr>
        <w:ind w:left="4253"/>
      </w:pPr>
    </w:p>
    <w:p w:rsidR="001C21DF" w:rsidRDefault="001C21DF" w:rsidP="001C21DF">
      <w:pPr>
        <w:ind w:left="4253"/>
      </w:pPr>
    </w:p>
    <w:p w:rsidR="001C21DF" w:rsidRDefault="001C21DF" w:rsidP="001C21DF"/>
    <w:p w:rsidR="001C21DF" w:rsidRDefault="001C21DF" w:rsidP="001C21DF">
      <w:pPr>
        <w:rPr>
          <w:rFonts w:cs="Arial"/>
          <w:i/>
        </w:rPr>
      </w:pPr>
      <w:r>
        <w:rPr>
          <w:b/>
        </w:rPr>
        <w:t>Santa Marta, ____ de ____del ________</w:t>
      </w:r>
    </w:p>
    <w:p w:rsidR="001C21DF" w:rsidRPr="001C21DF" w:rsidRDefault="001C21DF" w:rsidP="004F1FF8">
      <w:pPr>
        <w:pStyle w:val="Prrafodelista"/>
        <w:rPr>
          <w:rFonts w:cs="Arial"/>
          <w:i/>
          <w:szCs w:val="22"/>
          <w:lang w:val="es-CO"/>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AF49E5" w:rsidRPr="004F1FF8" w:rsidRDefault="002F6FC5" w:rsidP="004F1FF8">
      <w:pPr>
        <w:pStyle w:val="Prrafodelista"/>
        <w:rPr>
          <w:rFonts w:cs="Arial"/>
          <w:i/>
          <w:szCs w:val="22"/>
        </w:rPr>
      </w:pPr>
      <w:r w:rsidRPr="004F1FF8">
        <w:rPr>
          <w:rFonts w:cs="Arial"/>
          <w:i/>
          <w:szCs w:val="22"/>
        </w:rPr>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[PENDIENTE: agradecimientos (opcional)]</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odd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2"/>
          <w:footerReference w:type="even" r:id="rId52"/>
          <w:headerReference w:type="first" r:id="rId15"/>
          <w:footerReference w:type="default" r:id="rId52"/>
          <w:type w:val="odd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V</w:t>
      </w:r>
    </w:p>
    <w:p>
      <w:pPr>
        <w:pStyle w:val="TDC1"/>
        <w:tabs>
          <w:tab w:pos="8755" w:val="right" w:leader="dot"/>
        </w:tabs>
        <w:spacing w:line="240" w:lineRule="auto" w:after="80"/>
        <w:jc w:val="left"/>
      </w:pPr>
      <w:r>
        <w:t>Abstract</w:t>
        <w:tab/>
      </w:r>
      <w:r>
        <w:t>VI</w:t>
      </w:r>
    </w:p>
    <w:p>
      <w:pPr>
        <w:pStyle w:val="TDC1"/>
        <w:tabs>
          <w:tab w:pos="8755" w:val="right" w:leader="dot"/>
        </w:tabs>
        <w:spacing w:line="240" w:lineRule="auto" w:after="80"/>
        <w:jc w:val="left"/>
      </w:pPr>
      <w:r>
        <w:t>Contenido</w:t>
        <w:tab/>
      </w:r>
      <w:r>
        <w:t>VII</w:t>
      </w:r>
    </w:p>
    <w:p>
      <w:pPr>
        <w:pStyle w:val="TDC1"/>
        <w:tabs>
          <w:tab w:pos="8755" w:val="right" w:leader="dot"/>
        </w:tabs>
        <w:spacing w:line="240" w:lineRule="auto" w:after="80"/>
        <w:jc w:val="left"/>
      </w:pPr>
      <w:r>
        <w:t>Lista de figuras</w:t>
        <w:tab/>
      </w:r>
      <w:r>
        <w:t>IX</w:t>
      </w:r>
    </w:p>
    <w:p>
      <w:pPr>
        <w:pStyle w:val="TDC1"/>
        <w:tabs>
          <w:tab w:pos="8755" w:val="right" w:leader="dot"/>
        </w:tabs>
        <w:spacing w:line="240" w:lineRule="auto" w:after="80"/>
        <w:jc w:val="left"/>
      </w:pPr>
      <w:r>
        <w:t>Lista de tablas</w:t>
        <w:tab/>
      </w:r>
      <w:r>
        <w:t>X</w:t>
      </w:r>
    </w:p>
    <w:p>
      <w:pPr>
        <w:pStyle w:val="TDC1"/>
        <w:tabs>
          <w:tab w:pos="8755" w:val="right" w:leader="dot"/>
        </w:tabs>
        <w:spacing w:line="240" w:lineRule="auto" w:after="80"/>
        <w:jc w:val="left"/>
      </w:pPr>
      <w:r>
        <w:t>Lista de símbolos</w:t>
        <w:tab/>
      </w:r>
      <w:r>
        <w:t>XI</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5 \h ">
        <w:r>
          <w:t>35</w:t>
        </w:r>
      </w:fldSimple>
    </w:p>
    <w:p>
      <w:pPr>
        <w:pStyle w:val="TDC2"/>
        <w:tabs>
          <w:tab w:pos="8755" w:val="right" w:leader="dot"/>
        </w:tabs>
        <w:spacing w:line="240" w:lineRule="auto" w:after="80"/>
        <w:jc w:val="left"/>
      </w:pPr>
      <w:r>
        <w:t>4.5 Métricas complementarias de detección</w:t>
        <w:tab/>
      </w:r>
      <w:fldSimple w:instr=" PAGEREF report_1068 \h ">
        <w:r>
          <w:t>38</w:t>
        </w:r>
      </w:fldSimple>
    </w:p>
    <w:p>
      <w:pPr>
        <w:pStyle w:val="TDC2"/>
        <w:tabs>
          <w:tab w:pos="8755" w:val="right" w:leader="dot"/>
        </w:tabs>
        <w:spacing w:line="240" w:lineRule="auto" w:after="80"/>
        <w:jc w:val="left"/>
      </w:pPr>
      <w:r>
        <w:t>4.6 Consideraciones de validez</w:t>
        <w:tab/>
      </w:r>
      <w:fldSimple w:instr=" PAGEREF report_1071 \h ">
        <w:r>
          <w:t>40</w:t>
        </w:r>
      </w:fldSimple>
    </w:p>
    <w:p>
      <w:pPr>
        <w:pStyle w:val="TDC2"/>
        <w:tabs>
          <w:tab w:pos="8755" w:val="right" w:leader="dot"/>
        </w:tabs>
        <w:spacing w:line="240" w:lineRule="auto" w:after="80"/>
        <w:jc w:val="left"/>
      </w:pPr>
      <w:r>
        <w:t>4.7 Distribución del tiempo de procesamiento</w:t>
        <w:tab/>
      </w:r>
      <w:fldSimple w:instr=" PAGEREF report_1072 \h ">
        <w:r>
          <w:t>42</w:t>
        </w:r>
      </w:fldSimple>
    </w:p>
    <w:p>
      <w:pPr>
        <w:pStyle w:val="TDC2"/>
        <w:tabs>
          <w:tab w:pos="8755" w:val="right" w:leader="dot"/>
        </w:tabs>
        <w:spacing w:line="240" w:lineRule="auto" w:after="80"/>
        <w:jc w:val="left"/>
      </w:pPr>
      <w:r>
        <w:t>4.8 Brillo de las imágenes y alcance del análisis de oclusión</w:t>
        <w:tab/>
      </w:r>
      <w:fldSimple w:instr=" PAGEREF report_1074 \h ">
        <w:r>
          <w:t>42</w:t>
        </w:r>
      </w:fldSimple>
    </w:p>
    <w:p>
      <w:pPr>
        <w:pStyle w:val="TDC2"/>
        <w:tabs>
          <w:tab w:pos="8755" w:val="right" w:leader="dot"/>
        </w:tabs>
        <w:spacing w:line="240" w:lineRule="auto" w:after="80"/>
        <w:jc w:val="left"/>
      </w:pPr>
      <w:r>
        <w:t>4.9 Correspondencia con las actividades de la propuesta</w:t>
        <w:tab/>
      </w:r>
      <w:fldSimple w:instr=" PAGEREF report_1076 \h ">
        <w:r>
          <w:t>44</w:t>
        </w:r>
      </w:fldSimple>
    </w:p>
    <w:p>
      <w:pPr>
        <w:pStyle w:val="TDC1"/>
        <w:tabs>
          <w:tab w:pos="8755" w:val="right" w:leader="dot"/>
        </w:tabs>
        <w:spacing w:line="240" w:lineRule="auto" w:after="80"/>
        <w:jc w:val="left"/>
      </w:pPr>
      <w:r>
        <w:t>5. Conclusiones</w:t>
        <w:tab/>
      </w:r>
      <w:fldSimple w:instr=" PAGEREF report_1078 \h ">
        <w:r>
          <w:t>47</w:t>
        </w:r>
      </w:fldSimple>
    </w:p>
    <w:p>
      <w:pPr>
        <w:pStyle w:val="TDC2"/>
        <w:tabs>
          <w:tab w:pos="8755" w:val="right" w:leader="dot"/>
        </w:tabs>
        <w:spacing w:line="240" w:lineRule="auto" w:after="80"/>
        <w:jc w:val="left"/>
      </w:pPr>
      <w:r>
        <w:t>5.1 Conclusiones</w:t>
        <w:tab/>
      </w:r>
      <w:fldSimple w:instr=" PAGEREF report_1079 \h ">
        <w:r>
          <w:t>47</w:t>
        </w:r>
      </w:fldSimple>
    </w:p>
    <w:p>
      <w:pPr>
        <w:pStyle w:val="TDC2"/>
        <w:tabs>
          <w:tab w:pos="8755" w:val="right" w:leader="dot"/>
        </w:tabs>
        <w:spacing w:line="240" w:lineRule="auto" w:after="80"/>
        <w:jc w:val="left"/>
      </w:pPr>
      <w:r>
        <w:t>5.2 Recomendaciones</w:t>
        <w:tab/>
      </w:r>
      <w:fldSimple w:instr=" PAGEREF report_1080 \h ">
        <w:r>
          <w:t>48</w:t>
        </w:r>
      </w:fldSimple>
    </w:p>
    <w:p>
      <w:pPr>
        <w:pStyle w:val="TDC2"/>
        <w:tabs>
          <w:tab w:pos="8755" w:val="right" w:leader="dot"/>
        </w:tabs>
        <w:spacing w:line="240" w:lineRule="auto" w:after="80"/>
        <w:jc w:val="left"/>
      </w:pPr>
      <w:r>
        <w:t>5.3 Trabajo futuro</w:t>
        <w:tab/>
      </w:r>
      <w:fldSimple w:instr=" PAGEREF report_1081 \h ">
        <w:r>
          <w:t>48</w:t>
        </w:r>
      </w:fldSimple>
    </w:p>
    <w:p>
      <w:pPr>
        <w:pStyle w:val="TDC1"/>
        <w:tabs>
          <w:tab w:pos="8755" w:val="right" w:leader="dot"/>
        </w:tabs>
        <w:spacing w:line="240" w:lineRule="auto" w:after="80"/>
        <w:jc w:val="left"/>
        <w:numPr>
          <w:numId w:val="0"/>
        </w:numPr>
      </w:pPr>
      <w:r>
        <w:t>Anexo A: Scripts de evaluación de modelos</w:t>
        <w:tab/>
      </w:r>
      <w:fldSimple w:instr=" PAGEREF report_1082 \h ">
        <w:r>
          <w:t>51</w:t>
        </w:r>
      </w:fldSimple>
    </w:p>
    <w:p>
      <w:pPr>
        <w:pStyle w:val="TDC1"/>
        <w:tabs>
          <w:tab w:pos="8755" w:val="right" w:leader="dot"/>
        </w:tabs>
        <w:spacing w:line="240" w:lineRule="auto" w:after="80"/>
        <w:jc w:val="left"/>
        <w:numPr>
          <w:numId w:val="0"/>
        </w:numPr>
      </w:pPr>
      <w:r>
        <w:t>Anexo B: Pruebas unitarias del prototipo</w:t>
        <w:tab/>
      </w:r>
      <w:fldSimple w:instr=" PAGEREF report_1083 \h ">
        <w:r>
          <w:t>53</w:t>
        </w:r>
      </w:fldSimple>
    </w:p>
    <w:p>
      <w:pPr>
        <w:pStyle w:val="TDC1"/>
        <w:tabs>
          <w:tab w:pos="8755" w:val="right" w:leader="dot"/>
        </w:tabs>
        <w:spacing w:line="240" w:lineRule="auto" w:after="80"/>
        <w:jc w:val="left"/>
        <w:numPr>
          <w:numId w:val="0"/>
        </w:numPr>
      </w:pPr>
      <w:r>
        <w:t>Anexo C: Manuales técnico y de usuario</w:t>
        <w:tab/>
      </w:r>
      <w:fldSimple w:instr=" PAGEREF report_1084 \h ">
        <w:r>
          <w:t>54</w:t>
        </w:r>
      </w:fldSimple>
    </w:p>
    <w:p>
      <w:pPr>
        <w:pStyle w:val="TDC1"/>
        <w:tabs>
          <w:tab w:pos="8755" w:val="right" w:leader="dot"/>
        </w:tabs>
        <w:spacing w:line="240" w:lineRule="auto" w:after="80"/>
        <w:jc w:val="left"/>
      </w:pPr>
      <w:r>
        <w:t>Bibliografía</w:t>
        <w:tab/>
      </w:r>
      <w:fldSimple w:instr=" PAGEREF report_1085 \h ">
        <w:r>
          <w:t>55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7 \h ">
        <w:r>
          <w:t>37</w:t>
        </w:r>
      </w:fldSimple>
    </w:p>
    <w:p>
      <w:pPr>
        <w:pStyle w:val="TDC1"/>
        <w:tabs>
          <w:tab w:pos="8755" w:val="right" w:leader="dot"/>
        </w:tabs>
        <w:spacing w:line="240" w:lineRule="auto" w:after="80"/>
        <w:jc w:val="left"/>
      </w:pPr>
      <w:r>
        <w:rPr>
          <w:b w:val="0"/>
        </w:rPr>
        <w:t>Figura 4.4. Precisión, recall y F1 del detector y de la lista de hasta dos objetos.</w:t>
        <w:tab/>
      </w:r>
      <w:fldSimple w:instr=" PAGEREF report_1070 \h ">
        <w:r>
          <w:t>39</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6 \h ">
        <w:r>
          <w:t>36</w:t>
        </w:r>
      </w:fldSimple>
    </w:p>
    <w:p>
      <w:pPr>
        <w:pStyle w:val="TDC1"/>
        <w:tabs>
          <w:tab w:pos="8755" w:val="right" w:leader="dot"/>
        </w:tabs>
        <w:spacing w:line="240" w:lineRule="auto" w:after="80"/>
        <w:jc w:val="left"/>
      </w:pPr>
      <w:r>
        <w:rPr>
          <w:b w:val="0"/>
        </w:rPr>
        <w:t>Tabla 4.7. Resultados por clase en el conjunto completo.</w:t>
        <w:tab/>
      </w:r>
      <w:fldSimple w:instr=" PAGEREF report_1069 \h ">
        <w:r>
          <w:t>38</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3 \h ">
        <w:r>
          <w:t>42</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5 \h ">
        <w:r>
          <w:t>43</w:t>
        </w:r>
      </w:fldSimple>
    </w:p>
    <w:p>
      <w:pPr>
        <w:pStyle w:val="TDC1"/>
        <w:tabs>
          <w:tab w:pos="8755" w:val="right" w:leader="dot"/>
        </w:tabs>
        <w:spacing w:line="240" w:lineRule="auto" w:after="80"/>
        <w:jc w:val="left"/>
      </w:pPr>
      <w:r>
        <w:rPr>
          <w:b w:val="0"/>
        </w:rPr>
        <w:t>Tabla 4.10. Evidencias y alcance de las actividades de la pasantía.</w:t>
        <w:tab/>
      </w:r>
      <w:fldSimple w:instr=" PAGEREF report_1077 \h ">
        <w:r>
          <w:t>44</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3"/>
          <w:footerReference w:type="even" r:id="rId53"/>
          <w:footerReference w:type="default" r:id="rId53"/>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[2]. Frente a esta situación, los sistemas de asistencia basados en visión por computador se han consolidado como una alternativa tecnológica viable para apoyar la percepción del entorno, al convertir la información visual capturada por una cámara en descripciones auditivas útiles para el usuario.</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[3],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[4], hasta detectores de una etapa orientados al tiempo real, como YOLO [5], SSD [6] y EfficientDet [7],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[8],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[34].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correspondencia entre actividades, evidencias y límites se sintetiza en la sección 4.9. La evaluación de la fase 3 cubre detección y procesamiento de imágenes; la iluminación se explora mediante brillo digital, sin mediciones de iluminancia, y la oclusión no cuenta con etiquetas específicas.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de bajo costo que demuestra la viabilidad de ejecutar un </w:t>
      </w:r>
      <w:r>
        <w:rPr>
          <w:i/>
        </w:rPr>
        <w:t>pipeline</w:t>
      </w:r>
      <w:r>
        <w:t xml:space="preserv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[9] y en el Plan de Gobierno Rectoral 2024-2028 [10].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4"/>
          <w:footerReference w:type="even" r:id="rId54"/>
          <w:headerReference w:type="even" r:id="rId16"/>
          <w:headerReference w:type="default" r:id="rId17"/>
          <w:headerReference w:type="first" r:id="rId18"/>
          <w:footerReference w:type="default" r:id="rId54"/>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[11].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[12]. El conjunto combina MS COCO con quince clases adicionales de interés para el entorno cotidiano, como puertas, ventanas, casilleros y señales, para un total de noventa y cinco clases [13].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Pawar estudió una aplicación Android basada en TensorFlow Object Detection API y SSD MobileNet, ajustada mediante transferencia de aprendizaje para reconocer ochenta categorías [14].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confirma la viabilidad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[15]. Evaluaron velocidad, precisión, consumo de recursos y eficiencia energética. Sus resultados muestran que los detectores de una etapa son más apropiados para ejecución directa en el dispositivo; YOLOv8s obtuvo la mejor combinación de precisión y velocidad entre los modelos analizados,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[8].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la validación con distancias medidas permanece pendiente.</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Los modelos de detección de objetos basados en redes neuronales profundas se clasifican en dos grandes categorías según su arquitectura [1].</w:t>
      </w:r>
    </w:p>
    <w:p>
      <w:pPr>
        <w:pStyle w:val="Normal"/>
        <w:widowControl/>
        <w:spacing w:line="360" w:lineRule="auto" w:after="330"/>
        <w:jc w:val="both"/>
      </w:pPr>
      <w:r>
        <w:t xml:space="preserve">Los detectores de dos etapas dividen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[4]. Ejemplos de esta arquitectura incluyen la familia R-CNN, específicamente Faster R-CNN y Mask R-CNN.</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[5], [6]. Una red convolucional extrae mapas de características espaciales y semánticas, sobre los cuales el modelo predice coordenadas y probabilidades de clase. YOLO prioriza la velocidad [5], SSD utiliza mapas multiescala y cajas predefinidas [6], y EfficientDet incorpora una fusión bidireccional de características y un escalamiento compuesto [7].</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la resolución de entrada, la representación numérica y las técnicas de compresión.</w:t>
      </w:r>
    </w:p>
    <w:p>
      <w:pPr>
        <w:pStyle w:val="Normal"/>
        <w:widowControl/>
        <w:spacing w:line="360" w:lineRule="auto" w:after="330"/>
        <w:jc w:val="both"/>
      </w:pPr>
      <w:r>
        <w:t xml:space="preserve">Howard et al. propusieron MobileNets como una familia de redes para visión móvil basada en convoluciones separables en profundidad [16].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[17].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estudió la ejecución de detectores en dispositivos de borde mediante TensorFlow Lite y la conversión de modelos Float32 a uint8 [18]. En sus experimentos sobre MS COCO, SSD300 alcanzó 58 FPS con un mAP de 72,1 %, mientras SSD500 alcanzó 23 FPS con un mAP de 75,1 %; Faster R-CNN obtuvo 7 FPS con un mAP de 73,2 %. Aunque las condiciones de hardware y el protocolo no son idénticos a los de este trabajo, la comparación evidencia el efecto de la cuantización y del tamaño de entrada sobre la velocidad.</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[19].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mensajes que reduzcan la confianza, mientras un modelo exacto pero lento no entrega información oportuna. Por ello,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[19],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[6], [16], [17].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[7]. Sus variantes Lite fueron diseñadas para dispositivos móviles y </w:t>
      </w:r>
      <w:r>
        <w:rPr>
          <w:i/>
        </w:rPr>
        <w:t>edge</w:t>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[5]. Su ventaja principal es la velocidad,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[13]. También se revisó Open Images como fuente de categorías y anotaciones de gran escala [20].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[3], mientras ONNX Runtime y ExecuTorch representan alternativas para otros ecosistemas de despliegue [21], [22].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[23]. El modelo procesa la imagen completa y utiliza object queries para producir predicciones directas, sin seguir explícitamente el esquema clásico de una o dos etapas. Su formulación reduce componentes como las cajas predefinidas y la supresión no máxima, pero su costo computacional y la exigencia de datos y hardware limitan su conveniencia para el teléfono de gama media utilizado en este proyecto.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[13].</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penaliza ambas métricas por igual. Para el sistema propuesto, mAP50-95 indica la precisión geométrica de las detecciones [13].</w:t>
      </w:r>
    </w:p>
    <w:p>
      <w:pPr>
        <w:pStyle w:val="Normal"/>
        <w:widowControl/>
        <w:spacing w:line="360" w:lineRule="auto" w:after="330"/>
        <w:jc w:val="both"/>
      </w:pPr>
      <w:r>
        <w:t xml:space="preserve">Precisión (Precision). La precisión indica, de todas las detecciones realizadas por el modelo, qué porcentaje fue correcto, midiendo la tasa de falsos positivos: Precision = TP / (TP + FP), donde TP corresponde a verdaderos positivos y FP a falsos positivos. Para el sistema propuesto, si el modelo anuncia la presencia de una silla cuando no hay ninguna silla en la escena, el usuario recibe una indicación errónea y pierde confianza en el sistema, por lo que una precisión alta resulta fundamental [1].</w:t>
      </w:r>
    </w:p>
    <w:p>
      <w:pPr>
        <w:pStyle w:val="Normal"/>
        <w:widowControl/>
        <w:spacing w:line="360" w:lineRule="auto" w:after="330"/>
        <w:jc w:val="both"/>
      </w:pPr>
      <w:r>
        <w:rPr>
          <w:i/>
        </w:rPr>
        <w:t>Recall</w:t>
      </w:r>
      <w:r>
        <w:t xml:space="preserve">, o exhaustividad, es la proporción de instancias anotadas visibles que el detector recupera: TP/(TP+FN).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A diferencia de la media aritmética, penaliza el desequilibrio entre ambas métricas, por lo que resulta útil como métrica única de exactitud global cuando se requiere un compromiso entre falsos positivos y falsos negativos [1].</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Ambas métricas están inversamente relacionadas: a mayor latencia, menor FPS.</w:t>
      </w:r>
    </w:p>
    <w:p>
      <w:pPr>
        <w:pStyle w:val="Normal"/>
        <w:widowControl/>
        <w:spacing w:line="360" w:lineRule="auto" w:after="330"/>
        <w:jc w:val="both"/>
      </w:pPr>
      <w:r>
        <w:t xml:space="preserve">Consumo de memoria RAM. El consumo de memoria RAM corresponde a la memoria ocupada por el modelo y sus tensores intermedios durante la inicialización y la inferencia. Esta métrica determina la compatibilidad del sistema con dispositivos de gama baja, donde la memoria disponible es limitada y el sistema operativo puede terminar aplicaciones que excedan los recursos disponibles. Se reporta en megabytes (MB) mediante el perfilador de memoria de la </w:t>
      </w:r>
      <w:r>
        <w:rPr>
          <w:i/>
        </w:rPr>
        <w:t>Benchmark</w:t>
      </w:r>
      <w:r>
        <w:t xml:space="preserve"> Tool [24].</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[24].</w:t>
      </w:r>
    </w:p>
    <w:p>
      <w:pPr>
        <w:pStyle w:val="Ttulo3"/>
      </w:pPr>
      <w:r>
        <w:t xml:space="preserve">2.2.2 Cuantización de modelos: Float32 y Float16</w:t>
      </w:r>
    </w:p>
    <w:p>
      <w:pPr>
        <w:pStyle w:val="Normal"/>
        <w:widowControl/>
        <w:spacing w:line="360" w:lineRule="auto" w:after="330"/>
        <w:jc w:val="both"/>
      </w:pPr>
      <w:r>
        <w:t>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[3].</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[3].</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[13].</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garantizando mediciones aisladas y reproducibles. Se ejecutaron 50 iteraciones por modelo con 4 hilos de procesamiento [24].</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garantizando un procedimiento reproducible sin intervención manual sobre el teléfono [25].</w:t>
      </w:r>
    </w:p>
    <w:p>
      <w:pPr>
        <w:pStyle w:val="Normal"/>
        <w:widowControl/>
        <w:spacing w:line="360" w:lineRule="auto" w:after="330"/>
        <w:jc w:val="both"/>
      </w:pPr>
      <w:r>
        <w:t xml:space="preserve">El GPU Delegate es una extensión de TFLite que redirige los cálculos de la CPU a la GPU del dispositivo mediante la API OpenCL. El objetivo es aprovechar el paralelismo masivo de la GPU para acelerar la inferencia. Sin embargo, no todas las operaciones son compatibles con el GPU Delegate: operaciones personalizadas como TFLite_Detection_PostProcess (presente en SSD y EfficientDet) deben ejecutarse en CPU, creando un cuello de botella por la transferencia de datos entre ambos procesadores [26].</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[5], YOLO11n en variantes Float32 y Float16 [5], SSD MobileNetV1 [6] y EfficientDet-Lite2 [7].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La evaluación de precisión se realizó sobre un conjunto de imágenes propias capturadas en entornos interiores reales, complementadas con imágenes de dominio público. Las imágenes fueron anotadas manualmente mediante la plataforma Roboflow [27], generando un total de 80 imágenes con 257 anotaciones en formato COCO JSON [13].</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[13].</w:t>
      </w:r>
    </w:p>
    <w:p>
      <w:pPr>
        <w:pStyle w:val="Normal"/>
        <w:widowControl/>
        <w:spacing w:line="360" w:lineRule="auto" w:after="330"/>
        <w:jc w:val="both"/>
      </w:pPr>
      <w:r>
        <w:t xml:space="preserve">Las métricas de precisión fueron calculadas mediante la librería pycocotools, que implementa el protocolo oficial de evaluación COCO [13].</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revela dos causas concretas del bajo rendimiento con GPU Delegate.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refleja el costo de compilar y cargar los </w:t>
      </w:r>
      <w:r>
        <w:rPr>
          <w:i/>
        </w:rPr>
        <w:t>kernels</w:t>
      </w:r>
      <w:r>
        <w:t xml:space="preserve"> OpenCL [28] en la GPU Adreno 610 [26].</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debido a la duplicación de búferes entre ambos procesadores.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CameraX 1.6.1 gestiona la cámara y su ciclo de vida [29].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w:t>
      </w:r>
    </w:p>
    <w:p>
      <w:bookmarkStart w:id="1039" w:name="report_1039"/>
      <w:pPr>
        <w:pStyle w:val="Ttulo2"/>
      </w:pPr>
      <w:r>
        <w:t xml:space="preserve">3.5 Módulo de detección</w:t>
      </w:r>
      <w:bookmarkEnd w:id="1039"/>
    </w:p>
    <w:p>
      <w:pPr>
        <w:pStyle w:val="Normal"/>
        <w:widowControl/>
        <w:spacing w:line="360" w:lineRule="auto" w:after="330"/>
        <w:jc w:val="both"/>
      </w:pPr>
      <w:r>
        <w:t>DetectionModule utiliza la API Interpreter del paquete LiteRT 1.4.2 y el archivo efficientdet-lite2-detection-metadata.tflite, cargado mediante un MappedByteBuffer [32].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LocalizationModule asigna la zona según el centro de la caja en coordenadas del fotograma original. Los límites horizontales son 0,35 y 0,65 del ancho; el límite vertical es la mitad de la altura. Estas divisiones producen seis zonas y no constituyen tercios exactos ni posiciones métricas en el espacio. La Tabla 3.2 y la Figura 3.2 muestran esta partición.</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0"/>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0"/>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[13]. No procede de un estudio de necesidades con usuarios ni establece una jerarquía clínica o de riesgo. La propuesta menciona puertas, sillas y escritorios como ejemplos [34];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[20],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AudioModule utiliza sherpa-onnx v1.13.6 para sintetizar voz local a partir de modelos VITS/Piper empaquetados con la aplicación [31].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pendiente.</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(mini trípode flex a la altura del pecho).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w:t>
      </w:r>
      <w:r>
        <w:rPr>
          <w:i/>
        </w:rPr>
        <w:t>recall</w:t>
      </w:r>
      <w:r>
        <w:t xml:space="preserve"> por banda.</w:t>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La prueba t pareada por escena (lentes agrupadas) contrasta las posiciones dentro de cada grupo de captura; con gl = 32 el valor crítico a dos colas es t = 2,04 (α = 0,05).</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La elección definitiva depende del objetivo del sistema: para maximizar los objetos anunciados al usuario,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5" w:name="report_1065"/>
      <w:pPr>
        <w:pStyle w:val="Ttulo2"/>
      </w:pPr>
      <w:r>
        <w:t>4.4 Escenario 3: rango de profundidad de detección</w:t>
      </w:r>
      <w:bookmarkEnd w:id="1065"/>
    </w:p>
    <w:p>
      <w:pPr>
        <w:widowControl/>
        <w:spacing w:line="360" w:lineRule="auto" w:after="330"/>
        <w:jc w:val="both"/>
      </w:pPr>
      <w:r>
        <w:t>Para caracterizar el rango de profundidad útil del sistema se estima la distancia entre el objeto y la cámara para cada instancia anotada de las mismas 198 fotografías, sin capturas adicionales. El modelo estenopeico de la cámara entrega d ≈ f_px · H_cls / h_px, donde f_px es la distancia focal en píxeles —calculada del campo FocalLengthIn35mmFilm del EXIF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6" w:name="report_1066"/>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7" w:name="report_1067"/>
      <w:pPr>
        <w:pStyle w:val="Descripcin"/>
        <w:keepNext/>
        <w:spacing w:line="240" w:lineRule="auto" w:after="160" w:before="160"/>
        <w:jc w:val="center"/>
      </w:pPr>
      <w:r>
        <w:rPr>
          <w:sz w:val="20"/>
        </w:rPr>
        <w:t xml:space="preserve">Figura 4.3. </w:t>
      </w:r>
      <w:r>
        <w:rPr>
          <w:i/>
          <w:sz w:val="20"/>
        </w:rPr>
        <w:t>Recall</w:t>
      </w:r>
      <w:r>
        <w:rPr>
          <w:sz w:val="20"/>
        </w:rPr>
        <w:t xml:space="preserve"> por distancia estimada e intervalo </w:t>
      </w:r>
      <w:r>
        <w:rPr>
          <w:i/>
          <w:sz w:val="20"/>
        </w:rPr>
        <w:t>bootstrap</w:t>
      </w:r>
      <w:r>
        <w:rPr>
          <w:sz w:val="20"/>
        </w:rPr>
        <w:t xml:space="preserve"> del 95 %.</w:t>
      </w:r>
      <w:bookmarkEnd w:id="1067"/>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8" w:name="report_1068"/>
      <w:pPr>
        <w:pStyle w:val="Ttulo2"/>
      </w:pPr>
      <w:r>
        <w:t>4.5 Métricas complementarias de detección</w:t>
      </w:r>
      <w:bookmarkEnd w:id="1068"/>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9" w:name="report_1069"/>
      <w:pPr>
        <w:pStyle w:val="Descripcin"/>
        <w:keepNext/>
        <w:spacing w:line="240" w:lineRule="auto" w:before="160" w:after="160"/>
        <w:jc w:val="center"/>
      </w:pPr>
      <w:r>
        <w:rPr>
          <w:sz w:val="20"/>
        </w:rPr>
        <w:t>Tabla 4.7. Resultados por clase en el conjunto completo.</w:t>
      </w:r>
      <w:bookmarkEnd w:id="10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4.4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1" name="Picture 51"/>
            <wp:cNvGraphicFramePr>
              <ns4:graphicFrameLocks noChangeAspect="1"/>
            </wp:cNvGraphicFramePr>
            <ns4:graphic>
              <ns4:graphicData uri="http://schemas.openxmlformats.org/drawingml/2006/picture">
                <ns5:pic>
                  <ns5:nvPicPr>
                    <ns5:cNvPr id="0" name="seleccion_metricas.png"/>
                    <ns5:cNvPicPr/>
                  </ns5:nvPicPr>
                  <ns5:blipFill>
                    <ns4:blip r:embed="rId51"/>
                    <ns4:stretch>
                      <ns4:fillRect/>
                    </ns4:stretch>
                  </ns5:blipFill>
                  <ns5:spPr>
                    <ns4:xfrm>
                      <ns4:off x="0" y="0"/>
                      <ns4:ext cx="5166360" cy="5608220"/>
                    </ns4:xfrm>
                    <ns4:prstGeom prst="rect"/>
                  </ns5:spPr>
                </ns5:pic>
              </ns4:graphicData>
            </ns4:graphic>
          </wp:inline>
        </w:drawing>
      </w:r>
    </w:p>
    <w:p>
      <w:bookmarkStart w:id="1070" w:name="report_1070"/>
      <w:pPr>
        <w:pStyle w:val="Descripcin"/>
        <w:keepNext/>
        <w:spacing w:line="240" w:lineRule="auto" w:after="160" w:before="160"/>
        <w:jc w:val="center"/>
      </w:pPr>
      <w:r>
        <w:rPr>
          <w:sz w:val="20"/>
        </w:rPr>
        <w:t xml:space="preserve">Figura 4.4. Precisión, </w:t>
      </w:r>
      <w:r>
        <w:rPr>
          <w:i/>
          <w:sz w:val="20"/>
        </w:rPr>
        <w:t>recall</w:t>
      </w:r>
      <w:r>
        <w:rPr>
          <w:sz w:val="20"/>
        </w:rPr>
        <w:t xml:space="preserve"> y F1 del detector y de la lista de hasta dos objetos.</w:t>
      </w:r>
      <w:bookmarkEnd w:id="107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4.4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4.4 utiliza un IoU fijo de 0,50, por lo que complementa ese resultado sin sustituirlo. El efecto de las imprecisiones de las cajas sobre la zona espacial anunciada requiere una evaluación específica.</w:t>
      </w:r>
    </w:p>
    <w:p>
      <w:bookmarkStart w:id="1071" w:name="report_1071"/>
      <w:pPr>
        <w:pStyle w:val="Ttulo2"/>
      </w:pPr>
      <w:r>
        <w:t>4.6 Consideraciones de validez</w:t>
      </w:r>
      <w:bookmarkEnd w:id="1071"/>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2" w:name="report_1072"/>
      <w:pPr>
        <w:pStyle w:val="Ttulo2"/>
      </w:pPr>
      <w:r>
        <w:t>4.7 Distribución del tiempo de procesamiento</w:t>
      </w:r>
      <w:bookmarkEnd w:id="1072"/>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w:t>
      </w:r>
    </w:p>
    <w:p>
      <w:bookmarkStart w:id="1073" w:name="report_1073"/>
      <w:pPr>
        <w:pStyle w:val="Descripcin"/>
        <w:keepNext/>
        <w:spacing w:line="240" w:lineRule="auto" w:before="160" w:after="160"/>
        <w:jc w:val="center"/>
      </w:pPr>
      <w:r>
        <w:rPr>
          <w:sz w:val="20"/>
        </w:rPr>
        <w:t>Tabla 4.8. Distribución de tiempos de reproducción en emulador en milisegundos.</w:t>
      </w:r>
      <w:bookmarkEnd w:id="107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4" w:name="report_1074"/>
      <w:pPr>
        <w:pStyle w:val="Ttulo2"/>
      </w:pPr>
      <w:r>
        <w:t>4.8 Brillo de las imágenes y alcance del análisis de oclusión</w:t>
      </w:r>
      <w:bookmarkEnd w:id="1074"/>
    </w:p>
    <w:p>
      <w:pPr>
        <w:widowControl/>
        <w:spacing w:line="360" w:lineRule="auto" w:after="330"/>
        <w:jc w:val="both"/>
      </w:pPr>
      <w:r>
        <w:t>La propuesta incluye iluminación y oclusión como condiciones de evaluación [34]. Las fotografías no tienen registros de lux ni etiquetas de oclusión. Como análisis posterior disponible, se calculó el brillo digital medio de cada JPEG a resolución original mediante la conversión RGB a escala de grises de ocho bits de Pillow [35].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5" w:name="report_1075"/>
      <w:pPr>
        <w:pStyle w:val="Descripcin"/>
        <w:keepNext/>
        <w:spacing w:line="240" w:lineRule="auto" w:before="160" w:after="160"/>
        <w:jc w:val="center"/>
      </w:pPr>
      <w:r>
        <w:rPr>
          <w:sz w:val="20"/>
        </w:rPr>
        <w:t>Tabla 4.9. Detección agrupada por brillo digital de las fotografías.</w:t>
      </w:r>
      <w:bookmarkEnd w:id="107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widowControl/>
        <w:spacing w:line="360" w:lineRule="auto" w:after="330"/>
        <w:jc w:val="both"/>
      </w:pPr>
      <w:r>
        <w:t>La oclusión requiere una revisión adicional de las imágenes originales. Las cajas COCO disponibles no incluyen fracción visible, límites completos de objetos ocultos ni etiquetas de severidad. El área de una caja pequeña puede deberse a distancia, tamaño físico u oclusión, por lo que no se usa como sustituto de oclusión. Con las fotografías actuales se puede crear una anotación manual de ausencia, oclusión parcial y truncamiento por borde, con definiciones previas y revisión independiente, y después estratificar detección por clase y tamaño aparente. Esa anotación no se presenta como realizada. Las pruebas con iluminación controlada y distancias medidas requieren capturas nuevas.</w:t>
      </w:r>
    </w:p>
    <w:p>
      <w:bookmarkStart w:id="1076" w:name="report_1076"/>
      <w:pPr>
        <w:pStyle w:val="Ttulo2"/>
      </w:pPr>
      <w:r>
        <w:t>4.9 Correspondencia con las actividades de la propuesta</w:t>
      </w:r>
      <w:bookmarkEnd w:id="1076"/>
    </w:p>
    <w:p>
      <w:pPr>
        <w:widowControl/>
        <w:spacing w:line="360" w:lineRule="auto" w:after="330"/>
        <w:jc w:val="both"/>
      </w:pPr>
      <w:r>
        <w:t>La Tabla 4.10 relaciona las catorce actividades de las tres fases con los resultados del informe. «Documentada» indica evidencia del análisis o diseño; «implementada» indica disponibilidad técnica; «parcial» identifica componentes evaluados junto con criterios todavía pendientes. Ninguno de estos estados equivale a demostrar autonomía, seguridad de navegación o aceptación por usuarios.</w:t>
      </w:r>
    </w:p>
    <w:p>
      <w:bookmarkStart w:id="1077" w:name="report_1077"/>
      <w:pPr>
        <w:pStyle w:val="Descripcin"/>
        <w:keepNext/>
        <w:spacing w:line="240" w:lineRule="auto" w:before="160" w:after="160"/>
        <w:jc w:val="center"/>
      </w:pPr>
      <w:r>
        <w:rPr>
          <w:sz w:val="20"/>
        </w:rPr>
        <w:t>Tabla 4.10. Evidencias y alcance de las actividades de la pasantía.</w:t>
      </w:r>
      <w:bookmarkEnd w:id="107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t>Fase y actividad</w:t>
            </w:r>
          </w:p>
        </w:tc>
        <w:tc>
          <w:tcPr>
            <w:tcW w:type="dxa" w:w="3528"/>
            <w:vAlign w:val="center"/>
            <w:shd w:fill="EEEEEE"/>
          </w:tcPr>
          <w:p>
            <w:pPr>
              <w:keepNext/>
              <w:spacing w:line="240" w:lineRule="auto" w:after="60"/>
            </w:pPr>
            <w:r>
              <w:rPr>
                <w:rFonts w:ascii="Arial" w:hAnsi="Arial"/>
                <w:b/>
                <w:sz w:val="20"/>
              </w:rPr>
              <w:t>Evidencia</w:t>
            </w:r>
          </w:p>
        </w:tc>
        <w:tc>
          <w:tcPr>
            <w:tcW w:type="dxa" w:w="2203"/>
            <w:vAlign w:val="center"/>
            <w:shd w:fill="EEEEEE"/>
          </w:tcPr>
          <w:p>
            <w:pPr>
              <w:keepNext/>
              <w:spacing w:line="240" w:lineRule="auto" w:after="60"/>
            </w:pPr>
            <w:r>
              <w:rPr>
                <w:rFonts w:ascii="Arial" w:hAnsi="Arial"/>
                <w:b/>
                <w:sz w:val="20"/>
              </w:rPr>
              <w:t>Estado</w:t>
            </w:r>
          </w:p>
        </w:tc>
      </w:tr>
      <w:tr>
        <w:trPr>
          <w:cantSplit/>
        </w:trPr>
        <w:tc>
          <w:tcPr>
            <w:tcW w:type="dxa" w:w="3024"/>
            <w:vAlign w:val="center"/>
          </w:tcPr>
          <w:p>
            <w:pPr>
              <w:keepNext/>
              <w:spacing w:line="240" w:lineRule="auto" w:after="60"/>
            </w:pPr>
            <w:r>
              <w:rPr>
                <w:rFonts w:ascii="Arial" w:hAnsi="Arial"/>
                <w:b w:val="0"/>
                <w:sz w:val="20"/>
              </w:rPr>
              <w:t>1. Revisión teórica y problema</w:t>
            </w:r>
          </w:p>
        </w:tc>
        <w:tc>
          <w:tcPr>
            <w:tcW w:type="dxa" w:w="3528"/>
            <w:vAlign w:val="center"/>
          </w:tcPr>
          <w:p>
            <w:pPr>
              <w:keepNext/>
              <w:spacing w:line="240" w:lineRule="auto" w:after="60"/>
            </w:pPr>
            <w:r>
              <w:rPr>
                <w:rFonts w:ascii="Arial" w:hAnsi="Arial"/>
                <w:b w:val="0"/>
                <w:sz w:val="20"/>
              </w:rPr>
              <w:t>Capítulo 1 y antecedentes de la introducción.</w:t>
            </w:r>
          </w:p>
        </w:tc>
        <w:tc>
          <w:tcPr>
            <w:tcW w:type="dxa" w:w="2203"/>
            <w:vAlign w:val="center"/>
          </w:tcPr>
          <w:p>
            <w:pPr>
              <w:keepNext/>
              <w:spacing w:line="240" w:lineRule="auto" w:after="60"/>
            </w:pPr>
            <w:r>
              <w:rPr>
                <w:rFonts w:ascii="Arial" w:hAnsi="Arial"/>
                <w:b w:val="0"/>
                <w:sz w:val="20"/>
              </w:rPr>
              <w:t>Documentada</w:t>
            </w:r>
          </w:p>
        </w:tc>
      </w:tr>
      <w:tr>
        <w:trPr>
          <w:cantSplit/>
        </w:trPr>
        <w:tc>
          <w:tcPr>
            <w:tcW w:type="dxa" w:w="3024"/>
            <w:vAlign w:val="center"/>
          </w:tcPr>
          <w:p>
            <w:pPr>
              <w:keepNext/>
              <w:spacing w:line="240" w:lineRule="auto" w:after="60"/>
            </w:pPr>
            <w:r>
              <w:rPr>
                <w:rFonts w:ascii="Arial" w:hAnsi="Arial"/>
                <w:b w:val="0"/>
                <w:sz w:val="20"/>
              </w:rPr>
              <w:t>1. Requerimientos y diseño conceptual</w:t>
            </w:r>
          </w:p>
        </w:tc>
        <w:tc>
          <w:tcPr>
            <w:tcW w:type="dxa" w:w="3528"/>
            <w:vAlign w:val="center"/>
          </w:tcPr>
          <w:p>
            <w:pPr>
              <w:keepNext/>
              <w:spacing w:line="240" w:lineRule="auto" w:after="60"/>
            </w:pPr>
            <w:r>
              <w:rPr>
                <w:rFonts w:ascii="Arial" w:hAnsi="Arial"/>
                <w:b w:val="0"/>
                <w:sz w:val="20"/>
              </w:rPr>
              <w:t>Arquitectura, alcance y Tabla 3.4.</w:t>
            </w:r>
          </w:p>
        </w:tc>
        <w:tc>
          <w:tcPr>
            <w:tcW w:type="dxa" w:w="2203"/>
            <w:vAlign w:val="center"/>
          </w:tcPr>
          <w:p>
            <w:pPr>
              <w:keepNext/>
              <w:spacing w:line="240" w:lineRule="auto" w:after="60"/>
            </w:pPr>
            <w:r>
              <w:rPr>
                <w:rFonts w:ascii="Arial" w:hAnsi="Arial"/>
                <w:b w:val="0"/>
                <w:sz w:val="20"/>
              </w:rPr>
              <w:t>Documentada; sin consulta a usuarios</w:t>
            </w:r>
          </w:p>
        </w:tc>
      </w:tr>
      <w:tr>
        <w:trPr>
          <w:cantSplit/>
        </w:trPr>
        <w:tc>
          <w:tcPr>
            <w:tcW w:type="dxa" w:w="3024"/>
            <w:vAlign w:val="center"/>
          </w:tcPr>
          <w:p>
            <w:pPr>
              <w:keepNext/>
              <w:spacing w:line="240" w:lineRule="auto" w:after="60"/>
            </w:pPr>
            <w:r>
              <w:rPr>
                <w:rFonts w:ascii="Arial" w:hAnsi="Arial"/>
                <w:b w:val="0"/>
                <w:sz w:val="20"/>
              </w:rPr>
              <w:t>1. Selección y evaluación DNN</w:t>
            </w:r>
          </w:p>
        </w:tc>
        <w:tc>
          <w:tcPr>
            <w:tcW w:type="dxa" w:w="3528"/>
            <w:vAlign w:val="center"/>
          </w:tcPr>
          <w:p>
            <w:pPr>
              <w:keepNext/>
              <w:spacing w:line="240" w:lineRule="auto" w:after="60"/>
            </w:pPr>
            <w:r>
              <w:rPr>
                <w:rFonts w:ascii="Arial" w:hAnsi="Arial"/>
                <w:b w:val="0"/>
                <w:sz w:val="20"/>
              </w:rPr>
              <w:t>Seis configuraciones, 80 imágenes, benchmark en Redmi; capítulo 2.</w:t>
            </w:r>
          </w:p>
        </w:tc>
        <w:tc>
          <w:tcPr>
            <w:tcW w:type="dxa" w:w="2203"/>
            <w:vAlign w:val="center"/>
          </w:tcPr>
          <w:p>
            <w:pPr>
              <w:keepNext/>
              <w:spacing w:line="240" w:lineRule="auto" w:after="60"/>
            </w:pPr>
            <w:r>
              <w:rPr>
                <w:rFonts w:ascii="Arial" w:hAnsi="Arial"/>
                <w:b w:val="0"/>
                <w:sz w:val="20"/>
              </w:rPr>
              <w:t>Evaluada en el entorno descrito</w:t>
            </w:r>
          </w:p>
        </w:tc>
      </w:tr>
      <w:tr>
        <w:trPr>
          <w:cantSplit/>
        </w:trPr>
        <w:tc>
          <w:tcPr>
            <w:tcW w:type="dxa" w:w="3024"/>
            <w:vAlign w:val="center"/>
          </w:tcPr>
          <w:p>
            <w:pPr>
              <w:keepNext/>
              <w:spacing w:line="240" w:lineRule="auto" w:after="60"/>
            </w:pPr>
            <w:r>
              <w:rPr>
                <w:rFonts w:ascii="Arial" w:hAnsi="Arial"/>
                <w:b w:val="0"/>
                <w:sz w:val="20"/>
              </w:rPr>
              <w:t>1. Objetos prioritarios</w:t>
            </w:r>
          </w:p>
        </w:tc>
        <w:tc>
          <w:tcPr>
            <w:tcW w:type="dxa" w:w="3528"/>
            <w:vAlign w:val="center"/>
          </w:tcPr>
          <w:p>
            <w:pPr>
              <w:keepNext/>
              <w:spacing w:line="240" w:lineRule="auto" w:after="60"/>
            </w:pPr>
            <w:r>
              <w:rPr>
                <w:rFonts w:ascii="Arial" w:hAnsi="Arial"/>
                <w:b w:val="0"/>
                <w:sz w:val="20"/>
              </w:rPr>
              <w:t>Diez clases COCO, Tabla 3.1 y sección 3.7.</w:t>
            </w:r>
          </w:p>
        </w:tc>
        <w:tc>
          <w:tcPr>
            <w:tcW w:type="dxa" w:w="2203"/>
            <w:vAlign w:val="center"/>
          </w:tcPr>
          <w:p>
            <w:pPr>
              <w:keepNext/>
              <w:spacing w:line="240" w:lineRule="auto" w:after="60"/>
            </w:pPr>
            <w:r>
              <w:rPr>
                <w:rFonts w:ascii="Arial" w:hAnsi="Arial"/>
                <w:b w:val="0"/>
                <w:sz w:val="20"/>
              </w:rPr>
              <w:t>Parcial; sin puertas ni validación de prioridades</w:t>
            </w:r>
          </w:p>
        </w:tc>
      </w:tr>
      <w:tr>
        <w:trPr>
          <w:cantSplit/>
        </w:trPr>
        <w:tc>
          <w:tcPr>
            <w:tcW w:type="dxa" w:w="3024"/>
            <w:vAlign w:val="center"/>
          </w:tcPr>
          <w:p>
            <w:pPr>
              <w:keepNext/>
              <w:spacing w:line="240" w:lineRule="auto" w:after="60"/>
            </w:pPr>
            <w:r>
              <w:rPr>
                <w:rFonts w:ascii="Arial" w:hAnsi="Arial"/>
                <w:b w:val="0"/>
                <w:sz w:val="20"/>
              </w:rPr>
              <w:t>1. Diseño de descriptores</w:t>
            </w:r>
          </w:p>
        </w:tc>
        <w:tc>
          <w:tcPr>
            <w:tcW w:type="dxa" w:w="3528"/>
            <w:vAlign w:val="center"/>
          </w:tcPr>
          <w:p>
            <w:pPr>
              <w:keepNext/>
              <w:spacing w:line="240" w:lineRule="auto" w:after="60"/>
            </w:pPr>
            <w:r>
              <w:rPr>
                <w:rFonts w:ascii="Arial" w:hAnsi="Arial"/>
                <w:b w:val="0"/>
                <w:sz w:val="20"/>
              </w:rPr>
              <w:t>Seis zonas y composición textual, secciones 3.6 y 3.8.</w:t>
            </w:r>
          </w:p>
        </w:tc>
        <w:tc>
          <w:tcPr>
            <w:tcW w:type="dxa" w:w="2203"/>
            <w:vAlign w:val="center"/>
          </w:tcPr>
          <w:p>
            <w:pPr>
              <w:keepNext/>
              <w:spacing w:line="240" w:lineRule="auto" w:after="60"/>
            </w:pPr>
            <w:r>
              <w:rPr>
                <w:rFonts w:ascii="Arial" w:hAnsi="Arial"/>
                <w:b w:val="0"/>
                <w:sz w:val="20"/>
              </w:rPr>
              <w:t>Documentada; comprensión pendiente</w:t>
            </w:r>
          </w:p>
        </w:tc>
      </w:tr>
      <w:tr>
        <w:trPr>
          <w:cantSplit/>
        </w:trPr>
        <w:tc>
          <w:tcPr>
            <w:tcW w:type="dxa" w:w="3024"/>
            <w:vAlign w:val="center"/>
          </w:tcPr>
          <w:p>
            <w:pPr>
              <w:keepNext/>
              <w:spacing w:line="240" w:lineRule="auto" w:after="60"/>
            </w:pPr>
            <w:r>
              <w:rPr>
                <w:rFonts w:ascii="Arial" w:hAnsi="Arial"/>
                <w:b w:val="0"/>
                <w:sz w:val="20"/>
              </w:rPr>
              <w:t>2. Sistema integrado y posición</w:t>
            </w:r>
          </w:p>
        </w:tc>
        <w:tc>
          <w:tcPr>
            <w:tcW w:type="dxa" w:w="3528"/>
            <w:vAlign w:val="center"/>
          </w:tcPr>
          <w:p>
            <w:pPr>
              <w:keepNext/>
              <w:spacing w:line="240" w:lineRule="auto" w:after="60"/>
            </w:pPr>
            <w:r>
              <w:rPr>
                <w:rFonts w:ascii="Arial" w:hAnsi="Arial"/>
                <w:b w:val="0"/>
                <w:sz w:val="20"/>
              </w:rPr>
              <w:t>Flujo modular y seis configuraciones, secciones 3.1 y 3.2.</w:t>
            </w:r>
          </w:p>
        </w:tc>
        <w:tc>
          <w:tcPr>
            <w:tcW w:type="dxa" w:w="2203"/>
            <w:vAlign w:val="center"/>
          </w:tcPr>
          <w:p>
            <w:pPr>
              <w:keepNext/>
              <w:spacing w:line="240" w:lineRule="auto" w:after="60"/>
            </w:pPr>
            <w:r>
              <w:rPr>
                <w:rFonts w:ascii="Arial" w:hAnsi="Arial"/>
                <w:b w:val="0"/>
                <w:sz w:val="20"/>
              </w:rPr>
              <w:t>Implementada; ergonomía pendiente</w:t>
            </w:r>
          </w:p>
        </w:tc>
      </w:tr>
      <w:tr>
        <w:trPr>
          <w:cantSplit/>
        </w:trPr>
        <w:tc>
          <w:tcPr>
            <w:tcW w:type="dxa" w:w="3024"/>
            <w:vAlign w:val="center"/>
          </w:tcPr>
          <w:p>
            <w:pPr>
              <w:keepNext/>
              <w:spacing w:line="240" w:lineRule="auto" w:after="60"/>
            </w:pPr>
            <w:r>
              <w:rPr>
                <w:rFonts w:ascii="Arial" w:hAnsi="Arial"/>
                <w:b w:val="0"/>
                <w:sz w:val="20"/>
              </w:rPr>
              <w:t>2. Interfaz de captura</w:t>
            </w:r>
          </w:p>
        </w:tc>
        <w:tc>
          <w:tcPr>
            <w:tcW w:type="dxa" w:w="3528"/>
            <w:vAlign w:val="center"/>
          </w:tcPr>
          <w:p>
            <w:pPr>
              <w:keepNext/>
              <w:spacing w:line="240" w:lineRule="auto" w:after="60"/>
            </w:pPr>
            <w:r>
              <w:rPr>
                <w:rFonts w:ascii="Arial" w:hAnsi="Arial"/>
                <w:b w:val="0"/>
                <w:sz w:val="20"/>
              </w:rPr>
              <w:t>CameraX, captura manual y estados, secciones 3.3 y 3.11.</w:t>
            </w:r>
          </w:p>
        </w:tc>
        <w:tc>
          <w:tcPr>
            <w:tcW w:type="dxa" w:w="2203"/>
            <w:vAlign w:val="center"/>
          </w:tcPr>
          <w:p>
            <w:pPr>
              <w:keepNext/>
              <w:spacing w:line="240" w:lineRule="auto" w:after="60"/>
            </w:pPr>
            <w:r>
              <w:rPr>
                <w:rFonts w:ascii="Arial" w:hAnsi="Arial"/>
                <w:b w:val="0"/>
                <w:sz w:val="20"/>
              </w:rPr>
              <w:t>Implementada</w:t>
            </w:r>
          </w:p>
        </w:tc>
      </w:tr>
      <w:tr>
        <w:trPr>
          <w:cantSplit/>
        </w:trPr>
        <w:tc>
          <w:tcPr>
            <w:tcW w:type="dxa" w:w="3024"/>
            <w:vAlign w:val="center"/>
          </w:tcPr>
          <w:p>
            <w:pPr>
              <w:keepNext/>
              <w:spacing w:line="240" w:lineRule="auto" w:after="60"/>
            </w:pPr>
            <w:r>
              <w:rPr>
                <w:rFonts w:ascii="Arial" w:hAnsi="Arial"/>
                <w:b w:val="0"/>
                <w:sz w:val="20"/>
              </w:rPr>
              <w:t>2. Adaptación e integración DNN</w:t>
            </w:r>
          </w:p>
        </w:tc>
        <w:tc>
          <w:tcPr>
            <w:tcW w:type="dxa" w:w="3528"/>
            <w:vAlign w:val="center"/>
          </w:tcPr>
          <w:p>
            <w:pPr>
              <w:keepNext/>
              <w:spacing w:line="240" w:lineRule="auto" w:after="60"/>
            </w:pPr>
            <w:r>
              <w:rPr>
                <w:rFonts w:ascii="Arial" w:hAnsi="Arial"/>
                <w:b w:val="0"/>
                <w:sz w:val="20"/>
              </w:rPr>
              <w:t>Modelo TFLite, letterbox y coordenadas, secciones 3.4 y 3.5.</w:t>
            </w:r>
          </w:p>
        </w:tc>
        <w:tc>
          <w:tcPr>
            <w:tcW w:type="dxa" w:w="2203"/>
            <w:vAlign w:val="center"/>
          </w:tcPr>
          <w:p>
            <w:pPr>
              <w:keepNext/>
              <w:spacing w:line="240" w:lineRule="auto" w:after="60"/>
            </w:pPr>
            <w:r>
              <w:rPr>
                <w:rFonts w:ascii="Arial" w:hAnsi="Arial"/>
                <w:b w:val="0"/>
                <w:sz w:val="20"/>
              </w:rPr>
              <w:t>Implementada; sin entrenamiento nuevo</w:t>
            </w:r>
          </w:p>
        </w:tc>
      </w:tr>
      <w:tr>
        <w:trPr>
          <w:cantSplit/>
        </w:trPr>
        <w:tc>
          <w:tcPr>
            <w:tcW w:type="dxa" w:w="3024"/>
            <w:vAlign w:val="center"/>
          </w:tcPr>
          <w:p>
            <w:pPr>
              <w:keepNext/>
              <w:spacing w:line="240" w:lineRule="auto" w:after="60"/>
            </w:pPr>
            <w:r>
              <w:rPr>
                <w:rFonts w:ascii="Arial" w:hAnsi="Arial"/>
                <w:b w:val="0"/>
                <w:sz w:val="20"/>
              </w:rPr>
              <w:t>2. Módulo de audio</w:t>
            </w:r>
          </w:p>
        </w:tc>
        <w:tc>
          <w:tcPr>
            <w:tcW w:type="dxa" w:w="3528"/>
            <w:vAlign w:val="center"/>
          </w:tcPr>
          <w:p>
            <w:pPr>
              <w:keepNext/>
              <w:spacing w:line="240" w:lineRule="auto" w:after="60"/>
            </w:pPr>
            <w:r>
              <w:rPr>
                <w:rFonts w:ascii="Arial" w:hAnsi="Arial"/>
                <w:b w:val="0"/>
                <w:sz w:val="20"/>
              </w:rPr>
              <w:t>Síntesis local y formato de mensajes, sección 3.8.</w:t>
            </w:r>
          </w:p>
        </w:tc>
        <w:tc>
          <w:tcPr>
            <w:tcW w:type="dxa" w:w="2203"/>
            <w:vAlign w:val="center"/>
          </w:tcPr>
          <w:p>
            <w:pPr>
              <w:keepNext/>
              <w:spacing w:line="240" w:lineRule="auto" w:after="60"/>
            </w:pPr>
            <w:r>
              <w:rPr>
                <w:rFonts w:ascii="Arial" w:hAnsi="Arial"/>
                <w:b w:val="0"/>
                <w:sz w:val="20"/>
              </w:rPr>
              <w:t>Implementada; claridad no evaluada</w:t>
            </w:r>
          </w:p>
        </w:tc>
      </w:tr>
      <w:tr>
        <w:trPr>
          <w:cantSplit/>
        </w:trPr>
        <w:tc>
          <w:tcPr>
            <w:tcW w:type="dxa" w:w="3024"/>
            <w:vAlign w:val="center"/>
          </w:tcPr>
          <w:p>
            <w:pPr>
              <w:keepNext/>
              <w:spacing w:line="240" w:lineRule="auto" w:after="60"/>
            </w:pPr>
            <w:r>
              <w:rPr>
                <w:rFonts w:ascii="Arial" w:hAnsi="Arial"/>
                <w:b w:val="0"/>
                <w:sz w:val="20"/>
              </w:rPr>
              <w:t>2. Prototipo móvil</w:t>
            </w:r>
          </w:p>
        </w:tc>
        <w:tc>
          <w:tcPr>
            <w:tcW w:type="dxa" w:w="3528"/>
            <w:vAlign w:val="center"/>
          </w:tcPr>
          <w:p>
            <w:pPr>
              <w:keepNext/>
              <w:spacing w:line="240" w:lineRule="auto" w:after="60"/>
            </w:pPr>
            <w:r>
              <w:rPr>
                <w:rFonts w:ascii="Arial" w:hAnsi="Arial"/>
                <w:b w:val="0"/>
                <w:sz w:val="20"/>
              </w:rPr>
              <w:t>Integración Android y pruebas, sección 3.12 y anexo B.</w:t>
            </w:r>
          </w:p>
        </w:tc>
        <w:tc>
          <w:tcPr>
            <w:tcW w:type="dxa" w:w="2203"/>
            <w:vAlign w:val="center"/>
          </w:tcPr>
          <w:p>
            <w:pPr>
              <w:keepNext/>
              <w:spacing w:line="240" w:lineRule="auto" w:after="60"/>
            </w:pPr>
            <w:r>
              <w:rPr>
                <w:rFonts w:ascii="Arial" w:hAnsi="Arial"/>
                <w:b w:val="0"/>
                <w:sz w:val="20"/>
              </w:rPr>
              <w:t>Implementada; no validada con usuarios</w:t>
            </w:r>
          </w:p>
        </w:tc>
      </w:tr>
      <w:tr>
        <w:trPr>
          <w:cantSplit/>
        </w:trPr>
        <w:tc>
          <w:tcPr>
            <w:tcW w:type="dxa" w:w="3024"/>
            <w:vAlign w:val="center"/>
          </w:tcPr>
          <w:p>
            <w:pPr>
              <w:keepNext/>
              <w:spacing w:line="240" w:lineRule="auto" w:after="60"/>
            </w:pPr>
            <w:r>
              <w:rPr>
                <w:rFonts w:ascii="Arial" w:hAnsi="Arial"/>
                <w:b w:val="0"/>
                <w:sz w:val="20"/>
              </w:rPr>
              <w:t>3. Posicionamiento del dispositivo</w:t>
            </w:r>
          </w:p>
        </w:tc>
        <w:tc>
          <w:tcPr>
            <w:tcW w:type="dxa" w:w="3528"/>
            <w:vAlign w:val="center"/>
          </w:tcPr>
          <w:p>
            <w:pPr>
              <w:keepNext/>
              <w:spacing w:line="240" w:lineRule="auto" w:after="60"/>
            </w:pPr>
            <w:r>
              <w:rPr>
                <w:rFonts w:ascii="Arial" w:hAnsi="Arial"/>
                <w:b w:val="0"/>
                <w:sz w:val="20"/>
              </w:rPr>
              <w:t>33 grupos y seis configuraciones, secciones 4.2 y 4.3.</w:t>
            </w:r>
          </w:p>
        </w:tc>
        <w:tc>
          <w:tcPr>
            <w:tcW w:type="dxa" w:w="2203"/>
            <w:vAlign w:val="center"/>
          </w:tcPr>
          <w:p>
            <w:pPr>
              <w:keepNext/>
              <w:spacing w:line="240" w:lineRule="auto" w:after="60"/>
            </w:pPr>
            <w:r>
              <w:rPr>
                <w:rFonts w:ascii="Arial" w:hAnsi="Arial"/>
                <w:b w:val="0"/>
                <w:sz w:val="20"/>
              </w:rPr>
              <w:t>Parcial; sin estabilidad ni comodidad</w:t>
            </w:r>
          </w:p>
        </w:tc>
      </w:tr>
      <w:tr>
        <w:trPr>
          <w:cantSplit/>
        </w:trPr>
        <w:tc>
          <w:tcPr>
            <w:tcW w:type="dxa" w:w="3024"/>
            <w:vAlign w:val="center"/>
          </w:tcPr>
          <w:p>
            <w:pPr>
              <w:keepNext/>
              <w:spacing w:line="240" w:lineRule="auto" w:after="60"/>
            </w:pPr>
            <w:r>
              <w:rPr>
                <w:rFonts w:ascii="Arial" w:hAnsi="Arial"/>
                <w:b w:val="0"/>
                <w:sz w:val="20"/>
              </w:rPr>
              <w:t>3. Escenarios según objetos</w:t>
            </w:r>
          </w:p>
        </w:tc>
        <w:tc>
          <w:tcPr>
            <w:tcW w:type="dxa" w:w="3528"/>
            <w:vAlign w:val="center"/>
          </w:tcPr>
          <w:p>
            <w:pPr>
              <w:keepNext/>
              <w:spacing w:line="240" w:lineRule="auto" w:after="60"/>
            </w:pPr>
            <w:r>
              <w:rPr>
                <w:rFonts w:ascii="Arial" w:hAnsi="Arial"/>
                <w:b w:val="0"/>
                <w:sz w:val="20"/>
              </w:rPr>
              <w:t>198 fotografías, 889 instancias y diez clases, secciones 4.1 y 4.5.</w:t>
            </w:r>
          </w:p>
        </w:tc>
        <w:tc>
          <w:tcPr>
            <w:tcW w:type="dxa" w:w="2203"/>
            <w:vAlign w:val="center"/>
          </w:tcPr>
          <w:p>
            <w:pPr>
              <w:keepNext/>
              <w:spacing w:line="240" w:lineRule="auto" w:after="60"/>
            </w:pPr>
            <w:r>
              <w:rPr>
                <w:rFonts w:ascii="Arial" w:hAnsi="Arial"/>
                <w:b w:val="0"/>
                <w:sz w:val="20"/>
              </w:rPr>
              <w:t>Documentada; predominan sillas</w:t>
            </w:r>
          </w:p>
        </w:tc>
      </w:tr>
      <w:tr>
        <w:trPr>
          <w:cantSplit/>
        </w:trPr>
        <w:tc>
          <w:tcPr>
            <w:tcW w:type="dxa" w:w="3024"/>
            <w:vAlign w:val="center"/>
          </w:tcPr>
          <w:p>
            <w:pPr>
              <w:keepNext/>
              <w:spacing w:line="240" w:lineRule="auto" w:after="60"/>
            </w:pPr>
            <w:r>
              <w:rPr>
                <w:rFonts w:ascii="Arial" w:hAnsi="Arial"/>
                <w:b w:val="0"/>
                <w:sz w:val="20"/>
              </w:rPr>
              <w:t>3. Oclusión, iluminación y respuesta</w:t>
            </w:r>
          </w:p>
        </w:tc>
        <w:tc>
          <w:tcPr>
            <w:tcW w:type="dxa" w:w="3528"/>
            <w:vAlign w:val="center"/>
          </w:tcPr>
          <w:p>
            <w:pPr>
              <w:keepNext/>
              <w:spacing w:line="240" w:lineRule="auto" w:after="60"/>
            </w:pPr>
            <w:r>
              <w:rPr>
                <w:rFonts w:ascii="Arial" w:hAnsi="Arial"/>
                <w:b w:val="0"/>
                <w:sz w:val="20"/>
              </w:rPr>
              <w:t>Métricas, tiempos y brillo, secciones 4.5, 4.7 y 4.8.</w:t>
            </w:r>
          </w:p>
        </w:tc>
        <w:tc>
          <w:tcPr>
            <w:tcW w:type="dxa" w:w="2203"/>
            <w:vAlign w:val="center"/>
          </w:tcPr>
          <w:p>
            <w:pPr>
              <w:keepNext/>
              <w:spacing w:line="240" w:lineRule="auto" w:after="60"/>
            </w:pPr>
            <w:r>
              <w:rPr>
                <w:rFonts w:ascii="Arial" w:hAnsi="Arial"/>
                <w:b w:val="0"/>
                <w:sz w:val="20"/>
              </w:rPr>
              <w:t>Parcial; faltan oclusión, lux y latencia con voz</w:t>
            </w:r>
          </w:p>
        </w:tc>
      </w:tr>
      <w:tr>
        <w:trPr>
          <w:cantSplit/>
        </w:trPr>
        <w:tc>
          <w:tcPr>
            <w:tcW w:type="dxa" w:w="3024"/>
            <w:vAlign w:val="center"/>
          </w:tcPr>
          <w:p>
            <w:pPr>
              <w:keepNext w:val="0"/>
              <w:spacing w:line="240" w:lineRule="auto" w:after="60"/>
            </w:pPr>
            <w:r>
              <w:rPr>
                <w:rFonts w:ascii="Arial" w:hAnsi="Arial"/>
                <w:b w:val="0"/>
                <w:sz w:val="20"/>
              </w:rPr>
              <w:t>3. Informe y recomendaciones</w:t>
            </w:r>
          </w:p>
        </w:tc>
        <w:tc>
          <w:tcPr>
            <w:tcW w:type="dxa" w:w="3528"/>
            <w:vAlign w:val="center"/>
          </w:tcPr>
          <w:p>
            <w:pPr>
              <w:keepNext w:val="0"/>
              <w:spacing w:line="240" w:lineRule="auto" w:after="60"/>
            </w:pPr>
            <w:r>
              <w:rPr>
                <w:rFonts w:ascii="Arial" w:hAnsi="Arial"/>
                <w:b w:val="0"/>
                <w:sz w:val="20"/>
              </w:rPr>
              <w:t>Resultados, límites, conclusiones y trabajo futuro.</w:t>
            </w:r>
          </w:p>
        </w:tc>
        <w:tc>
          <w:tcPr>
            <w:tcW w:type="dxa" w:w="2203"/>
            <w:vAlign w:val="center"/>
          </w:tcPr>
          <w:p>
            <w:pPr>
              <w:keepNext w:val="0"/>
              <w:spacing w:line="240" w:lineRule="auto" w:after="60"/>
            </w:pPr>
            <w:r>
              <w:rPr>
                <w:rFonts w:ascii="Arial" w:hAnsi="Arial"/>
                <w:b w:val="0"/>
                <w:sz w:val="20"/>
              </w:rPr>
              <w:t>Documentada; cierre institucional pendiente</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El primer objetivo específico cuenta con comparación experimental y selección explícita; el segundo, con un prototipo integrado y verificación técnica. El tercero dispone de resultados de detección y tiempos de procesamiento parciales, pero no de claridad auditiva ni de ensayos controlados de oclusión e iluminación. En consecuencia, el informe sustenta desarrollo y evaluación técnica parcial; el cierre de la evaluación con usuarios debe mantenerse como una actividad pendiente, en correspondencia con el objetivo original.</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8" w:name="report_1078"/>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8"/>
    </w:p>
    <w:p>
      <w:bookmarkStart w:id="1079" w:name="report_1079"/>
      <w:pPr>
        <w:pStyle w:val="Ttulo2"/>
      </w:pPr>
      <w:r>
        <w:t xml:space="preserve">5.1 Conclusiones</w:t>
      </w:r>
      <w:bookmarkEnd w:id="1079"/>
    </w:p>
    <w:p>
      <w:pPr>
        <w:pStyle w:val="Normal"/>
        <w:widowControl/>
        <w:spacing w:line="360" w:lineRule="auto" w:after="330"/>
        <w:jc w:val="both"/>
      </w:pPr>
      <w:r>
        <w:t xml:space="preserve">La comparación inicial sustentó la selección de EfficientDet-Lite2 para el Redmi Note 13: AP50 de 0,648, </w:t>
      </w:r>
      <w:r>
        <w:rPr>
          <w:i/>
        </w:rPr>
        <w:t>recall</w:t>
      </w:r>
      <w:r>
        <w:t xml:space="preserve"> de 0,677 y latencia aislada de 124,9 ms. La aplicación actual integra CameraX, LiteRT, geometría </w:t>
      </w:r>
      <w:r>
        <w:rPr>
          <w:i/>
        </w:rPr>
        <w:t>letterbox</w:t>
      </w:r>
      <w:r>
        <w:t>, localización en seis zonas y síntesis de voz local con sherpa-onnx. Las pruebas de lógica y la reproducción Android respaldan la ejecución de los componentes; no constituyen validación con usuarios finales.</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La elección por cantidad favorece provisionalmente Gorillapod 0,5x, mientras la elección por equilibrio precisión-</w:t>
      </w:r>
      <w:r>
        <w:rPr>
          <w:i/>
        </w:rPr>
        <w:t>recall</w:t>
      </w:r>
      <w:r>
        <w:t xml:space="preserve"> favorece pecho 1x. Las comparaciones no establecen un ganador universal y deben confirmarse en escenas nuevas.</w:t>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permanece parcial para claridad auditiva, oclusión,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80" w:name="report_1080"/>
      <w:pPr>
        <w:pStyle w:val="Ttulo2"/>
      </w:pPr>
      <w:r>
        <w:t xml:space="preserve">5.2 Recomendaciones</w:t>
      </w:r>
      <w:bookmarkEnd w:id="1080"/>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1" w:name="report_1081"/>
      <w:pPr>
        <w:pStyle w:val="Ttulo2"/>
      </w:pPr>
      <w:r>
        <w:t xml:space="preserve">5.3 Trabajo futuro</w:t>
      </w:r>
      <w:bookmarkEnd w:id="1081"/>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La ausencia de un protocolo previo de oclusión, lux y escucha limita el cumplimiento de la fase 3.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2" w:name="report_1082"/>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2"/>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/results/android.json (predicciones) y los scripts de métricas, escenas, estadística y profundidad. Los borradores no son etiquetas finales. verify_package.py comprueba el archivo base; Documents/Review registra esta revisión.</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3" w:name="report_1083"/>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3"/>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4" w:name="report_1084"/>
      <w:pPr>
        <w:pStyle w:val="Subttulo"/>
        <w:pageBreakBefore/>
        <w:numPr>
          <w:numId w:val="0"/>
        </w:numPr>
      </w:pPr>
      <w:r>
        <w:t xml:space="preserve">Anexo C: Manuales técnico y de usuario</w:t>
      </w:r>
      <w:bookmarkEnd w:id="1084"/>
    </w:p>
    <w:p>
      <w:pPr>
        <w:pStyle w:val="Normal"/>
        <w:widowControl/>
        <w:spacing w:line="360" w:lineRule="auto" w:after="330"/>
        <w:jc w:val="both"/>
      </w:pPr>
      <w:r>
        <w:t>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Build/Testing/README.md documenta la reproducción, los hashes y los límites de cada ejecución.</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5" w:name="report_1085"/>
      <w:pPr>
        <w:pStyle w:val="Ttulosposteriores"/>
        <w:pageBreakBefore/>
        <w:jc w:val="left"/>
      </w:pPr>
      <w:r w:rsidRPr="004F1FF8">
        <w:lastRenderedPageBreak/>
        <w:t>B</w:t>
      </w:r>
      <w:r w:rsidR="007D240C" w:rsidRPr="004F1FF8">
        <w:t>ibliografía</w:t>
      </w:r>
      <w:bookmarkEnd w:id="92"/>
      <w:bookmarkEnd w:id="93"/>
      <w:bookmarkEnd w:id="94"/>
      <w:bookmarkEnd w:id="95"/>
      <w:bookmarkEnd w:id="1085"/>
    </w:p>
    <w:p>
      <w:pPr>
        <w:pStyle w:val="Normal"/>
        <w:spacing w:line="360" w:lineRule="auto"/>
        <w:jc w:val="left"/>
        <w:ind w:left="720" w:hanging="720"/>
      </w:pPr>
      <w:r>
        <w:t xml:space="preserve">[1] R. Szeliski, “Computer Vision: Algorithms and Applications,” Springer-Verlag, Heidelberg, Berlin, 2010. [Online]. Available: https://dl.acm.org/doi/book/10.5555/1941882.</w:t>
      </w:r>
    </w:p>
    <w:p>
      <w:pPr>
        <w:pStyle w:val="Normal"/>
        <w:spacing w:line="360" w:lineRule="auto"/>
        <w:jc w:val="left"/>
        <w:ind w:left="720" w:hanging="720"/>
      </w:pPr>
      <w:r>
        <w:t xml:space="preserve">[2] World Health Organization, “World report on vision,” Geneva, Switzerland: World Health Organization, 2019. [Online]. Available: https://www.who.int/publications-detail/world-report-on-vision.</w:t>
      </w:r>
    </w:p>
    <w:p>
      <w:pPr>
        <w:pStyle w:val="Normal"/>
        <w:spacing w:line="360" w:lineRule="auto"/>
        <w:jc w:val="left"/>
        <w:ind w:left="720" w:hanging="720"/>
      </w:pPr>
      <w:r>
        <w:t xml:space="preserve">[3] TensorFlow, “TensorFlow Lite,” TensorFlow. [Online]. Available: https://www.tensorflow.org/lite/guide.</w:t>
      </w:r>
    </w:p>
    <w:p>
      <w:pPr>
        <w:pStyle w:val="Normal"/>
        <w:spacing w:line="360" w:lineRule="auto"/>
        <w:jc w:val="left"/>
        <w:ind w:left="720" w:hanging="720"/>
      </w:pPr>
      <w:r>
        <w:t xml:space="preserve">[4] S. Ren, K. He, R. Girshick, and J. Sun, “Faster R-CNN: Towards Real-Time Object Detection with Region Proposal Networks,” Jan. 06, 2016, arXiv:1506.01497. doi: 10.48550/arXiv.1506.01497.</w:t>
      </w:r>
    </w:p>
    <w:p>
      <w:pPr>
        <w:pStyle w:val="Normal"/>
        <w:spacing w:line="360" w:lineRule="auto"/>
        <w:jc w:val="left"/>
        <w:ind w:left="720" w:hanging="720"/>
      </w:pPr>
      <w:r>
        <w:t xml:space="preserve">[5] J. Redmon, S. Divvala, R. Girshick, and A. Farhadi, “You Only Look Once: Unified, Real-Time Object Detection,” in 2016 IEEE Conference on Computer Vision and Pattern Recognition (CVPR), Jun. 2016, pp. 779–788. doi: 10.1109/CVPR.2016.91.</w:t>
      </w:r>
    </w:p>
    <w:p>
      <w:pPr>
        <w:pStyle w:val="Normal"/>
        <w:spacing w:line="360" w:lineRule="auto"/>
        <w:jc w:val="left"/>
        <w:ind w:left="720" w:hanging="720"/>
      </w:pPr>
      <w:r>
        <w:t xml:space="preserve">[6] W. Liu et al., “SSD: Single Shot MultiBox Detector,” in Computer Vision – ECCV 2016, Cham: Springer International Publishing, 2016, pp. 21–37. doi: 10.1007/978-3-319-46448-0_2.</w:t>
      </w:r>
    </w:p>
    <w:p>
      <w:pPr>
        <w:pStyle w:val="Normal"/>
        <w:spacing w:line="360" w:lineRule="auto"/>
        <w:jc w:val="left"/>
        <w:ind w:left="720" w:hanging="720"/>
      </w:pPr>
      <w:r>
        <w:t xml:space="preserve">[7] M. Tan, R. Pang, and Q. V. Le, “EfficientDet: Scalable and Efficient Object Detection,” in 2020 IEEE/CVF Conference on Computer Vision and Pattern Recognition (CVPR), Jun. 2020, pp. 10781–10790. doi: 10.1109/CVPR42600.2020.01079.</w:t>
      </w:r>
    </w:p>
    <w:p>
      <w:pPr>
        <w:pStyle w:val="Normal"/>
        <w:spacing w:line="360" w:lineRule="auto"/>
        <w:jc w:val="left"/>
        <w:ind w:left="720" w:hanging="720"/>
      </w:pPr>
      <w:r>
        <w:t xml:space="preserve">[8] S. S. More, N. Patil, V. B. Lobo, N. Shet, D. Goswami, and P. Rane, “Empowering the Visually Impaired: YOLOv8-based Object Detection in Android Applications,” Procedia Computer Science, vol. 252, pp. 457–469, 2025. doi: 10.1016/j.procs.2025.01.054.</w:t>
      </w:r>
    </w:p>
    <w:p>
      <w:pPr>
        <w:pStyle w:val="Normal"/>
        <w:spacing w:line="360" w:lineRule="auto"/>
        <w:jc w:val="left"/>
        <w:ind w:left="720" w:hanging="720"/>
      </w:pPr>
      <w:r>
        <w:t xml:space="preserve">[9] Universidad del Magdalena, “Plan de Desarrollo UNIMAGDALENA Comprometida 2020–2030,” Santa Marta, Colombia, 2020.</w:t>
      </w:r>
    </w:p>
    <w:p>
      <w:pPr>
        <w:pStyle w:val="Normal"/>
        <w:spacing w:line="360" w:lineRule="auto"/>
        <w:jc w:val="left"/>
        <w:ind w:left="720" w:hanging="720"/>
      </w:pPr>
      <w:r>
        <w:t xml:space="preserve">[10] Universidad del Magdalena, “Plan de Gobierno Rectoral 2024–2028,” Santa Marta, Colombia, 2024.</w:t>
      </w:r>
    </w:p>
    <w:p>
      <w:pPr>
        <w:pStyle w:val="Normal"/>
        <w:spacing w:line="360" w:lineRule="auto"/>
        <w:jc w:val="left"/>
        <w:ind w:left="720" w:hanging="720"/>
      </w:pPr>
      <w:r>
        <w:t xml:space="preserve">[11] R. Meenakshi, R. Ponnusamy, S. Alghamdi, O. I. Khalaf, and Y. Alotaibi, “Development of Mobile App to Support the Mobility of Visually Impaired People,” Computers, Materials &amp; Continua, vol. 73, no. 2, pp. 3473–3495, 2022. doi: 10.32604/cmc.2022.028540.</w:t>
      </w:r>
    </w:p>
    <w:p>
      <w:pPr>
        <w:pStyle w:val="Normal"/>
        <w:spacing w:line="360" w:lineRule="auto"/>
        <w:jc w:val="left"/>
        <w:ind w:left="720" w:hanging="720"/>
      </w:pPr>
      <w:r>
        <w:t xml:space="preserve">[12] K. Guravaiah, Y. S. Bhavadeesha, P. Shwejana, A. H. Vardhan, and L. Saa, “Third Eye: Object Recognition and Speech Generation for Visually Impaired,” Procedia Computer Science, vol. 218, pp. 1144–1155, 2023. doi: 10.1016/j.procs.2023.01.093.</w:t>
      </w:r>
    </w:p>
    <w:p>
      <w:pPr>
        <w:pStyle w:val="Normal"/>
        <w:spacing w:line="360" w:lineRule="auto"/>
        <w:jc w:val="left"/>
        <w:ind w:left="720" w:hanging="720"/>
      </w:pPr>
      <w:r>
        <w:t xml:space="preserve">[13] T.-Y. Lin et al., “Microsoft COCO: Common Objects in Context,” in Computer Vision – ECCV 2014, Cham: Springer International Publishing, 2014, pp. 740–755. doi: 10.1007/978-3-319-10602-1_48.</w:t>
      </w:r>
    </w:p>
    <w:p>
      <w:pPr>
        <w:pStyle w:val="Normal"/>
        <w:spacing w:line="360" w:lineRule="auto"/>
        <w:jc w:val="left"/>
        <w:ind w:left="720" w:hanging="720"/>
      </w:pPr>
      <w:r>
        <w:t xml:space="preserve">[14] D. R. Pawar, “Deep Learning-Driven Assistive Technology for Blind Users: Real-Time Object Detection and Speech Feedback on Android,” 2025.</w:t>
      </w:r>
    </w:p>
    <w:p>
      <w:pPr>
        <w:pStyle w:val="Normal"/>
        <w:spacing w:line="360" w:lineRule="auto"/>
        <w:jc w:val="left"/>
        <w:ind w:left="720" w:hanging="720"/>
      </w:pPr>
      <w:r>
        <w:t xml:space="preserve">[15] J. Figura, R. Kuźmiczuk, and M. Badurowicz, “Analysis of object recognition systems using augmented reality glasses,” Journal of Computer Sciences Institute, vol. 34, pp. 8–13, 2025.</w:t>
      </w:r>
    </w:p>
    <w:p>
      <w:pPr>
        <w:pStyle w:val="Normal"/>
        <w:spacing w:line="360" w:lineRule="auto"/>
        <w:jc w:val="left"/>
        <w:ind w:left="720" w:hanging="720"/>
      </w:pPr>
      <w:r>
        <w:t xml:space="preserve">[16] A. G. Howard, M. Zhu, B. Chen, D. Kalenichenko, W. Wang, T. Weyand, M. Andreetto, and H. Adam, “MobileNets: Efficient Convolutional Neural Networks for Mobile Vision Applications,” arXiv:1704.04861, 2017.</w:t>
      </w:r>
    </w:p>
    <w:p>
      <w:pPr>
        <w:pStyle w:val="Normal"/>
        <w:spacing w:line="360" w:lineRule="auto"/>
        <w:jc w:val="left"/>
        <w:ind w:left="720" w:hanging="720"/>
      </w:pPr>
      <w:r>
        <w:t xml:space="preserve">[17] M. Sandler, A. Howard, M. Zhu, A. Zhmoginov, and L.-C. Chen, “MobileNetV2: Inverted Residuals and Linear Bottlenecks,” in 2018 IEEE/CVF Conference on Computer Vision and Pattern Recognition (CVPR), Jun. 2018, pp. 4510–4520. doi: 10.1109/CVPR.2018.00474.</w:t>
      </w:r>
    </w:p>
    <w:p>
      <w:pPr>
        <w:pStyle w:val="Normal"/>
        <w:spacing w:line="360" w:lineRule="auto"/>
        <w:jc w:val="left"/>
        <w:ind w:left="720" w:hanging="720"/>
      </w:pPr>
      <w:r>
        <w:t xml:space="preserve">[18] J. Dai, “Real-time and accurate object detection on edge device with TensorFlow Lite,” Journal of Physics: Conference Series, vol. 1651, no. 1, Art. no. 012114, 2020. doi: 10.1088/1742-6596/1651/1/012114.</w:t>
      </w:r>
    </w:p>
    <w:p>
      <w:pPr>
        <w:pStyle w:val="Normal"/>
        <w:spacing w:line="360" w:lineRule="auto"/>
        <w:jc w:val="left"/>
        <w:ind w:left="720" w:hanging="720"/>
      </w:pPr>
      <w:r>
        <w:t xml:space="preserve">[19] A. Magdy, M. S. Moustafa, H. M. Ebied, and M. F. Tolba, “Lightweight faster R-CNN for object detection in optical remote sensing images,” Scientific Reports, vol. 15, Art. no. 16163, 2025. doi: 10.1038/s41598-025-99242-y.</w:t>
      </w:r>
    </w:p>
    <w:p>
      <w:pPr>
        <w:pStyle w:val="Normal"/>
        <w:spacing w:line="360" w:lineRule="auto"/>
        <w:jc w:val="left"/>
        <w:ind w:left="720" w:hanging="720"/>
      </w:pPr>
      <w:r>
        <w:t xml:space="preserve">[20] A. Kuznetsova et al., “The Open Images Dataset V4: Unified image classification, object detection, and visual relationship detection at scale,” International Journal of Computer Vision, vol. 128, pp. 1956–1981, 2020. doi: 10.1007/s11263-020-01316-z.</w:t>
      </w:r>
    </w:p>
    <w:p>
      <w:pPr>
        <w:pStyle w:val="Normal"/>
        <w:spacing w:line="360" w:lineRule="auto"/>
        <w:jc w:val="left"/>
        <w:ind w:left="720" w:hanging="720"/>
      </w:pPr>
      <w:r>
        <w:t xml:space="preserve">[21] “ONNX Runtime,” ONNX Runtime. [Online]. Available: https://onnxruntime.ai/docs/.</w:t>
      </w:r>
    </w:p>
    <w:p>
      <w:pPr>
        <w:pStyle w:val="Normal"/>
        <w:spacing w:line="360" w:lineRule="auto"/>
        <w:jc w:val="left"/>
        <w:ind w:left="720" w:hanging="720"/>
      </w:pPr>
      <w:r>
        <w:t xml:space="preserve">[22] “ExecuTorch Documentation,” PyTorch. [Online]. Available: https://pytorch.org/executorch/stable/.</w:t>
      </w:r>
    </w:p>
    <w:p>
      <w:pPr>
        <w:pStyle w:val="Normal"/>
        <w:spacing w:line="360" w:lineRule="auto"/>
        <w:jc w:val="left"/>
        <w:ind w:left="720" w:hanging="720"/>
      </w:pPr>
      <w:r>
        <w:t xml:space="preserve">[23] N. Carion, F. Massa, G. Synnaeve, N. Usunier, A. Kirillov, and S. Zagoruyko, “End-to-End Object Detection with Transformers,” in Computer Vision – ECCV 2020, Cham: Springer International Publishing, 2020, pp. 213–229. doi: 10.1007/978-3-030-58452-8_13.</w:t>
      </w:r>
    </w:p>
    <w:p>
      <w:pPr>
        <w:pStyle w:val="Normal"/>
        <w:spacing w:line="360" w:lineRule="auto"/>
        <w:jc w:val="left"/>
        <w:ind w:left="720" w:hanging="720"/>
      </w:pPr>
      <w:r>
        <w:t xml:space="preserve">[24] Google, “Benchmark CompiledModel API,” Google AI Edge. [Online]. Available: https://developers.google.com/edge/litert/next/benchmark.</w:t>
      </w:r>
    </w:p>
    <w:p>
      <w:pPr>
        <w:pStyle w:val="Normal"/>
        <w:spacing w:line="360" w:lineRule="auto"/>
        <w:jc w:val="left"/>
        <w:ind w:left="720" w:hanging="720"/>
      </w:pPr>
      <w:r>
        <w:t xml:space="preserve">[25] Android Developers, “Android Debug Bridge (adb),” Android Studio. [Online]. Available: https://developer.android.com/tools/adb.</w:t>
      </w:r>
    </w:p>
    <w:p>
      <w:pPr>
        <w:pStyle w:val="Normal"/>
        <w:spacing w:line="360" w:lineRule="auto"/>
        <w:jc w:val="left"/>
        <w:ind w:left="720" w:hanging="720"/>
      </w:pPr>
      <w:r>
        <w:t xml:space="preserve">[26] Google, “GPU acceleration delegate with Interpreter API,” Google AI Edge. [Online]. Available: https://developers.google.com/edge/litert/android/gpu.</w:t>
      </w:r>
    </w:p>
    <w:p>
      <w:pPr>
        <w:pStyle w:val="Normal"/>
        <w:spacing w:line="360" w:lineRule="auto"/>
        <w:jc w:val="left"/>
        <w:ind w:left="720" w:hanging="720"/>
      </w:pPr>
      <w:r>
        <w:t xml:space="preserve">[27] Roboflow, “Roboflow: Computer vision tools for developers and enterprises.” [Online]. Available: https://roboflow.com/.</w:t>
      </w:r>
    </w:p>
    <w:p>
      <w:pPr>
        <w:pStyle w:val="Normal"/>
        <w:spacing w:line="360" w:lineRule="auto"/>
        <w:jc w:val="left"/>
        <w:ind w:left="720" w:hanging="720"/>
      </w:pPr>
      <w:r>
        <w:t xml:space="preserve">[28] Khronos Group, “OpenCL – The Open Standard for Parallel Programming of Heterogeneous Systems.” [Online]. Available: https://www.khronos.org/opencl/.</w:t>
      </w:r>
    </w:p>
    <w:p>
      <w:pPr>
        <w:pStyle w:val="Normal"/>
        <w:spacing w:line="360" w:lineRule="auto"/>
        <w:jc w:val="left"/>
        <w:ind w:left="720" w:hanging="720"/>
      </w:pPr>
      <w:r>
        <w:t xml:space="preserve">[29] Google, “CameraX,” Android Developers. [Online]. Available: https://developer.android.com/media/camera/camerax.</w:t>
      </w:r>
    </w:p>
    <w:p>
      <w:pPr>
        <w:pStyle w:val="Normal"/>
        <w:spacing w:line="360" w:lineRule="auto"/>
        <w:jc w:val="left"/>
        <w:ind w:left="720" w:hanging="720"/>
      </w:pPr>
      <w:r>
        <w:t xml:space="preserve">[30] Google, “TextToSpeech,” Android Developers. [Online]. Available: https://developer.android.com/reference/android/speech/tts/TextToSpeech.</w:t>
      </w:r>
    </w:p>
    <w:p>
      <w:pPr>
        <w:jc w:val="left"/>
      </w:pPr>
      <w:r>
        <w:t>[31] k2-fsa, “Text-to-speech,” sherpa-onnx documentation. [Online]. Available: https://k2-fsa.github.io/sherpa/onnx/tts/index.html. Consultado: 14 oct. 2026.</w:t>
      </w:r>
    </w:p>
    <w:p>
      <w:pPr>
        <w:jc w:val="left"/>
      </w:pPr>
      <w:r>
        <w:t>[32] Google, “LiteRT for Android,” Google AI Edge. [Online]. Available: https://developers.google.com/edge/litert/android. Consultado: 14 oct. 2026.</w:t>
      </w:r>
    </w:p>
    <w:p>
      <w:pPr>
        <w:jc w:val="left"/>
      </w:pPr>
      <w:r>
        <w:t>[33] D. Cerda, “AssistiveVision,” código fuente, revisión 85c852ddcb543bce1bd69ad0db307f895d597881. [Online]. Available: https://github.com/diomedescerda/AssistiveVision.</w:t>
      </w:r>
    </w:p>
    <w:p>
      <w:pPr>
        <w:jc w:val="left"/>
      </w:pPr>
      <w:r>
        <w:t>[34]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p>
    <w:p>
      <w:pPr>
        <w:jc w:val="left"/>
      </w:pPr>
      <w:r>
        <w:t>[35] Pillow contributors, “ImageStat module,” Pillow documentation. [Online]. Available: https://pillow.readthedocs.io/en/stable/reference/ImageStat.html. El análisis utiliza conversión RGB a L y media de píxeles.</w:t>
      </w:r>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